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601D6B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883" w:firstLineChars="200"/>
        <w:jc w:val="both"/>
        <w:textAlignment w:val="auto"/>
        <w:rPr>
          <w:rFonts w:hint="eastAsia" w:ascii="方正黑体_GBK" w:hAnsi="方正黑体_GBK" w:eastAsia="方正黑体_GBK" w:cs="方正黑体_GBK"/>
          <w:b/>
          <w:i w:val="0"/>
          <w:caps w:val="0"/>
          <w:color w:val="333333"/>
          <w:spacing w:val="0"/>
          <w:sz w:val="44"/>
          <w:szCs w:val="44"/>
        </w:rPr>
      </w:pPr>
      <w:r>
        <w:rPr>
          <w:rFonts w:hint="eastAsia" w:ascii="方正黑体_GBK" w:hAnsi="方正黑体_GBK" w:eastAsia="方正黑体_GBK" w:cs="方正黑体_GBK"/>
          <w:b/>
          <w:i w:val="0"/>
          <w:caps w:val="0"/>
          <w:color w:val="333333"/>
          <w:spacing w:val="0"/>
          <w:sz w:val="44"/>
          <w:szCs w:val="44"/>
          <w:lang w:val="en-US" w:eastAsia="zh-CN"/>
        </w:rPr>
        <w:t>红塔区综合行政执法局2025年</w:t>
      </w:r>
      <w:r>
        <w:rPr>
          <w:rFonts w:hint="eastAsia" w:ascii="方正黑体_GBK" w:hAnsi="方正黑体_GBK" w:eastAsia="方正黑体_GBK" w:cs="方正黑体_GBK"/>
          <w:b/>
          <w:i w:val="0"/>
          <w:caps w:val="0"/>
          <w:color w:val="333333"/>
          <w:spacing w:val="0"/>
          <w:sz w:val="44"/>
          <w:szCs w:val="44"/>
        </w:rPr>
        <w:t>政府</w:t>
      </w:r>
    </w:p>
    <w:p w14:paraId="7462FD1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right="0" w:firstLine="2209" w:firstLineChars="500"/>
        <w:jc w:val="both"/>
        <w:textAlignment w:val="auto"/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Fonts w:hint="eastAsia" w:ascii="方正黑体_GBK" w:hAnsi="方正黑体_GBK" w:eastAsia="方正黑体_GBK" w:cs="方正黑体_GBK"/>
          <w:b/>
          <w:i w:val="0"/>
          <w:caps w:val="0"/>
          <w:color w:val="333333"/>
          <w:spacing w:val="0"/>
          <w:sz w:val="44"/>
          <w:szCs w:val="44"/>
        </w:rPr>
        <w:t>信息公开工作年度报告</w:t>
      </w:r>
    </w:p>
    <w:p w14:paraId="263E4C4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75" w:beforeAutospacing="0" w:after="0" w:afterAutospacing="0" w:line="585" w:lineRule="atLeast"/>
        <w:ind w:right="0"/>
        <w:jc w:val="both"/>
        <w:rPr>
          <w:rFonts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</w:pPr>
    </w:p>
    <w:p w14:paraId="2F035F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420"/>
        <w:jc w:val="both"/>
        <w:textAlignment w:val="auto"/>
        <w:rPr>
          <w:rFonts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一、</w:t>
      </w:r>
      <w:r>
        <w:rPr>
          <w:rFonts w:hint="eastAsia" w:ascii="方正黑体_GBK" w:hAnsi="方正黑体_GBK" w:eastAsia="方正黑体_GBK" w:cs="方正黑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总体情况</w:t>
      </w:r>
    </w:p>
    <w:p w14:paraId="33B333C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根据《中华人民共和国政府信息公开条例》，现将红塔区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综合行政执法</w:t>
      </w:r>
      <w:r>
        <w:rPr>
          <w:rFonts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局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年度政府信息公开年度报告向社会公众公布，并接受监督。本报告主要包括主动公开、依申请公开、政府信息管理、政府信息公开平台建设、监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管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保障，报告中所列数据统计时间为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月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日起至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12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月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31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日。</w:t>
      </w:r>
    </w:p>
    <w:p w14:paraId="25D85B1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（一）主动公开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方面</w:t>
      </w:r>
      <w:r>
        <w:rPr>
          <w:rFonts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年，红塔区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综合行政执法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局结合自身工作职能职责，在政府门户网站信息公开网页设置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14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个栏目。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共在玉溪市人民政府网公开各类信息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97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条：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其中包含机构职能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条，工作情况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条，通知公告信息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条，行政处罚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14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条，信息公开指南、制度、目录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条，领导信息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条，预决算公开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条，政府信息公开年度报告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条，政府文件信息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条，重点领域信息公开栏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2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条，政策文件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政策解读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1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val="en-US" w:eastAsia="zh-CN"/>
        </w:rPr>
        <w:t>条，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供气企事业单位信息公开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7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条。</w:t>
      </w:r>
    </w:p>
    <w:p w14:paraId="5332C61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（二）依申请公开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方面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年红塔区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综合行政执法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局未收到政府信息依申请公开事项。</w:t>
      </w:r>
    </w:p>
    <w:p w14:paraId="11D94B6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（三）政府信息管理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方面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年红塔区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综合行政执法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局严格按照《中华人民共和国政府信息公开条例》、区政府信息公开工作要求、各单位规定公开信息，出现错敏信息及时维护更新。</w:t>
      </w:r>
    </w:p>
    <w:p w14:paraId="0CA6FE1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（四）政府信息公开平台建设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方面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。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红塔区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综合行政执法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局由专人负责网站的维护管理，推进本单位政府网站与政务新媒体建设工作。</w:t>
      </w:r>
    </w:p>
    <w:p w14:paraId="2A67786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42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（五）监管保障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方面</w:t>
      </w:r>
      <w:r>
        <w:rPr>
          <w:rFonts w:hint="eastAsia" w:ascii="方正楷体_GBK" w:hAnsi="方正楷体_GBK" w:eastAsia="方正楷体_GBK" w:cs="方正楷体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。</w:t>
      </w: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年红塔区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综合行政执法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局认真贯彻落实政府信息和政府信息公开工作责任制，信息发布严格按照三审三校及保密审查的要求，严格审查后方可进行发布。对于区政府政务公开群通知的错敏信息，及时进行修改完善。</w:t>
      </w:r>
    </w:p>
    <w:p w14:paraId="36144328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420"/>
        <w:jc w:val="both"/>
        <w:textAlignment w:val="auto"/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二、主动公开政府信息情况</w:t>
      </w:r>
    </w:p>
    <w:tbl>
      <w:tblPr>
        <w:tblStyle w:val="5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 w14:paraId="1CA4A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5D336C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第二十条第（一）项</w:t>
            </w:r>
          </w:p>
        </w:tc>
      </w:tr>
      <w:tr w14:paraId="16A1D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9976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AE9BD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1BE1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CCF28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现行有效件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数</w:t>
            </w:r>
          </w:p>
        </w:tc>
      </w:tr>
      <w:tr w14:paraId="4C8878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3D630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D2C5A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     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4FFD8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      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B8B6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</w:p>
        </w:tc>
      </w:tr>
      <w:tr w14:paraId="645E2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600D02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1A06E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　     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2B73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 　        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6859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F08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3F2DE5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第二十条第（五）项</w:t>
            </w:r>
          </w:p>
        </w:tc>
      </w:tr>
      <w:tr w14:paraId="43DB2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AEE0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741EE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6536D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C6E5C1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0DDAB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1"/>
                <w:szCs w:val="21"/>
                <w:lang w:val="en-US" w:eastAsia="zh-CN" w:bidi="ar"/>
              </w:rPr>
              <w:t xml:space="preserve">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        1534</w:t>
            </w:r>
          </w:p>
        </w:tc>
      </w:tr>
      <w:tr w14:paraId="0892E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51EF1E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第二十条第（六）项</w:t>
            </w:r>
          </w:p>
        </w:tc>
      </w:tr>
      <w:tr w14:paraId="71FFB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FD547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925E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本年处理决定数量</w:t>
            </w:r>
          </w:p>
        </w:tc>
      </w:tr>
      <w:tr w14:paraId="443B1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68439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CC5E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　   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14</w:t>
            </w:r>
          </w:p>
        </w:tc>
      </w:tr>
      <w:tr w14:paraId="6CC8B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234B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31C9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  <w:rPr>
                <w:rFonts w:hint="default"/>
                <w:lang w:val="en-US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　                                0</w:t>
            </w:r>
          </w:p>
        </w:tc>
      </w:tr>
      <w:tr w14:paraId="6C9AE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noWrap w:val="0"/>
            <w:tcMar>
              <w:left w:w="57" w:type="dxa"/>
              <w:right w:w="57" w:type="dxa"/>
            </w:tcMar>
            <w:vAlign w:val="center"/>
          </w:tcPr>
          <w:p w14:paraId="6561D1D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第二十条第（八）项</w:t>
            </w:r>
          </w:p>
        </w:tc>
      </w:tr>
      <w:tr w14:paraId="41FEA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8085D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97D24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本年收费金额（单位：万元）</w:t>
            </w:r>
          </w:p>
        </w:tc>
      </w:tr>
      <w:tr w14:paraId="3566B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351C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3450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default" w:asci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</w:p>
        </w:tc>
      </w:tr>
    </w:tbl>
    <w:p w14:paraId="373D0A7D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420" w:leftChars="0" w:right="0" w:rightChars="0"/>
        <w:jc w:val="both"/>
        <w:textAlignment w:val="auto"/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三、</w:t>
      </w:r>
      <w:r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收到和处理政府信息公开申请情况</w:t>
      </w:r>
    </w:p>
    <w:tbl>
      <w:tblPr>
        <w:tblStyle w:val="5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 w14:paraId="193F863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0D4F13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93ED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申请人情况</w:t>
            </w:r>
          </w:p>
        </w:tc>
      </w:tr>
      <w:tr w14:paraId="3EDFE535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5CC23C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6910A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641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EB2623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总计</w:t>
            </w:r>
          </w:p>
        </w:tc>
      </w:tr>
      <w:tr w14:paraId="43B632D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 w14:paraId="4387F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9D39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8576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商业</w:t>
            </w:r>
          </w:p>
          <w:p w14:paraId="574427C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454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科研</w:t>
            </w:r>
          </w:p>
          <w:p w14:paraId="5443EE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4B1B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55BAF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3EB2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056E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</w:tr>
      <w:tr w14:paraId="29F6F4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41FD1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3533D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29F8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750AA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F6D97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F122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D179A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EEFBE1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A63229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BA35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2CA8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89D39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5BB4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905C9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F1BC2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F679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65B2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8DEB7D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09F3A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F4BE5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84A5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C99B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ACA61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532A5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6B4F1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7AFB4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D4DD8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 xml:space="preserve"> 0</w:t>
            </w: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</w:tc>
      </w:tr>
      <w:tr w14:paraId="5B4D7B0C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4CC72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88F69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（二）部分公开</w:t>
            </w:r>
            <w:r>
              <w:rPr>
                <w:rFonts w:hint="eastAsia" w:ascii="楷体" w:hAnsi="楷体" w:eastAsia="楷体" w:cs="楷体"/>
                <w:kern w:val="0"/>
                <w:sz w:val="20"/>
                <w:szCs w:val="20"/>
                <w:lang w:val="en-US" w:eastAsia="zh-CN"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D73A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D0F88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8977A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3E9F3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C56A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DA84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DCD7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200" w:firstLineChars="100"/>
              <w:jc w:val="both"/>
              <w:textAlignment w:val="auto"/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</w:pPr>
          </w:p>
          <w:p w14:paraId="212439E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200" w:firstLineChars="100"/>
              <w:jc w:val="both"/>
              <w:textAlignment w:val="auto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 xml:space="preserve"> 0 </w:t>
            </w:r>
          </w:p>
        </w:tc>
      </w:tr>
      <w:tr w14:paraId="7D7C166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82F6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FEE2C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9981D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4701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1A09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CD7E9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4508C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E0B621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E953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96AD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AFDB72F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E86D3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380E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DB7C5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15E9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A167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EE3BAA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CF5D7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2A71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95536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56DD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3FD6B0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04C1D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4B2B7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4E5174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63B9F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7B90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8FFB5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0F6C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F514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DB519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A8C9D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D87FC0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A34B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4BA2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941044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812E3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26F7B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4132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B0D074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70D2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9F4C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C5A49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1CD4060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AF2E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CE9A0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634A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55EB0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7D22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FC15D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4BAA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7595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2F9F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B138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A5F1E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3A1FE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A0845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4C892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DCA47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963C8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59B90E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2F4AC3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02C6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CD535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45FF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6F7E7E7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07F0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9012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D3B7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1E3D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7AC7F3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1E11B7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0FBEE9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3B74A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1366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9E8069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54D5D1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D5C73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65D6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25DAF1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21138C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9D36C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B780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D0732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9F6DD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7591A6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E2EC8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7CECC8B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03F73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23DA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4BFD36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01A98B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90A5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DFCB43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D8F98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E346C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D043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07400F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5D801DA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53B27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248D9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2C958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97866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C6A68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5F66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8ED17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782B2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EE17BA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60C248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7323C9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61B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B5DDC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539E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49472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CCCF4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535788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8D00C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B5DB1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D512DB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B9305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3DF63F7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1FBA0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58A8A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96005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12705E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1CEE6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066C9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868F9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862BF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94F5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A195B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70DF598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0A103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12BF1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852E8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117674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DE24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1DE05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5B5EE4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1C2E0C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3E5A04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F50FC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90222BA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53B6E8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B50FB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F3FF7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297C0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8F0C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3DF742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43D075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23784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AE2DE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0C107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406DF57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757E3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63FB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CBCA8F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FA51E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FF1525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AD164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2706A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1272A6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56C02C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37235F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124AFD11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A070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C7B3E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2B3EF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both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5BF22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7F9565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0CAF57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AC506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76B131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5397E5A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25294F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5F8930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FA352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B85EC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059D5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both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965AEE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BAA77D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C8C20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385EC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4F6CE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EE60A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6BD7C1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</w:p>
          <w:p w14:paraId="0B419C2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8906668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703D30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A5739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3903E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both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0BB3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028F9C6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C35B18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4B454B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D489C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7221F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FA005F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</w:pPr>
          </w:p>
          <w:p w14:paraId="51D524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bookmarkStart w:id="0" w:name="_GoBack"/>
            <w:bookmarkEnd w:id="0"/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8A551A6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16A48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293F8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D98E2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leftChars="0" w:right="0" w:rightChars="0"/>
              <w:jc w:val="left"/>
              <w:textAlignment w:val="auto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D9AF03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DF53F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97394D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3C6EA8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A17B0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0DD3D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35D2CF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0A087DAD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7C9FD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5F667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44E9350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255607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CFE76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B4DE4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397632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6A547FB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1BDB5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 w14:paraId="453062C2"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2C95376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left"/>
              <w:textAlignment w:val="auto"/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val="en-US" w:eastAsia="zh-CN"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D62C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  <w:rPr>
                <w:rFonts w:hint="default"/>
                <w:lang w:val="en-US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0DE40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83F23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5832C65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71274B8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center"/>
          </w:tcPr>
          <w:p w14:paraId="11AADE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/>
              <w:jc w:val="center"/>
              <w:textAlignment w:val="auto"/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57" w:type="dxa"/>
              <w:right w:w="57" w:type="dxa"/>
            </w:tcMar>
            <w:vAlign w:val="top"/>
          </w:tcPr>
          <w:p w14:paraId="40B537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ind w:firstLine="200" w:firstLineChars="100"/>
              <w:textAlignment w:val="auto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 </w:t>
            </w:r>
            <w:r>
              <w:rPr>
                <w:rFonts w:hint="eastAsia" w:ascii="Calibri" w:hAnsi="Calibri" w:eastAsia="宋体" w:cs="Calibri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</w:tbl>
    <w:tbl>
      <w:tblPr>
        <w:tblStyle w:val="5"/>
        <w:tblpPr w:leftFromText="180" w:rightFromText="180" w:vertAnchor="text" w:horzAnchor="page" w:tblpX="1218" w:tblpY="865"/>
        <w:tblOverlap w:val="never"/>
        <w:tblW w:w="975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5"/>
        <w:gridCol w:w="645"/>
        <w:gridCol w:w="645"/>
        <w:gridCol w:w="645"/>
        <w:gridCol w:w="660"/>
        <w:gridCol w:w="645"/>
        <w:gridCol w:w="645"/>
        <w:gridCol w:w="645"/>
        <w:gridCol w:w="645"/>
        <w:gridCol w:w="675"/>
        <w:gridCol w:w="645"/>
        <w:gridCol w:w="645"/>
        <w:gridCol w:w="645"/>
        <w:gridCol w:w="645"/>
        <w:gridCol w:w="675"/>
      </w:tblGrid>
      <w:tr w14:paraId="62481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40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D63B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行政复议</w:t>
            </w:r>
          </w:p>
        </w:tc>
        <w:tc>
          <w:tcPr>
            <w:tcW w:w="6510" w:type="dxa"/>
            <w:gridSpan w:val="10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9C7B7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行政诉讼</w:t>
            </w:r>
          </w:p>
        </w:tc>
      </w:tr>
      <w:tr w14:paraId="6432D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45F2B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结果维持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AD6AB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</w:t>
            </w:r>
          </w:p>
          <w:p w14:paraId="78A14D3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纠正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A20416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其他</w:t>
            </w:r>
          </w:p>
          <w:p w14:paraId="03A86C9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</w:t>
            </w:r>
          </w:p>
        </w:tc>
        <w:tc>
          <w:tcPr>
            <w:tcW w:w="645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E2A966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尚未</w:t>
            </w:r>
          </w:p>
          <w:p w14:paraId="7DF5D0B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审结</w:t>
            </w:r>
          </w:p>
        </w:tc>
        <w:tc>
          <w:tcPr>
            <w:tcW w:w="66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9C3376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总计</w:t>
            </w:r>
          </w:p>
        </w:tc>
        <w:tc>
          <w:tcPr>
            <w:tcW w:w="325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9A737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D0D98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复议后起诉</w:t>
            </w:r>
          </w:p>
        </w:tc>
      </w:tr>
      <w:tr w14:paraId="0BC09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6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B0F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748F6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2E063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45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6F81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BA50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96" w:lineRule="exact"/>
              <w:textAlignment w:val="auto"/>
              <w:rPr>
                <w:rFonts w:hint="default" w:ascii="sans-serif" w:hAnsi="sans-serif" w:eastAsia="sans-serif" w:cs="sans-serif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58980F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</w:t>
            </w:r>
          </w:p>
          <w:p w14:paraId="53DBFBD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EA84C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</w:t>
            </w:r>
          </w:p>
          <w:p w14:paraId="660CC48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51746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其他</w:t>
            </w:r>
          </w:p>
          <w:p w14:paraId="163FE5A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B145C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尚未</w:t>
            </w:r>
          </w:p>
          <w:p w14:paraId="46C3276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审结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3222C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总计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A53E0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</w:t>
            </w:r>
          </w:p>
          <w:p w14:paraId="0D0F51B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维持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BCF8B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</w:t>
            </w:r>
          </w:p>
          <w:p w14:paraId="3FA2A3A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纠正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6DB5F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其他</w:t>
            </w:r>
          </w:p>
          <w:p w14:paraId="660837F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结果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BF7DC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  <w:lang w:eastAsia="zh-CN"/>
              </w:rPr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尚未</w:t>
            </w:r>
          </w:p>
          <w:p w14:paraId="485A336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审结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FF8A7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总计</w:t>
            </w:r>
          </w:p>
        </w:tc>
      </w:tr>
      <w:tr w14:paraId="5AFFB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5" w:hRule="atLeast"/>
        </w:trPr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B1D90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EB9A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1AED5E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8CFD9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65578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327BA5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4CFD33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661CB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C3ED6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BE18E5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68FC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879A68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51A199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F7323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19"/>
                <w:szCs w:val="19"/>
              </w:rPr>
              <w:t>0</w:t>
            </w:r>
          </w:p>
        </w:tc>
        <w:tc>
          <w:tcPr>
            <w:tcW w:w="6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F09D8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75" w:beforeAutospacing="0" w:after="0" w:afterAutospacing="0" w:line="596" w:lineRule="exact"/>
              <w:ind w:left="0" w:right="0" w:firstLine="0"/>
              <w:jc w:val="center"/>
              <w:textAlignment w:val="auto"/>
            </w:pPr>
            <w:r>
              <w:rPr>
                <w:rFonts w:hint="default" w:ascii="Times New Roman" w:hAnsi="Times New Roman" w:eastAsia="sans-serif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  <w:t>0</w:t>
            </w:r>
          </w:p>
        </w:tc>
      </w:tr>
    </w:tbl>
    <w:p w14:paraId="40229546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right="0" w:rightChars="0"/>
        <w:jc w:val="both"/>
        <w:textAlignment w:val="auto"/>
        <w:rPr>
          <w:rStyle w:val="7"/>
          <w:rFonts w:hint="default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eastAsia="zh-CN"/>
        </w:rPr>
        <w:t>四、</w:t>
      </w:r>
      <w:r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政府信息公开行政复议、行政诉讼情况</w:t>
      </w:r>
    </w:p>
    <w:p w14:paraId="3B3734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630"/>
        <w:jc w:val="both"/>
        <w:textAlignment w:val="auto"/>
        <w:rPr>
          <w:rFonts w:hint="eastAsia" w:ascii="方正仿宋_GBK" w:hAnsi="方正仿宋_GBK" w:eastAsia="方正仿宋_GBK" w:cs="方正仿宋_GBK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</w:pPr>
    </w:p>
    <w:p w14:paraId="14FA474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63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五、存在的主要问题及改进情况</w:t>
      </w:r>
    </w:p>
    <w:p w14:paraId="6C02CA7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630"/>
        <w:jc w:val="both"/>
        <w:textAlignment w:val="auto"/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</w:pP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（一）</w:t>
      </w: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存在</w:t>
      </w: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的</w:t>
      </w: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</w:rPr>
        <w:t>问题</w:t>
      </w:r>
    </w:p>
    <w:p w14:paraId="240ACDC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63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一是公开内容大多局限于内部工作动态，民生政策、服务指南类占比偏低。二是信息发布滞后问题时有发生。三是形式单一固化，发布信息以文字为主，缺乏图表、图解、视频等直观形式。</w:t>
      </w:r>
    </w:p>
    <w:p w14:paraId="292EE12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630"/>
        <w:jc w:val="both"/>
        <w:textAlignment w:val="auto"/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方正楷体_GB2312" w:hAnsi="方正楷体_GB2312" w:eastAsia="方正楷体_GB2312" w:cs="方正楷体_GB2312"/>
          <w:b/>
          <w:bCs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（二）改进情况</w:t>
      </w:r>
    </w:p>
    <w:p w14:paraId="128DE74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630"/>
        <w:jc w:val="both"/>
        <w:textAlignment w:val="auto"/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auto"/>
          <w:spacing w:val="0"/>
          <w:sz w:val="31"/>
          <w:szCs w:val="31"/>
          <w:shd w:val="clear" w:fill="FFFFFF"/>
          <w:lang w:eastAsia="zh-CN"/>
        </w:rPr>
        <w:t>一是强化民生领域信息的公开，加大市容市貌、环境卫生、垃圾分类等群众关注热点信息发布力度。二是创新公开形式，提升信息时效，建立信息更新责任和审核机制。三是积极推广图表、图解、短视频等可视化解读形式，依托微信登新媒体平台拓宽传播渠道。</w:t>
      </w:r>
    </w:p>
    <w:p w14:paraId="32E3E4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96" w:lineRule="exact"/>
        <w:ind w:left="0" w:right="0" w:firstLine="630"/>
        <w:jc w:val="both"/>
        <w:textAlignment w:val="auto"/>
        <w:rPr>
          <w:rFonts w:hint="default" w:ascii="sans-serif" w:hAnsi="sans-serif" w:eastAsia="sans-serif" w:cs="sans-serif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Style w:val="7"/>
          <w:rFonts w:hint="eastAsia" w:ascii="方正黑体_GBK" w:hAnsi="方正黑体_GBK" w:eastAsia="方正黑体_GBK" w:cs="方正黑体_GBK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六、其他需要报告的事项</w:t>
      </w:r>
    </w:p>
    <w:p w14:paraId="7E2A13E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left="0" w:right="0" w:firstLine="630"/>
        <w:jc w:val="both"/>
        <w:textAlignment w:val="auto"/>
        <w:rPr>
          <w:rFonts w:hint="eastAsia"/>
          <w:sz w:val="32"/>
          <w:szCs w:val="32"/>
          <w:lang w:val="en-US" w:eastAsia="zh-CN"/>
        </w:rPr>
      </w:pPr>
      <w:r>
        <w:rPr>
          <w:rFonts w:hint="default" w:ascii="Times New Roman" w:hAnsi="Times New Roman" w:eastAsia="sans-serif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202</w:t>
      </w:r>
      <w:r>
        <w:rPr>
          <w:rFonts w:hint="eastAsia" w:ascii="Times New Roman" w:hAnsi="Times New Roman" w:eastAsia="宋体" w:cs="Times New Roman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val="en-US" w:eastAsia="zh-CN"/>
        </w:rPr>
        <w:t>5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年红塔区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  <w:lang w:eastAsia="zh-CN"/>
        </w:rPr>
        <w:t>综合行政执法</w:t>
      </w:r>
      <w:r>
        <w:rPr>
          <w:rFonts w:hint="eastAsia" w:ascii="方正仿宋_GBK" w:hAnsi="方正仿宋_GBK" w:eastAsia="方正仿宋_GBK" w:cs="方正仿宋_GBK"/>
          <w:i w:val="0"/>
          <w:iCs w:val="0"/>
          <w:caps w:val="0"/>
          <w:color w:val="000000"/>
          <w:spacing w:val="0"/>
          <w:sz w:val="31"/>
          <w:szCs w:val="31"/>
          <w:shd w:val="clear" w:fill="FFFFFF"/>
        </w:rPr>
        <w:t>局未收取政府信息公开信息处理费。</w:t>
      </w:r>
      <w:r>
        <w:br w:type="textWrapping"/>
      </w:r>
      <w:r>
        <w:rPr>
          <w:rFonts w:hint="eastAsia"/>
          <w:sz w:val="32"/>
          <w:szCs w:val="32"/>
          <w:lang w:val="en-US" w:eastAsia="zh-CN"/>
        </w:rPr>
        <w:t xml:space="preserve"> </w:t>
      </w:r>
    </w:p>
    <w:p w14:paraId="38E32F1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0" w:afterAutospacing="0" w:line="596" w:lineRule="exact"/>
        <w:ind w:right="0"/>
        <w:jc w:val="both"/>
        <w:textAlignment w:val="auto"/>
        <w:rPr>
          <w:rFonts w:hint="eastAsia"/>
          <w:sz w:val="32"/>
          <w:szCs w:val="32"/>
          <w:lang w:val="en-US" w:eastAsia="zh-CN"/>
        </w:rPr>
      </w:pPr>
    </w:p>
    <w:p w14:paraId="49D23A2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红塔区综合行政执法局</w:t>
      </w:r>
    </w:p>
    <w:p w14:paraId="6A6F21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6" w:lineRule="exact"/>
        <w:textAlignment w:val="auto"/>
        <w:rPr>
          <w:rFonts w:hint="default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                          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kern w:val="0"/>
          <w:sz w:val="31"/>
          <w:szCs w:val="31"/>
          <w:shd w:val="clear" w:fill="FFFFFF"/>
          <w:lang w:val="en-US" w:eastAsia="zh-CN" w:bidi="ar"/>
        </w:rPr>
        <w:t xml:space="preserve"> 2026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kern w:val="0"/>
          <w:sz w:val="31"/>
          <w:szCs w:val="31"/>
          <w:shd w:val="clear" w:fill="FFFFFF"/>
          <w:lang w:val="en-US" w:eastAsia="zh-CN" w:bidi="ar"/>
        </w:rPr>
        <w:t>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月</w:t>
      </w:r>
      <w:r>
        <w:rPr>
          <w:rFonts w:hint="eastAsia" w:ascii="Times New Roman" w:hAnsi="Times New Roman" w:eastAsia="sans-serif" w:cs="Times New Roman"/>
          <w:i w:val="0"/>
          <w:iCs w:val="0"/>
          <w:caps w:val="0"/>
          <w:color w:val="000000"/>
          <w:spacing w:val="0"/>
          <w:kern w:val="0"/>
          <w:sz w:val="31"/>
          <w:szCs w:val="31"/>
          <w:shd w:val="clear" w:fill="FFFFFF"/>
          <w:lang w:val="en-US" w:eastAsia="zh-CN" w:bidi="ar"/>
        </w:rPr>
        <w:t>20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5275DF0-561F-42F6-BA6D-487C37F233B9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2" w:fontKey="{37C3D628-D5E9-4D1E-BF7C-ED37A94EACB9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D7218B0-D856-45FE-B6D2-E3AADBB59D59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B2BA873-D3A9-49C7-9233-46D4808D58F6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dlMmQ3ODcxMWNkMWMzOTUyZTg1ODQ5NmZkYWIyZDUifQ=="/>
  </w:docVars>
  <w:rsids>
    <w:rsidRoot w:val="00000000"/>
    <w:rsid w:val="05763EED"/>
    <w:rsid w:val="08AF135B"/>
    <w:rsid w:val="0C132DC0"/>
    <w:rsid w:val="149D2C4F"/>
    <w:rsid w:val="16B83DBB"/>
    <w:rsid w:val="315A46CE"/>
    <w:rsid w:val="3BF95501"/>
    <w:rsid w:val="429A7974"/>
    <w:rsid w:val="49A75EDE"/>
    <w:rsid w:val="49F820FE"/>
    <w:rsid w:val="71EA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table of authorities"/>
    <w:basedOn w:val="1"/>
    <w:next w:val="1"/>
    <w:qFormat/>
    <w:uiPriority w:val="0"/>
    <w:pPr>
      <w:ind w:left="420" w:leftChars="200"/>
    </w:pPr>
    <w:rPr>
      <w:rFonts w:ascii="Calibri" w:hAnsi="Calibri" w:eastAsia="宋体" w:cs="Times New Roman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1808</Words>
  <Characters>1868</Characters>
  <Lines>0</Lines>
  <Paragraphs>0</Paragraphs>
  <TotalTime>5</TotalTime>
  <ScaleCrop>false</ScaleCrop>
  <LinksUpToDate>false</LinksUpToDate>
  <CharactersWithSpaces>2284</CharactersWithSpaces>
  <Application>WPS Office_12.1.0.17140_F1E327BC-269C-435d-A152-05C5408002CA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2025-01-08T03:27:00Z</dcterms:created>
  <dc:creator>Administrator</dc:creator>
  <cp:lastModifiedBy>苗泽渭</cp:lastModifiedBy>
  <cp:lastPrinted>2025-01-09T01:48:00Z</cp:lastPrinted>
  <dcterms:modified xsi:type="dcterms:W3CDTF">2026-01-20T09:01:58Z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2052-12.1.0.17140</vt:lpwstr>
  </property>
  <property fmtid="{D5CDD505-2E9C-101B-9397-08002B2CF9AE}" pid="3" name="ICV">
    <vt:lpwstr>F909C060E9D645DAA6014917ECFB65C9_12</vt:lpwstr>
  </property>
</Properties>
</file>