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151"/>
        <w:gridCol w:w="7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44"/>
                <w:szCs w:val="28"/>
              </w:rPr>
              <w:t>云南省用地规划条件（建筑类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玉溪市红塔区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2025年（红塔区）第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 xml:space="preserve">地块编号 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（项目名称）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YDGT3-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27-01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﹝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HTQTC(2025）1号地块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Borders>
              <w:top w:val="single" w:color="auto" w:sz="4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地块位置</w:t>
            </w:r>
          </w:p>
        </w:tc>
        <w:tc>
          <w:tcPr>
            <w:gridSpan w:val="2"/>
            <w:tcBorders>
              <w:top w:val="single" w:color="auto" w:sz="4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玉溪市红塔区玉带街道冯井社区居民委员会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规划依据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玉溪市红塔区玉带城镇单元2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国土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空间详细规划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auto" w:sz="4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申请人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（单位）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auto" w:sz="4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玉溪市红塔区土地储备中心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用地性质及控制指标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2"/>
              <w:tblpPr w:tblpXSpec="center"/>
              <w:tblW w:w="9859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4"/>
              <w:gridCol w:w="1846"/>
              <w:gridCol w:w="2485"/>
              <w:gridCol w:w="1869"/>
              <w:gridCol w:w="211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vMerge w:val="restart"/>
                  <w:tcBorders>
                    <w:top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zh-CN"/>
                    </w:rPr>
                    <w:t>中小学用地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000000"/>
                      <w:sz w:val="22"/>
                      <w:szCs w:val="22"/>
                    </w:rPr>
                    <w:t>地块编号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000000"/>
                      <w:sz w:val="22"/>
                      <w:szCs w:val="22"/>
                    </w:rPr>
                    <w:t>总用地面积（㎡）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000000"/>
                      <w:sz w:val="22"/>
                      <w:szCs w:val="22"/>
                    </w:rPr>
                    <w:t>兼容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000000"/>
                      <w:sz w:val="22"/>
                      <w:szCs w:val="22"/>
                    </w:rPr>
                    <w:t>空间位置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vMerge w:val="continue"/>
                  <w:tcBorders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zh-CN"/>
                    </w:rPr>
                    <w:t>YDGT3-27-01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zh-CN"/>
                    </w:rPr>
                    <w:t>58892.0000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zh-CN"/>
                    </w:rPr>
                    <w:t>——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zh-CN"/>
                    </w:rPr>
                    <w:t>地上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vMerge w:val="continue"/>
                  <w:tcBorders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000000"/>
                      <w:sz w:val="22"/>
                      <w:szCs w:val="22"/>
                    </w:rPr>
                    <w:t>容积率</w:t>
                  </w:r>
                  <w:bookmarkStart w:id="0" w:name="_GoBack"/>
                  <w:bookmarkEnd w:id="0"/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000000"/>
                      <w:sz w:val="22"/>
                      <w:szCs w:val="22"/>
                    </w:rPr>
                    <w:t>建筑密度（%）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000000"/>
                      <w:sz w:val="22"/>
                      <w:szCs w:val="22"/>
                    </w:rPr>
                    <w:t>绿地率（%）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color w:val="000000"/>
                      <w:sz w:val="22"/>
                      <w:szCs w:val="22"/>
                    </w:rPr>
                    <w:t>建筑高度（m）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vMerge w:val="continue"/>
                  <w:tcBorders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zh-CN"/>
                    </w:rPr>
                    <w:t>≤1.5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zh-CN"/>
                    </w:rPr>
                    <w:t>≤35%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  <w:right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zh-CN"/>
                    </w:rPr>
                    <w:t>≥35%</w:t>
                  </w:r>
                </w:p>
              </w:tc>
              <w:tc>
                <w:tcPr>
                  <w:tcBorders>
                    <w:top w:val="single" w:color="7E7E7E" w:sz="6" w:space="0"/>
                    <w:left w:val="single" w:color="7E7E7E" w:sz="6" w:space="0"/>
                    <w:bottom w:val="single" w:color="7E7E7E" w:sz="6" w:space="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ordWrap w:val="0"/>
                    <w:autoSpaceDE w:val="0"/>
                    <w:autoSpaceDN w:val="0"/>
                    <w:spacing w:line="240" w:lineRule="auto"/>
                    <w:jc w:val="center"/>
                    <w:rPr>
                      <w:rFonts w:hint="default" w:ascii="Times New Roman" w:hAnsi="Times New Roman" w:cs="Times New Roman" w:eastAsiaTheme="minorEastAsia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zh-CN"/>
                    </w:rPr>
                    <w:t>≤30</w:t>
                  </w:r>
                </w:p>
              </w:tc>
            </w:tr>
          </w:tbl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停车泊位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机动车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不少于1.2个/100生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auto" w:sz="4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非机动车</w:t>
            </w:r>
          </w:p>
        </w:tc>
        <w:tc>
          <w:tcPr>
            <w:tcBorders>
              <w:top w:val="single" w:color="auto" w:sz="4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不少于60个/100生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交通组织要求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按照《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玉溪市红塔区玉带城镇单元2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国土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空间详细规划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》要求执行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vMerge w:val="restart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建筑控制要求</w:t>
            </w:r>
          </w:p>
        </w:tc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退线</w:t>
            </w:r>
          </w:p>
        </w:tc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地块内建筑退让用地红线距离北、西、南侧不少于5米，东侧不少于8米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vMerge w:val="continue"/>
            <w:tcBorders>
              <w:left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间距</w:t>
            </w:r>
          </w:p>
        </w:tc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按照《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玉溪市红塔区玉带城镇单元2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国土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空间详细规划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》要求执行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vMerge w:val="continue"/>
            <w:tcBorders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界面</w:t>
            </w:r>
          </w:p>
        </w:tc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按照《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玉溪市红塔区玉带城镇单元2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国土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空间详细规划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》要求执行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城市设计要求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按《玉溪中心城区建筑风貌导则》确定的高铁商务风貌区关干建筑色彩控制要求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规划区范围内建筑色彩应突出明快、素雅、大方的特色。 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建筑主色调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中明度暖色，辅助色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中明度冷暖色结合，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点缀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低明度深色。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单元范围内建筑风格以现代建筑为主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同时考虑新建建筑与已建建筑在风格上相协调。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公共设施类建筑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以中等体量建筑为主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体现公共建筑庄重、精准和严谨的精神。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地下空间要求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鼓励地下空间开发利用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历史文化保护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要求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周边市政、场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地竖向及管线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综合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公共管理与公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共服务设施配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建要求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商业服务设施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配建要求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公用设施配建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要求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其他要求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（非空间治理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内容不得纳入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规划条件）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7E7E7E" w:sz="6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Borders>
              <w:top w:val="single" w:color="7E7E7E" w:sz="6" w:space="0"/>
              <w:left w:val="single" w:color="7E7E7E" w:sz="6" w:space="0"/>
              <w:bottom w:val="single" w:color="auto" w:sz="4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附图名</w:t>
            </w:r>
          </w:p>
        </w:tc>
        <w:tc>
          <w:tcPr>
            <w:gridSpan w:val="2"/>
            <w:tcBorders>
              <w:top w:val="single" w:color="7E7E7E" w:sz="6" w:space="0"/>
              <w:left w:val="single" w:color="7E7E7E" w:sz="6" w:space="0"/>
              <w:bottom w:val="single" w:color="auto" w:sz="4" w:space="0"/>
              <w:right w:val="single" w:color="7E7E7E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玉溪市红塔区玉带城镇单元2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国土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空间详细规划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2"/>
                <w:szCs w:val="22"/>
              </w:rPr>
              <w:t>备注：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取得规划条件满一年未出让国有土地使用权的，取得的规划条件自行失效。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1、地块的准确用地面积以勘测定界并核发图纸面积为准。2、本规划条件所有条款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及附图作为国有土地使用权出让合同的组成部分，应当纳入国有建设用地使用权出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让合同，未纳入的或者在纳入时改变该条件内容的，该规划条件无效，不得办理后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续审批手续。3、本条件纳入国有土地使用权出让合同后，作为编制和审查建设项目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规划设计方案的依据。4、本条件有效期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纳入国有土地使用权出让合同的，有效期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与国有土地使用权出让合同相同，未纳入国有土地使用权出让合同的有效期为一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年，逾期无效，到期前30日内申请人应当到发证机关办理延期手续。</w:t>
            </w:r>
          </w:p>
          <w:p>
            <w:pPr>
              <w:keepNext w:val="0"/>
              <w:keepLines w:val="0"/>
              <w:wordWrap w:val="0"/>
              <w:autoSpaceDE w:val="0"/>
              <w:autoSpaceDN w:val="0"/>
              <w:spacing w:line="240" w:lineRule="auto"/>
              <w:ind w:left="34" w:leftChars="16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sectPr>
      <w:pgSz w:w="11906" w:h="16838"/>
      <w:pgMar w:top="1080" w:right="1009" w:bottom="1080" w:left="100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  <w:rsid w:val="07893FCA"/>
    <w:rsid w:val="07C7152F"/>
    <w:rsid w:val="125B3EFD"/>
    <w:rsid w:val="177E1A19"/>
    <w:rsid w:val="75656E67"/>
    <w:rsid w:val="798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1163</Characters>
  <Lines>1</Lines>
  <Paragraphs>1</Paragraphs>
  <TotalTime>4</TotalTime>
  <ScaleCrop>false</ScaleCrop>
  <LinksUpToDate>false</LinksUpToDate>
  <CharactersWithSpaces>1165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2012-07-04T03:31:00Z</dcterms:created>
  <dc:creator>raq</dc:creator>
  <cp:lastModifiedBy>DELL</cp:lastModifiedBy>
  <cp:lastPrinted>2025-10-28T03:36:00Z</cp:lastPrinted>
  <dcterms:modified xsi:type="dcterms:W3CDTF">2025-10-28T08:14:00Z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eyJoZGlkIjoiMWI1MDQ2M2IxODhlYzRlNWI4NjBmMmI1MjhhODk0NTUiLCJ1c2VySWQiOiI2NDAzMDAxNTMifQ==</vt:lpwstr>
  </property>
  <property fmtid="{D5CDD505-2E9C-101B-9397-08002B2CF9AE}" pid="3" name="KSOProductBuildVer">
    <vt:lpwstr>2052-11.8.6.11825</vt:lpwstr>
  </property>
  <property fmtid="{D5CDD505-2E9C-101B-9397-08002B2CF9AE}" pid="4" name="ICV">
    <vt:lpwstr>64A86CAC7F2F414B8C936952A12765E0</vt:lpwstr>
  </property>
</Properties>
</file>