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pict>
          <v:shape id="_x0000_s1026" o:spid="_x0000_s1026" o:spt="202" type="#_x0000_t202" style="position:absolute;left:0pt;margin-left:144pt;margin-top:271.3pt;height:31.2pt;width:180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玉红人发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〔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202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sz w:val="28"/>
                      <w:szCs w:val="28"/>
                    </w:rPr>
                    <w:t>〕</w:t>
                  </w:r>
                  <w:r>
                    <w:rPr>
                      <w:rFonts w:hint="eastAsia" w:eastAsia="方正仿宋_GBK" w:cs="Times New Roman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ascii="宋体" w:hAnsi="宋体" w:eastAsia="仿宋_GB2312"/>
                      <w:sz w:val="28"/>
                      <w:szCs w:val="28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6"/>
          <w:szCs w:val="36"/>
        </w:rPr>
        <w:pict>
          <v:shape id="_x0000_s1027" o:spid="_x0000_s1027" o:spt="202" type="#_x0000_t202" style="position:absolute;left:0pt;margin-left:144pt;margin-top:271.3pt;height:31.2pt;width:180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玉红人发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〔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202</w:t>
                  </w:r>
                  <w:r>
                    <w:rPr>
                      <w:rFonts w:hint="eastAsia" w:eastAsia="仿宋_GB2312" w:cs="Times New Roman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〕</w:t>
                  </w:r>
                  <w:r>
                    <w:rPr>
                      <w:rFonts w:hint="eastAsia" w:eastAsia="仿宋_GB2312" w:cs="Times New Roman"/>
                      <w:sz w:val="28"/>
                      <w:szCs w:val="28"/>
                      <w:lang w:val="en-US" w:eastAsia="zh-CN"/>
                    </w:rPr>
                    <w:t>43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_x0000_i1025" o:spt="75" type="#_x0000_t75" style="height:318.15pt;width:449.95pt;" filled="f" stroked="f" coordsize="21600,21600">
            <v:path/>
            <v:fill on="f" focussize="0,0"/>
            <v:stroke on="f"/>
            <v:imagedata r:id="rId8" cropleft="8937f" croptop="420f" cropright="6951f" gain="112993f" o:title="3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玉溪市红塔区人民代表大会常务委员会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关于批准红塔区20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 w:eastAsia="zh-CN"/>
        </w:rPr>
        <w:t>2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年财政预算调整方案的决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w w:val="86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w w:val="86"/>
          <w:sz w:val="32"/>
          <w:szCs w:val="32"/>
          <w:lang w:val="en-US" w:eastAsia="zh-CN"/>
        </w:rPr>
        <w:t>（202</w:t>
      </w:r>
      <w:r>
        <w:rPr>
          <w:rFonts w:hint="eastAsia" w:eastAsia="方正楷体_GBK" w:cs="Times New Roman"/>
          <w:w w:val="8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w w:val="86"/>
          <w:sz w:val="32"/>
          <w:szCs w:val="32"/>
          <w:lang w:val="en-US" w:eastAsia="zh-CN"/>
        </w:rPr>
        <w:t>年1</w:t>
      </w:r>
      <w:r>
        <w:rPr>
          <w:rFonts w:hint="eastAsia" w:eastAsia="方正楷体_GBK" w:cs="Times New Roman"/>
          <w:w w:val="8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w w:val="86"/>
          <w:sz w:val="32"/>
          <w:szCs w:val="32"/>
          <w:lang w:val="en-US" w:eastAsia="zh-CN"/>
        </w:rPr>
        <w:t>月</w:t>
      </w:r>
      <w:r>
        <w:rPr>
          <w:rFonts w:hint="eastAsia" w:eastAsia="方正楷体_GBK" w:cs="Times New Roman"/>
          <w:w w:val="86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楷体_GBK" w:cs="Times New Roman"/>
          <w:w w:val="86"/>
          <w:sz w:val="32"/>
          <w:szCs w:val="32"/>
          <w:lang w:val="en-US" w:eastAsia="zh-CN"/>
        </w:rPr>
        <w:t>日玉溪市红塔区第六届人大常委会第</w:t>
      </w:r>
      <w:r>
        <w:rPr>
          <w:rFonts w:hint="eastAsia" w:eastAsia="方正楷体_GBK" w:cs="Times New Roman"/>
          <w:w w:val="86"/>
          <w:sz w:val="32"/>
          <w:szCs w:val="32"/>
          <w:lang w:val="en-US" w:eastAsia="zh-CN"/>
        </w:rPr>
        <w:t>二十五</w:t>
      </w:r>
      <w:r>
        <w:rPr>
          <w:rFonts w:hint="default" w:ascii="Times New Roman" w:hAnsi="Times New Roman" w:eastAsia="方正楷体_GBK" w:cs="Times New Roman"/>
          <w:w w:val="86"/>
          <w:sz w:val="32"/>
          <w:szCs w:val="32"/>
          <w:lang w:val="en-US" w:eastAsia="zh-CN"/>
        </w:rPr>
        <w:t>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0" w:lineRule="exact"/>
        <w:ind w:firstLine="640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玉溪市红塔区第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六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届人民代表大会常务委员会第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二十五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次会议，听取了区财政局受区人民政府委托所作的《关于红塔区202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财政预算调整方案（草案）的报告》，审查了区人民政府提出的20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2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年财政预算调整方案。会议同意区人民代表大会财政经济委员会提出的《关于红塔区20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2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年财政预算调整方案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zh-CN"/>
        </w:rPr>
        <w:t>（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草案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的审查结果报告》，决定批准红塔区20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2</w:t>
      </w:r>
      <w:r>
        <w:rPr>
          <w:rFonts w:hint="eastAsia" w:eastAsia="方正仿宋_GBK" w:cs="Times New Roman"/>
          <w:snapToGrid w:val="0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年财政预算调整方案。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napToGrid w:val="0"/>
        <w:spacing w:line="580" w:lineRule="exact"/>
        <w:ind w:firstLine="640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739" w:firstLineChars="148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sz w:val="32"/>
        </w:rPr>
        <w:pict>
          <v:shape id="Control 7" o:spid="_x0000_s1028" o:spt="201" type="#_x0000_t201" style="position:absolute;left:0pt;margin-left:265.1pt;margin-top:-42.5pt;height:131pt;width:129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</v:shape>
          <w:control r:id="rId9" w:name="CWordOLECtrl1" w:shapeid="Control 7"/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玉溪市红塔区人大常委会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玉溪市红塔区人民代表大会财政经济委员会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关于红塔区202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年财政预算调整方案（草案）的审查结果报告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预算法》《云南省预算审查监督条例》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及区人大常委会202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年工作安排，预算工委在对202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年财政预算调整方案（草案）进行初步审查的基础上，组织部分区人大代表、预算审查咨询专家对预算调整草案进行了联合审查，并将审查意见反馈财政部门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。区人大财政经济委员会于10月17日召开全体会议，对预算调整草案作了进一步审查，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现将审查结果报告如下：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一、年初预算安排情况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经区第六届人民代表大会第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次会议批准，一般公共预算收入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175,612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万元，支出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331,385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万元；政府性基金预算收入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172,611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241,402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万元；国有资本经营预算收入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1,123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万元，支出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1,565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万元；社会保险基金预算收入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208,838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万元，支出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174,633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二、财政预算调整方案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区一般公共预算收入调整为180,300万元，比年初预算增加4,688万元，增长2.7%；比上年增加8,142万元，增长4.7%。一般公共预算支出调整为343,224万元，比年初预算增加11,839万元，增长3.6%，比上年增加21,491万元，增长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平衡情况：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现行省对市、市对区财政体制计算，一般公共预算收入180,300万元，转移性收入176,784万元，上年结转收入17,617万元，调入资金48,500万元，债务转贷收入2,860万元，动用预算稳定调节基金1,204万元，收入总计427,265万元。一般公共预算支出343,224万元，上解支出54,172万元，债务还本支出2,860万元，调出资金25,526万元，支出总计425,782万元，年终结余1,483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政府性基金收入调整为173,578万元，比年初预算增加967万元，增长0.6%，比上年增加141,320万元，增长438.1%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政府性基金支出调整为262,949万元，比年初增加21,547万元，增长8.9%，比上年增加117,366万元，增长80.6%。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平衡情况：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政府性基金预算收入预计完成173,578万元，转移性收入43,600万元，上年结余23,756万元，债务转贷收入133,200万元，调入资金25,526万元，收入合计399,660万元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政府性基金预算支出262,949万元，上解支出5,913万元，债务还本支出65,760万元，支出合计334,622万元，年终结余65,038万元。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）国有资本经营预算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国有资本经营预算收入调整为48,558万元，比年初预算增加47,435万元，增长42.2倍，比上年增加36,781万元，增长3.1倍。国有资本经营预算支出调整为395万元，比年初预算减少1,170万元，下降74.8%，比上年增加53万元，增长15.5%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平衡情况：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国有资本经营预算收入预计完成48,558万元，上级补助229万元，上年结余213万元，收入总计49,000万元。国有资本经营预算支出395万元，调出资金48,500万元，年终结余105万元。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）社会保险基金预算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社会保险基金预算收入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调整为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208,817万元，比年初预算数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减少21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0.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。社会保险基金预算支出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调整为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162,706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万元，比预算数减少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,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927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万元，下降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.8%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平衡情况：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社会保险基金预算收入预计完成208,817万元，上级补助收入97,923万元，上年结余81,998万元，收入总计388,738万元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社会保险基金预算支出预计完成162,706万元，上解上级支出121,561万元，支出合计284,267万元，年终滚存结余104,471万元。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（五）债务调整事项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年，年初预算编报债券转贷收入106,220万元，主要是：再融资一般债券转贷收入2,860万元，新增专项债券转贷收入100,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0万元，再融资专项债券转贷收入3,360万元。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调整情况：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新增专项债券转贷收入71,500万元，比年初预算减少28,500万元，下降28.5%；再融资专项债券转贷收入65,060万元，比年初预算增加61,700万元，增长183.6%。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财政经济委员会认为，202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年以来，区人民政府及其财政等部门认真贯彻落实党中央决策部署和省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、市、区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委工作要求，强化收支预算管理，有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力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保障重点领域资金需求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切实兜牢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三保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底线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财政运行总体平稳。区人民政府提出的202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年财政预算调整方案，符合</w:t>
      </w:r>
      <w:r>
        <w:rPr>
          <w:rFonts w:hint="eastAsia" w:eastAsia="方正仿宋_GBK" w:cs="Times New Roman"/>
          <w:b w:val="0"/>
          <w:kern w:val="2"/>
          <w:sz w:val="32"/>
          <w:szCs w:val="32"/>
          <w:lang w:val="en-US" w:eastAsia="zh-CN" w:bidi="ar-SA"/>
        </w:rPr>
        <w:t>《中华人民共和国预算法》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和《云南省预算审查监督条例》等规定，符合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区经济社会发展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实际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，调整方案总体可行。财政经济委员会建议本次常委会批准区人民政府提出的202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年财政预算调整方案。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财政经济委员会认为，202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年财政预算调整工作中仍存在一些困难和问题，主要是：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财政收支矛盾依然突出，“三保”保障压力较大；预算编制不精准，部分指标调整幅度过大；债务风险不容忽视，化债力度有待加强等。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为进一步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加强财政预算管理工作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，财政经济委员会建议：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狠抓组织收入，兜牢“三保”底线。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要深入贯彻落实党中央、国务院关于实施税费优惠政策的决策部署，确保税费优惠政策落地见效，激发市场主体活力。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要依法依规组织财政收入，严格税收收入和非税收入征管，确保实现收入预期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。积极向上争取资金及政策支持，加大存量资金、资产、资源盘活力度，对储备土地实行精细化管理，提高土地利用效益。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加强财力统筹、优化支出结构，坚持“三保”支出在财政支出的优先地位，强化“三保”支出保障责任，统筹使用好本级组织收入和上级转移支付，切实保障“三保”需求。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（二）科学编制预算，加强资金监管。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一是要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严格按照本次常委会会议批准的预算调整方案组织实施，督促预算调整项目落地落实，尽快形成实物量支出，实现项目进度和预算执行同步，确保实现预期目标。科学研判财政收支情况，提高预算编制的精准性，避免预算收支调整过大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要牢固树立“过紧日子”的思想，大力压减一般性支出和非急需、非刚性支出，加强对“三公经费”和一般性行政支出资金的监管，确保资金花在“刀刃”上。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要不断健全库款运行监测机制，实时跟踪资金分配、拨付、使用情况，确保预算执行及时到位，财政资金安全高效使用。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重视债务管理，防范财政风险。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要严格落实债务限额管理，将所有政府债务纳入限额并分类纳入预算管理。规范融资举债“前门”，对政府债务实行规模和成本“双控”，严格在债务限额内通过申报发行政府债券规范举债。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要围绕区委、区政府重点工作安排部署及重大项目资金需求，积极谋划争取新增债券资金，切实抓好项目前期、项目储备、项目申报等工作。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要树牢风险意识和底线思维，坚决制止违规举债融资行为，稳妥化解存量债务，牢牢守住不发生系统性风险底线。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（四）强化绩效管理，加大审计力度。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要建立健全预算绩效管理体系，指导各预算单位对预算执行、政策落实、绩效目标实现程度等实施动态跟踪，切实做到“花钱必问效，无效必问责”。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要加大审计监督力度，审计部门要有重点地对重点领域、重点部门、重点资金进行跟踪延伸审计，督促相关部门抓紧抓实审计查出问题的整改，按时向区人大常委会报告，建立健全审计与监察机关、财政等部门协调联动机制，强化结果运用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以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上报告，请予审议。</w:t>
      </w:r>
    </w:p>
    <w:p>
      <w:pPr>
        <w:pStyle w:val="2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主送：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区人民政府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抄送：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区委、区政协、区监委、区法院、区检察院，区委和区级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国家机关各部委办局、人民团体、事业单位。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玉溪市红塔区人大常委会办公室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202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日 印发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814" w:right="1531" w:bottom="181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DhjZDY4YjMyYzg0NTlmZTc3M2IxYzFiMjBlMWMifQ=="/>
    <w:docVar w:name="KSO_WPS_MARK_KEY" w:val="e68fc7af-2300-4e23-8805-5de47cd5576d"/>
  </w:docVars>
  <w:rsids>
    <w:rsidRoot w:val="27E06C00"/>
    <w:rsid w:val="00360DD7"/>
    <w:rsid w:val="02F52F6F"/>
    <w:rsid w:val="05E955EC"/>
    <w:rsid w:val="082F6ED8"/>
    <w:rsid w:val="0A7D354A"/>
    <w:rsid w:val="0ADE3233"/>
    <w:rsid w:val="0E127615"/>
    <w:rsid w:val="0F8C47D8"/>
    <w:rsid w:val="100A34DF"/>
    <w:rsid w:val="12C13A2B"/>
    <w:rsid w:val="15F27509"/>
    <w:rsid w:val="19BC2326"/>
    <w:rsid w:val="19D83884"/>
    <w:rsid w:val="1C953A7C"/>
    <w:rsid w:val="1CAC41D6"/>
    <w:rsid w:val="27453F01"/>
    <w:rsid w:val="27E06C00"/>
    <w:rsid w:val="28E6294A"/>
    <w:rsid w:val="2C5B1403"/>
    <w:rsid w:val="2C7A1B4B"/>
    <w:rsid w:val="2CD34FD0"/>
    <w:rsid w:val="2EAB2E54"/>
    <w:rsid w:val="312E43F1"/>
    <w:rsid w:val="34F44E2F"/>
    <w:rsid w:val="363A562C"/>
    <w:rsid w:val="37B62129"/>
    <w:rsid w:val="388F4CC5"/>
    <w:rsid w:val="3A722CE2"/>
    <w:rsid w:val="3ECF58AD"/>
    <w:rsid w:val="42370B42"/>
    <w:rsid w:val="44CE64CB"/>
    <w:rsid w:val="49D97E6A"/>
    <w:rsid w:val="51561DD8"/>
    <w:rsid w:val="525B57AA"/>
    <w:rsid w:val="568D076C"/>
    <w:rsid w:val="56D44221"/>
    <w:rsid w:val="5AF750E7"/>
    <w:rsid w:val="5E24295D"/>
    <w:rsid w:val="5FA71AE6"/>
    <w:rsid w:val="61162215"/>
    <w:rsid w:val="6C897757"/>
    <w:rsid w:val="6F255296"/>
    <w:rsid w:val="725A3DB6"/>
    <w:rsid w:val="7268400C"/>
    <w:rsid w:val="736027C9"/>
    <w:rsid w:val="73A51CAE"/>
    <w:rsid w:val="76351829"/>
    <w:rsid w:val="773B3A6A"/>
    <w:rsid w:val="78670468"/>
    <w:rsid w:val="7A091518"/>
    <w:rsid w:val="7A242E72"/>
    <w:rsid w:val="7A9325E0"/>
    <w:rsid w:val="7C4B6282"/>
    <w:rsid w:val="7DB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黑体_GBK"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/>
      <w:sz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semiHidden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7">
    <w:name w:val="Body Text"/>
    <w:basedOn w:val="1"/>
    <w:qFormat/>
    <w:uiPriority w:val="0"/>
    <w:pPr>
      <w:ind w:left="707"/>
    </w:pPr>
    <w:rPr>
      <w:rFonts w:hint="eastAsia" w:ascii="宋体" w:hAnsi="宋体"/>
      <w:sz w:val="23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7"/>
    <w:qFormat/>
    <w:uiPriority w:val="0"/>
    <w:pPr>
      <w:ind w:firstLine="420" w:firstLineChars="100"/>
    </w:pPr>
  </w:style>
  <w:style w:type="paragraph" w:styleId="16">
    <w:name w:val="Body Text First Indent 2"/>
    <w:basedOn w:val="1"/>
    <w:next w:val="15"/>
    <w:qFormat/>
    <w:uiPriority w:val="0"/>
    <w:pPr>
      <w:ind w:firstLine="420" w:firstLineChars="200"/>
    </w:pPr>
  </w:style>
  <w:style w:type="character" w:styleId="19">
    <w:name w:val="page number"/>
    <w:basedOn w:val="18"/>
    <w:qFormat/>
    <w:uiPriority w:val="0"/>
    <w:rPr>
      <w:rFonts w:ascii="Times New Roman" w:hAnsi="Times New Roman" w:eastAsia="宋体" w:cs="Times New Roman"/>
    </w:rPr>
  </w:style>
  <w:style w:type="paragraph" w:customStyle="1" w:styleId="20">
    <w:name w:val="Char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sz w:val="32"/>
      <w:szCs w:val="32"/>
    </w:rPr>
  </w:style>
  <w:style w:type="paragraph" w:customStyle="1" w:styleId="21">
    <w:name w:val="公文（题目）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方正小标宋_GBK"/>
      <w:b/>
      <w:kern w:val="44"/>
      <w:sz w:val="44"/>
    </w:rPr>
  </w:style>
  <w:style w:type="paragraph" w:customStyle="1" w:styleId="22">
    <w:name w:val="正文首行缩进 21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方正仿宋_GBK" w:cs="Times New Roman"/>
      <w:sz w:val="32"/>
      <w:szCs w:val="28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  <customShpInfo spid="_x0000_s1026" textRotate="1"/>
    <customShpInfo spid="_x0000_s1027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2025-02-08T03:42:00Z</dcterms:created>
  <dc:creator>高雨燕</dc:creator>
  <cp:lastModifiedBy>高雨燕</cp:lastModifiedBy>
  <dcterms:modified xsi:type="dcterms:W3CDTF">2025-02-08T03:43:58Z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1F48C7965F1344FD9D2E9F7ADD7800E6</vt:lpwstr>
  </property>
</Properties>
</file>