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玉溪市红塔区水利局政府信息公开基本目录(2024年）</w:t>
      </w:r>
    </w:p>
    <w:p>
      <w:pPr>
        <w:jc w:val="center"/>
        <w:rPr>
          <w:rFonts w:hint="eastAsia"/>
          <w:sz w:val="44"/>
          <w:szCs w:val="44"/>
        </w:rPr>
      </w:pPr>
    </w:p>
    <w:tbl>
      <w:tblPr>
        <w:tblW w:w="138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495"/>
        <w:gridCol w:w="847"/>
        <w:gridCol w:w="800"/>
        <w:gridCol w:w="2135"/>
        <w:gridCol w:w="1629"/>
        <w:gridCol w:w="1404"/>
        <w:gridCol w:w="1157"/>
        <w:gridCol w:w="3321"/>
        <w:gridCol w:w="654"/>
        <w:gridCol w:w="439"/>
        <w:gridCol w:w="439"/>
        <w:gridCol w:w="5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495" w:type="dxa"/>
            <w:vMerge w:val="restart"/>
            <w:tcBorders>
              <w:top w:val="single" w:color="000000"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序号</w:t>
            </w:r>
          </w:p>
        </w:tc>
        <w:tc>
          <w:tcPr>
            <w:tcW w:w="1647" w:type="dxa"/>
            <w:gridSpan w:val="2"/>
            <w:tcBorders>
              <w:top w:val="single" w:color="000000"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公开事项</w:t>
            </w:r>
          </w:p>
        </w:tc>
        <w:tc>
          <w:tcPr>
            <w:tcW w:w="2135" w:type="dxa"/>
            <w:vMerge w:val="restart"/>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公开内容（要素）</w:t>
            </w:r>
          </w:p>
        </w:tc>
        <w:tc>
          <w:tcPr>
            <w:tcW w:w="1629" w:type="dxa"/>
            <w:vMerge w:val="restart"/>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公开依据</w:t>
            </w:r>
          </w:p>
        </w:tc>
        <w:tc>
          <w:tcPr>
            <w:tcW w:w="1404" w:type="dxa"/>
            <w:vMerge w:val="restart"/>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时限</w:t>
            </w:r>
          </w:p>
        </w:tc>
        <w:tc>
          <w:tcPr>
            <w:tcW w:w="1157" w:type="dxa"/>
            <w:vMerge w:val="restart"/>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主体</w:t>
            </w:r>
          </w:p>
        </w:tc>
        <w:tc>
          <w:tcPr>
            <w:tcW w:w="3321" w:type="dxa"/>
            <w:vMerge w:val="restart"/>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公开渠道和载体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表示可选项，由各地根据有关要求和实际情况确定）</w:t>
            </w:r>
          </w:p>
        </w:tc>
        <w:tc>
          <w:tcPr>
            <w:tcW w:w="1093" w:type="dxa"/>
            <w:gridSpan w:val="2"/>
            <w:tcBorders>
              <w:top w:val="single" w:color="000000" w:sz="6" w:space="0"/>
              <w:left w:val="single" w:color="auto" w:sz="6" w:space="0"/>
              <w:bottom w:val="single" w:color="auto"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公开对象</w:t>
            </w:r>
          </w:p>
        </w:tc>
        <w:tc>
          <w:tcPr>
            <w:tcW w:w="986" w:type="dxa"/>
            <w:gridSpan w:val="2"/>
            <w:tcBorders>
              <w:top w:val="single" w:color="000000"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公开方式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495" w:type="dxa"/>
            <w:vMerge w:val="continue"/>
            <w:tcBorders>
              <w:top w:val="single" w:color="000000"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rPr>
                <w:rFonts w:hint="eastAsia" w:ascii="宋体"/>
                <w:sz w:val="24"/>
                <w:szCs w:val="24"/>
              </w:rPr>
            </w:pPr>
          </w:p>
        </w:tc>
        <w:tc>
          <w:tcPr>
            <w:tcW w:w="8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一级事项</w:t>
            </w:r>
          </w:p>
        </w:tc>
        <w:tc>
          <w:tcPr>
            <w:tcW w:w="800"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二级事项</w:t>
            </w:r>
          </w:p>
        </w:tc>
        <w:tc>
          <w:tcPr>
            <w:tcW w:w="2135" w:type="dxa"/>
            <w:vMerge w:val="continue"/>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rPr>
                <w:rFonts w:hint="eastAsia" w:ascii="宋体"/>
                <w:sz w:val="24"/>
                <w:szCs w:val="24"/>
              </w:rPr>
            </w:pPr>
          </w:p>
        </w:tc>
        <w:tc>
          <w:tcPr>
            <w:tcW w:w="1629" w:type="dxa"/>
            <w:vMerge w:val="continue"/>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rPr>
                <w:rFonts w:hint="eastAsia" w:ascii="宋体"/>
                <w:sz w:val="24"/>
                <w:szCs w:val="24"/>
              </w:rPr>
            </w:pPr>
          </w:p>
        </w:tc>
        <w:tc>
          <w:tcPr>
            <w:tcW w:w="1404" w:type="dxa"/>
            <w:vMerge w:val="continue"/>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rPr>
                <w:rFonts w:hint="eastAsia" w:ascii="宋体"/>
                <w:sz w:val="24"/>
                <w:szCs w:val="24"/>
              </w:rPr>
            </w:pPr>
          </w:p>
        </w:tc>
        <w:tc>
          <w:tcPr>
            <w:tcW w:w="1157" w:type="dxa"/>
            <w:vMerge w:val="continue"/>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rPr>
                <w:rFonts w:hint="eastAsia" w:ascii="宋体"/>
                <w:sz w:val="24"/>
                <w:szCs w:val="24"/>
              </w:rPr>
            </w:pPr>
          </w:p>
        </w:tc>
        <w:tc>
          <w:tcPr>
            <w:tcW w:w="3321" w:type="dxa"/>
            <w:vMerge w:val="continue"/>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rPr>
                <w:rFonts w:hint="eastAsia" w:ascii="宋体"/>
                <w:sz w:val="24"/>
                <w:szCs w:val="24"/>
              </w:rPr>
            </w:pP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全社会</w:t>
            </w:r>
          </w:p>
        </w:tc>
        <w:tc>
          <w:tcPr>
            <w:tcW w:w="439" w:type="dxa"/>
            <w:tcBorders>
              <w:top w:val="single" w:color="000000"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特定群体</w:t>
            </w:r>
          </w:p>
        </w:tc>
        <w:tc>
          <w:tcPr>
            <w:tcW w:w="439" w:type="dxa"/>
            <w:tcBorders>
              <w:top w:val="single" w:color="000000"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主动</w:t>
            </w:r>
          </w:p>
        </w:tc>
        <w:tc>
          <w:tcPr>
            <w:tcW w:w="547" w:type="dxa"/>
            <w:tcBorders>
              <w:top w:val="single" w:color="000000"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0" w:afterAutospacing="1" w:line="450" w:lineRule="atLeast"/>
              <w:ind w:left="0" w:right="0"/>
              <w:jc w:val="center"/>
              <w:textAlignment w:val="center"/>
            </w:pPr>
            <w:r>
              <w:rPr>
                <w:rFonts w:hint="default" w:ascii="Times New Roman" w:hAnsi="Times New Roman" w:cs="Times New Roman"/>
                <w:spacing w:val="0"/>
                <w:sz w:val="18"/>
                <w:szCs w:val="18"/>
                <w:bdr w:val="none" w:color="auto" w:sz="0" w:space="0"/>
              </w:rPr>
              <w:t>依申请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r>
              <w:rPr>
                <w:rFonts w:hint="default" w:ascii="Times New Roman" w:hAnsi="Times New Roman" w:cs="Times New Roman"/>
                <w:spacing w:val="0"/>
                <w:sz w:val="19"/>
                <w:szCs w:val="19"/>
                <w:bdr w:val="none" w:color="auto" w:sz="0" w:space="0"/>
              </w:rPr>
              <w:t>1</w:t>
            </w:r>
          </w:p>
        </w:tc>
        <w:tc>
          <w:tcPr>
            <w:tcW w:w="8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r>
              <w:rPr>
                <w:rFonts w:ascii="宋体" w:hAnsi="宋体" w:eastAsia="宋体" w:cs="宋体"/>
                <w:kern w:val="0"/>
                <w:sz w:val="24"/>
                <w:szCs w:val="24"/>
                <w:bdr w:val="none" w:color="auto" w:sz="0" w:space="0"/>
                <w:lang w:val="en-US" w:eastAsia="zh-CN" w:bidi="ar"/>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bdr w:val="none" w:color="auto" w:sz="0" w:space="0"/>
              </w:rPr>
              <w:t>机构设置</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150" w:afterAutospacing="0" w:line="400" w:lineRule="exact"/>
              <w:ind w:left="0" w:right="0"/>
              <w:textAlignment w:val="center"/>
            </w:pPr>
            <w:r>
              <w:rPr>
                <w:rFonts w:hint="default" w:ascii="Times New Roman" w:hAnsi="Times New Roman" w:cs="Times New Roman"/>
                <w:sz w:val="15"/>
                <w:szCs w:val="15"/>
                <w:bdr w:val="none" w:color="auto" w:sz="0" w:space="0"/>
              </w:rPr>
              <w:t>1.</w:t>
            </w:r>
            <w:r>
              <w:rPr>
                <w:rFonts w:hint="eastAsia" w:ascii="宋体" w:hAnsi="宋体" w:eastAsia="宋体" w:cs="宋体"/>
                <w:sz w:val="15"/>
                <w:szCs w:val="15"/>
                <w:bdr w:val="none" w:color="auto" w:sz="0" w:space="0"/>
              </w:rPr>
              <w:t>机构基本信息、职能</w:t>
            </w:r>
            <w:r>
              <w:rPr>
                <w:rFonts w:hint="default" w:ascii="Times New Roman" w:hAnsi="Times New Roman" w:cs="Times New Roman"/>
                <w:sz w:val="15"/>
                <w:szCs w:val="15"/>
                <w:bdr w:val="none" w:color="auto" w:sz="0" w:space="0"/>
              </w:rPr>
              <w:br w:type="textWrapping"/>
            </w:r>
            <w:r>
              <w:rPr>
                <w:rFonts w:hint="default" w:ascii="Times New Roman" w:hAnsi="Times New Roman" w:cs="Times New Roman"/>
                <w:sz w:val="15"/>
                <w:szCs w:val="15"/>
                <w:bdr w:val="none" w:color="auto" w:sz="0" w:space="0"/>
              </w:rPr>
              <w:t>2.</w:t>
            </w:r>
            <w:r>
              <w:rPr>
                <w:rFonts w:hint="eastAsia" w:ascii="宋体" w:hAnsi="宋体" w:eastAsia="宋体" w:cs="宋体"/>
                <w:sz w:val="15"/>
                <w:szCs w:val="15"/>
                <w:bdr w:val="none" w:color="auto" w:sz="0" w:space="0"/>
              </w:rPr>
              <w:t>内设机构及联系方式</w:t>
            </w:r>
            <w:r>
              <w:rPr>
                <w:rFonts w:hint="default" w:ascii="Times New Roman" w:hAnsi="Times New Roman" w:cs="Times New Roman"/>
                <w:sz w:val="15"/>
                <w:szCs w:val="15"/>
                <w:bdr w:val="none" w:color="auto" w:sz="0" w:space="0"/>
              </w:rPr>
              <w:br w:type="textWrapping"/>
            </w:r>
            <w:r>
              <w:rPr>
                <w:rFonts w:hint="default" w:ascii="Times New Roman" w:hAnsi="Times New Roman" w:cs="Times New Roman"/>
                <w:sz w:val="15"/>
                <w:szCs w:val="15"/>
                <w:bdr w:val="none" w:color="auto" w:sz="0" w:space="0"/>
              </w:rPr>
              <w:t>3.</w:t>
            </w:r>
            <w:r>
              <w:rPr>
                <w:rFonts w:hint="eastAsia" w:ascii="宋体" w:hAnsi="宋体" w:eastAsia="宋体" w:cs="宋体"/>
                <w:sz w:val="15"/>
                <w:szCs w:val="15"/>
                <w:bdr w:val="none" w:color="auto" w:sz="0" w:space="0"/>
              </w:rPr>
              <w:t>所属事业单位职能及联系方式</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r>
              <w:rPr>
                <w:rFonts w:hint="default" w:ascii="Times New Roman" w:hAnsi="Times New Roman" w:cs="Times New Roman"/>
                <w:spacing w:val="0"/>
                <w:sz w:val="19"/>
                <w:szCs w:val="19"/>
                <w:bdr w:val="none" w:color="auto" w:sz="0" w:space="0"/>
              </w:rPr>
              <w:t>2</w:t>
            </w:r>
          </w:p>
        </w:tc>
        <w:tc>
          <w:tcPr>
            <w:tcW w:w="8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bdr w:val="none" w:color="auto" w:sz="0" w:space="0"/>
              </w:rPr>
              <w:t>领导信息</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bdr w:val="none" w:color="auto" w:sz="0" w:space="0"/>
              </w:rPr>
              <w:t>姓名、职务、简历、分管工作</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r>
              <w:rPr>
                <w:rFonts w:hint="default" w:ascii="Times New Roman" w:hAnsi="Times New Roman" w:cs="Times New Roman"/>
                <w:spacing w:val="0"/>
                <w:sz w:val="19"/>
                <w:szCs w:val="19"/>
                <w:bdr w:val="none" w:color="auto" w:sz="0" w:space="0"/>
              </w:rPr>
              <w:t>3</w:t>
            </w:r>
          </w:p>
        </w:tc>
        <w:tc>
          <w:tcPr>
            <w:tcW w:w="8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bdr w:val="none" w:color="auto" w:sz="0" w:space="0"/>
              </w:rPr>
              <w:t>公开指南</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Times New Roman" w:hAnsi="Times New Roman" w:cs="Times New Roman"/>
                <w:sz w:val="15"/>
                <w:szCs w:val="15"/>
                <w:bdr w:val="none" w:color="auto" w:sz="0" w:space="0"/>
              </w:rPr>
              <w:t>1.</w:t>
            </w:r>
            <w:r>
              <w:rPr>
                <w:rFonts w:hint="eastAsia" w:ascii="宋体" w:hAnsi="宋体" w:eastAsia="宋体" w:cs="宋体"/>
                <w:sz w:val="15"/>
                <w:szCs w:val="15"/>
                <w:bdr w:val="none" w:color="auto" w:sz="0" w:space="0"/>
              </w:rPr>
              <w:t>主动公开的政府信息</w:t>
            </w:r>
            <w:r>
              <w:rPr>
                <w:rFonts w:hint="default" w:ascii="Times New Roman" w:hAnsi="Times New Roman" w:cs="Times New Roman"/>
                <w:sz w:val="15"/>
                <w:szCs w:val="15"/>
                <w:bdr w:val="none" w:color="auto" w:sz="0" w:space="0"/>
              </w:rPr>
              <w:t> </w:t>
            </w:r>
            <w:r>
              <w:rPr>
                <w:rFonts w:hint="default" w:ascii="Times New Roman" w:hAnsi="Times New Roman" w:cs="Times New Roman"/>
                <w:sz w:val="15"/>
                <w:szCs w:val="15"/>
                <w:bdr w:val="none" w:color="auto" w:sz="0" w:space="0"/>
              </w:rPr>
              <w:br w:type="textWrapping"/>
            </w:r>
            <w:r>
              <w:rPr>
                <w:rFonts w:hint="default" w:ascii="Times New Roman" w:hAnsi="Times New Roman" w:cs="Times New Roman"/>
                <w:sz w:val="15"/>
                <w:szCs w:val="15"/>
                <w:bdr w:val="none" w:color="auto" w:sz="0" w:space="0"/>
              </w:rPr>
              <w:t>2.</w:t>
            </w:r>
            <w:r>
              <w:rPr>
                <w:rFonts w:hint="eastAsia" w:ascii="宋体" w:hAnsi="宋体" w:eastAsia="宋体" w:cs="宋体"/>
                <w:sz w:val="15"/>
                <w:szCs w:val="15"/>
                <w:bdr w:val="none" w:color="auto" w:sz="0" w:space="0"/>
              </w:rPr>
              <w:t>依申请公开受理机构、流程等</w:t>
            </w:r>
            <w:r>
              <w:rPr>
                <w:rFonts w:hint="default" w:ascii="Times New Roman" w:hAnsi="Times New Roman" w:cs="Times New Roman"/>
                <w:sz w:val="15"/>
                <w:szCs w:val="15"/>
                <w:bdr w:val="none" w:color="auto" w:sz="0" w:space="0"/>
              </w:rPr>
              <w:br w:type="textWrapping"/>
            </w:r>
            <w:r>
              <w:rPr>
                <w:rFonts w:hint="default" w:ascii="Times New Roman" w:hAnsi="Times New Roman" w:cs="Times New Roman"/>
                <w:sz w:val="15"/>
                <w:szCs w:val="15"/>
                <w:bdr w:val="none" w:color="auto" w:sz="0" w:space="0"/>
              </w:rPr>
              <w:t>3.</w:t>
            </w:r>
            <w:r>
              <w:rPr>
                <w:rFonts w:hint="eastAsia" w:ascii="宋体" w:hAnsi="宋体" w:eastAsia="宋体" w:cs="宋体"/>
                <w:sz w:val="15"/>
                <w:szCs w:val="15"/>
                <w:bdr w:val="none" w:color="auto" w:sz="0" w:space="0"/>
              </w:rPr>
              <w:t>政府信息公开机构信息</w:t>
            </w:r>
            <w:r>
              <w:rPr>
                <w:rFonts w:hint="default" w:ascii="Times New Roman" w:hAnsi="Times New Roman" w:cs="Times New Roman"/>
                <w:sz w:val="15"/>
                <w:szCs w:val="15"/>
                <w:bdr w:val="none" w:color="auto" w:sz="0" w:space="0"/>
              </w:rPr>
              <w:br w:type="textWrapping"/>
            </w:r>
            <w:r>
              <w:rPr>
                <w:rFonts w:hint="default" w:ascii="Times New Roman" w:hAnsi="Times New Roman" w:cs="Times New Roman"/>
                <w:sz w:val="15"/>
                <w:szCs w:val="15"/>
                <w:bdr w:val="none" w:color="auto" w:sz="0" w:space="0"/>
              </w:rPr>
              <w:t>4.</w:t>
            </w:r>
            <w:r>
              <w:rPr>
                <w:rFonts w:hint="eastAsia" w:ascii="宋体" w:hAnsi="宋体" w:eastAsia="宋体" w:cs="宋体"/>
                <w:sz w:val="15"/>
                <w:szCs w:val="15"/>
                <w:bdr w:val="none" w:color="auto" w:sz="0" w:space="0"/>
              </w:rPr>
              <w:t>监督方式</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10"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4</w:t>
            </w:r>
          </w:p>
        </w:tc>
        <w:tc>
          <w:tcPr>
            <w:tcW w:w="847" w:type="dxa"/>
            <w:tcBorders>
              <w:top w:val="single" w:color="auto" w:sz="6" w:space="0"/>
              <w:left w:val="single" w:color="auto"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政策文件</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水利领域政策文件及相关解读</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77"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5</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重大决策预公开</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水利领域的重大决策，决策前向社会公开决策草案、决策依据，意见征集方式和期限</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《中华人民共和国政府信息公开条例》《重大行政决策程序暂行条例》</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按进展情况及时公开</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30"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6</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回应关切</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对涉及到水利领域经济社会热点问题、群众广泛关注的热点、咨询的相关问题等进行回应</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《中华人民共和国政府信息公开条例》《国务院办公厅关于进一步加强政府信息公开回应社会关切提升政府公信力的意见》《国务院办公厅关于在政务公开工作中进一步做好政务舆情回应的通知》</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及时回应</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550"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7</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业务办理</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主要业务工作的办事依据、条件、程序、时限，办事时间、地点、部门、联系方式及相关办理结果</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《中华人民共和国政府信息公开条例》《国务院办公厅关于全面推行行政执法公示制度全过程记录制度重大执法决定法制审核制度的指导意见》</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行政许可的执法决定信息在执法决定作出之日起7</w:t>
            </w:r>
            <w:r>
              <w:rPr>
                <w:rFonts w:hint="eastAsia" w:ascii="宋体" w:hAnsi="宋体" w:eastAsia="宋体" w:cs="宋体"/>
                <w:spacing w:val="0"/>
                <w:sz w:val="18"/>
                <w:szCs w:val="18"/>
                <w:bdr w:val="none" w:color="auto" w:sz="0" w:space="0"/>
              </w:rPr>
              <w:t>个工作日内，其他信息形成或者变更之日起</w:t>
            </w:r>
            <w:r>
              <w:rPr>
                <w:rFonts w:hint="default" w:ascii="Times New Roman" w:hAnsi="Times New Roman" w:cs="Times New Roman"/>
                <w:spacing w:val="0"/>
                <w:sz w:val="18"/>
                <w:szCs w:val="18"/>
                <w:bdr w:val="none" w:color="auto" w:sz="0" w:space="0"/>
              </w:rPr>
              <w:t>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8</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公共服务</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依法行政</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实施行政处罚、行政强制等事项的依据、条件、程序以及本行政机关认为具有一定社会影响的行政处罚决定</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《中华人民共和国政府信息公开条例》《国务院办公厅关于全面推行行政执法公示制度全过程记录制度重大执法决定法制审核制度的指导意见》</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行政处罚的执法决定信息在执法决定作出之日起7</w:t>
            </w:r>
            <w:r>
              <w:rPr>
                <w:rFonts w:hint="eastAsia" w:ascii="宋体" w:hAnsi="宋体" w:eastAsia="宋体" w:cs="宋体"/>
                <w:spacing w:val="0"/>
                <w:sz w:val="18"/>
                <w:szCs w:val="18"/>
                <w:bdr w:val="none" w:color="auto" w:sz="0" w:space="0"/>
              </w:rPr>
              <w:t>个工作日内，其他信息形成或者变更之日起</w:t>
            </w:r>
            <w:r>
              <w:rPr>
                <w:rFonts w:hint="default" w:ascii="Times New Roman" w:hAnsi="Times New Roman" w:cs="Times New Roman"/>
                <w:spacing w:val="0"/>
                <w:sz w:val="18"/>
                <w:szCs w:val="18"/>
                <w:bdr w:val="none" w:color="auto" w:sz="0" w:space="0"/>
              </w:rPr>
              <w:t>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00"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9</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水资源管理与保护</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取用水</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重要饮用水水源地名录</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《国务院关于实行最严格水资源管理制度的意见》</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19"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10</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水资源管理与保护</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取用水</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审批机关认为涉及社会公共利益的取水听证，定期发放取水许可证的情况</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《取水许可和水资源费征收管理条例》</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770"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11</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河湖管理</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河湖长制工作</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市级河湖长名录，河湖长姓名、职责、河湖概况、管护目标、监督电话</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《关于全面推行河长制的意见》《关于在湖泊实施湖长制的指导意见》</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w:t>
            </w:r>
            <w:bookmarkStart w:id="0" w:name="_GoBack"/>
            <w:bookmarkEnd w:id="0"/>
            <w:r>
              <w:rPr>
                <w:rFonts w:hint="eastAsia" w:ascii="宋体" w:hAnsi="宋体" w:eastAsia="宋体" w:cs="宋体"/>
                <w:spacing w:val="0"/>
                <w:sz w:val="18"/>
                <w:szCs w:val="18"/>
                <w:bdr w:val="none" w:color="auto" w:sz="0" w:space="0"/>
              </w:rPr>
              <w:t>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905"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12</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监督管理</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水利安全生产监督</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安全生产监督举报电话、信箱或电子邮件地址等</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《中华人民共和国安全生产法》《中华人民共和国政府信息公开条例》</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070" w:hRule="atLeast"/>
        </w:trPr>
        <w:tc>
          <w:tcPr>
            <w:tcW w:w="495" w:type="dxa"/>
            <w:tcBorders>
              <w:top w:val="single" w:color="auto" w:sz="6" w:space="0"/>
              <w:left w:val="single" w:color="000000" w:sz="6" w:space="0"/>
              <w:bottom w:val="single" w:color="000000"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13</w:t>
            </w:r>
          </w:p>
        </w:tc>
        <w:tc>
          <w:tcPr>
            <w:tcW w:w="8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监督管理</w:t>
            </w:r>
          </w:p>
        </w:tc>
        <w:tc>
          <w:tcPr>
            <w:tcW w:w="800"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双随机、一公开</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监管</w:t>
            </w:r>
          </w:p>
        </w:tc>
        <w:tc>
          <w:tcPr>
            <w:tcW w:w="2135"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随机抽查事项清单，抽查情况及查处结果</w:t>
            </w:r>
          </w:p>
        </w:tc>
        <w:tc>
          <w:tcPr>
            <w:tcW w:w="162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《国务院办公厅关于推广随机抽查规范事中事后监管的通知》《水利部办公厅关于印发推行“</w:t>
            </w:r>
            <w:r>
              <w:rPr>
                <w:rFonts w:hint="eastAsia" w:ascii="宋体" w:hAnsi="宋体" w:eastAsia="宋体" w:cs="宋体"/>
                <w:spacing w:val="0"/>
                <w:sz w:val="18"/>
                <w:szCs w:val="18"/>
                <w:bdr w:val="none" w:color="auto" w:sz="0" w:space="0"/>
              </w:rPr>
              <w:t>双随机、一公开</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监管工作方案的通知》</w:t>
            </w:r>
          </w:p>
        </w:tc>
        <w:tc>
          <w:tcPr>
            <w:tcW w:w="140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000000"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325" w:hRule="atLeast"/>
        </w:trPr>
        <w:tc>
          <w:tcPr>
            <w:tcW w:w="495" w:type="dxa"/>
            <w:tcBorders>
              <w:top w:val="single" w:color="auto" w:sz="6" w:space="0"/>
              <w:left w:val="single" w:color="000000" w:sz="6" w:space="0"/>
              <w:bottom w:val="single" w:color="auto" w:sz="6" w:space="0"/>
              <w:right w:val="single" w:color="000000" w:sz="6" w:space="0"/>
            </w:tcBorders>
            <w:shd w:val="clear"/>
            <w:noWrap/>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bdr w:val="none" w:color="auto" w:sz="0" w:space="0"/>
              </w:rPr>
              <w:t>14</w:t>
            </w:r>
          </w:p>
        </w:tc>
        <w:tc>
          <w:tcPr>
            <w:tcW w:w="847"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水利科技</w:t>
            </w:r>
          </w:p>
        </w:tc>
        <w:tc>
          <w:tcPr>
            <w:tcW w:w="800"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水利科技</w:t>
            </w:r>
          </w:p>
        </w:tc>
        <w:tc>
          <w:tcPr>
            <w:tcW w:w="2135"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面向基层需求的成熟适用水利科技成果信息及推广情况，水利科普工作开展情况</w:t>
            </w:r>
          </w:p>
        </w:tc>
        <w:tc>
          <w:tcPr>
            <w:tcW w:w="1629"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《中华人民共和国促进科技成果转化法》《关于新时代进一步加强科学技术普及工作的意见》《水利部、共青团中央、 </w:t>
            </w:r>
            <w:r>
              <w:rPr>
                <w:rFonts w:hint="eastAsia" w:ascii="宋体" w:hAnsi="宋体" w:eastAsia="宋体" w:cs="宋体"/>
                <w:spacing w:val="0"/>
                <w:sz w:val="18"/>
                <w:szCs w:val="18"/>
                <w:bdr w:val="none" w:color="auto" w:sz="0" w:space="0"/>
              </w:rPr>
              <w:t>中国科协关于加强水利科普工作的指导意见》</w:t>
            </w:r>
          </w:p>
        </w:tc>
        <w:tc>
          <w:tcPr>
            <w:tcW w:w="1404"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信息形成或者变更之日起20</w:t>
            </w:r>
            <w:r>
              <w:rPr>
                <w:rFonts w:hint="eastAsia" w:ascii="宋体" w:hAnsi="宋体" w:eastAsia="宋体" w:cs="宋体"/>
                <w:spacing w:val="0"/>
                <w:sz w:val="18"/>
                <w:szCs w:val="18"/>
                <w:bdr w:val="none" w:color="auto" w:sz="0" w:space="0"/>
              </w:rPr>
              <w:t>个工作日内</w:t>
            </w:r>
          </w:p>
        </w:tc>
        <w:tc>
          <w:tcPr>
            <w:tcW w:w="1157"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both"/>
              <w:textAlignment w:val="center"/>
            </w:pPr>
            <w:r>
              <w:rPr>
                <w:rFonts w:hint="default" w:ascii="Times New Roman" w:hAnsi="Times New Roman" w:cs="Times New Roman"/>
                <w:spacing w:val="0"/>
                <w:sz w:val="18"/>
                <w:szCs w:val="18"/>
                <w:bdr w:val="none" w:color="auto" w:sz="0" w:space="0"/>
              </w:rPr>
              <w:t>红塔区水利局</w:t>
            </w:r>
          </w:p>
        </w:tc>
        <w:tc>
          <w:tcPr>
            <w:tcW w:w="3321"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textAlignment w:val="center"/>
            </w:pPr>
            <w:r>
              <w:rPr>
                <w:rFonts w:hint="default" w:ascii="Wingdings 2" w:hAnsi="Wingdings 2" w:eastAsia="Wingdings 2" w:cs="Wingdings 2"/>
                <w:spacing w:val="0"/>
                <w:sz w:val="18"/>
                <w:szCs w:val="18"/>
                <w:bdr w:val="none" w:color="auto" w:sz="0" w:space="0"/>
              </w:rPr>
              <w:t>R</w:t>
            </w:r>
            <w:r>
              <w:rPr>
                <w:rFonts w:hint="default" w:ascii="Times New Roman" w:hAnsi="Times New Roman" w:cs="Times New Roman"/>
                <w:spacing w:val="0"/>
                <w:sz w:val="18"/>
                <w:szCs w:val="18"/>
                <w:bdr w:val="none" w:color="auto" w:sz="0" w:space="0"/>
              </w:rPr>
              <w:t>政府网站    □</w:t>
            </w:r>
            <w:r>
              <w:rPr>
                <w:rFonts w:hint="eastAsia" w:ascii="宋体" w:hAnsi="宋体" w:eastAsia="宋体" w:cs="宋体"/>
                <w:spacing w:val="0"/>
                <w:sz w:val="18"/>
                <w:szCs w:val="18"/>
                <w:bdr w:val="none" w:color="auto" w:sz="0" w:space="0"/>
              </w:rPr>
              <w:t>政府公报</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两微一端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发布会</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听证会 </w:t>
            </w:r>
            <w:r>
              <w:rPr>
                <w:rFonts w:hint="default" w:ascii="Times New Roman" w:hAnsi="Times New Roman" w:cs="Times New Roman"/>
                <w:spacing w:val="0"/>
                <w:sz w:val="18"/>
                <w:szCs w:val="18"/>
                <w:bdr w:val="none" w:color="auto" w:sz="0" w:space="0"/>
              </w:rPr>
              <w:t>                </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广播电视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纸质媒体</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公开查阅点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政务服务中心</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便民服务站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入户</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现场</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社区</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企事业单位</w:t>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村公示栏（电子屏）</w:t>
            </w:r>
            <w:r>
              <w:rPr>
                <w:rFonts w:hint="default" w:ascii="Times New Roman" w:hAnsi="Times New Roman" w:cs="Times New Roman"/>
                <w:spacing w:val="0"/>
                <w:sz w:val="18"/>
                <w:szCs w:val="18"/>
                <w:bdr w:val="none" w:color="auto" w:sz="0" w:space="0"/>
              </w:rPr>
              <w:br w:type="textWrapping"/>
            </w:r>
            <w:r>
              <w:rPr>
                <w:rFonts w:hint="default" w:ascii="Times New Roman" w:hAnsi="Times New Roman" w:cs="Times New Roman"/>
                <w:spacing w:val="0"/>
                <w:sz w:val="18"/>
                <w:szCs w:val="18"/>
                <w:bdr w:val="none" w:color="auto" w:sz="0" w:space="0"/>
              </w:rPr>
              <w:t>□</w:t>
            </w:r>
            <w:r>
              <w:rPr>
                <w:rFonts w:hint="eastAsia" w:ascii="宋体" w:hAnsi="宋体" w:eastAsia="宋体" w:cs="宋体"/>
                <w:spacing w:val="0"/>
                <w:sz w:val="18"/>
                <w:szCs w:val="18"/>
                <w:bdr w:val="none" w:color="auto" w:sz="0" w:space="0"/>
              </w:rPr>
              <w:t>精准推送 </w:t>
            </w:r>
            <w:r>
              <w:rPr>
                <w:rFonts w:hint="default" w:ascii="Times New Roman" w:hAnsi="Times New Roman" w:cs="Times New Roman"/>
                <w:spacing w:val="0"/>
                <w:sz w:val="18"/>
                <w:szCs w:val="18"/>
                <w:bdr w:val="none" w:color="auto" w:sz="0" w:space="0"/>
              </w:rPr>
              <w:t>   □</w:t>
            </w:r>
            <w:r>
              <w:rPr>
                <w:rFonts w:hint="eastAsia" w:ascii="宋体" w:hAnsi="宋体" w:eastAsia="宋体" w:cs="宋体"/>
                <w:spacing w:val="0"/>
                <w:sz w:val="18"/>
                <w:szCs w:val="18"/>
                <w:bdr w:val="none" w:color="auto" w:sz="0" w:space="0"/>
              </w:rPr>
              <w:t>其他</w:t>
            </w:r>
          </w:p>
        </w:tc>
        <w:tc>
          <w:tcPr>
            <w:tcW w:w="654"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439"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c>
          <w:tcPr>
            <w:tcW w:w="439"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jc w:val="center"/>
              <w:textAlignment w:val="center"/>
            </w:pPr>
            <w:r>
              <w:rPr>
                <w:rFonts w:hint="default" w:ascii="Times New Roman" w:hAnsi="Times New Roman" w:cs="Times New Roman"/>
                <w:spacing w:val="0"/>
                <w:sz w:val="18"/>
                <w:szCs w:val="18"/>
                <w:bdr w:val="none" w:color="auto" w:sz="0" w:space="0"/>
              </w:rPr>
              <w:t>√</w:t>
            </w:r>
          </w:p>
        </w:tc>
        <w:tc>
          <w:tcPr>
            <w:tcW w:w="547" w:type="dxa"/>
            <w:tcBorders>
              <w:top w:val="single" w:color="auto" w:sz="6" w:space="0"/>
              <w:left w:val="single" w:color="auto" w:sz="6" w:space="0"/>
              <w:bottom w:val="single" w:color="auto" w:sz="6" w:space="0"/>
              <w:right w:val="single" w:color="000000" w:sz="6" w:space="0"/>
            </w:tcBorders>
            <w:shd w:val="clear"/>
            <w:tcMar>
              <w:top w:w="0" w:type="dxa"/>
              <w:left w:w="30" w:type="dxa"/>
              <w:bottom w:w="0" w:type="dxa"/>
              <w:right w:w="3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75" w:beforeAutospacing="0" w:after="0" w:afterAutospacing="1" w:line="400" w:lineRule="exact"/>
              <w:ind w:left="0" w:right="0"/>
              <w:jc w:val="left"/>
            </w:pP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5" w:beforeAutospacing="0" w:after="0" w:afterAutospacing="1" w:line="400" w:lineRule="exact"/>
        <w:ind w:left="0" w:right="0"/>
      </w:pPr>
    </w:p>
    <w:p>
      <w:pPr>
        <w:keepNext w:val="0"/>
        <w:keepLines w:val="0"/>
        <w:pageBreakBefore w:val="0"/>
        <w:kinsoku/>
        <w:wordWrap/>
        <w:overflowPunct/>
        <w:topLinePunct w:val="0"/>
        <w:autoSpaceDE/>
        <w:autoSpaceDN/>
        <w:bidi w:val="0"/>
        <w:adjustRightInd/>
        <w:snapToGrid/>
        <w:spacing w:line="400" w:lineRule="exact"/>
        <w:jc w:val="center"/>
        <w:rPr>
          <w:rFonts w:hint="eastAsia"/>
          <w:sz w:val="44"/>
          <w:szCs w:val="44"/>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C30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2025-01-13T08:57:18Z</dcterms:created>
  <dc:creator>Administrator</dc:creator>
  <cp:lastModifiedBy>Administrator</cp:lastModifiedBy>
  <dcterms:modified xsi:type="dcterms:W3CDTF">2025-01-13T09:07:46Z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9148112EA85C4AC7BA7D30F19E0D3670</vt:lpwstr>
  </property>
</Properties>
</file>