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6" w:line="266" w:lineRule="auto"/>
        <w:ind w:left="32" w:leftChars="0" w:right="32" w:hanging="32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2019年红塔区政府决算公开空表情况说明</w:t>
      </w:r>
    </w:p>
    <w:p>
      <w:pPr>
        <w:spacing w:before="206" w:line="266" w:lineRule="auto"/>
        <w:ind w:left="32" w:right="32" w:firstLine="640"/>
        <w:jc w:val="both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</w:p>
    <w:p>
      <w:pPr>
        <w:spacing w:before="206" w:line="266" w:lineRule="auto"/>
        <w:ind w:left="32" w:right="32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据2020年8月27日《玉溪市红塔区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人民代表大会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常务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委员会关于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准红塔区2019年地方财政决算的决议》(玉红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人发[2020]18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号)对红塔区2019年地方财政决算和《关于红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塔区2019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年地方财政决算情况的报告》的批复情况，现将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年红塔区政府决算空表情况作如下说明：</w:t>
      </w:r>
    </w:p>
    <w:p>
      <w:pPr>
        <w:spacing w:line="239" w:lineRule="auto"/>
        <w:ind w:left="674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7"/>
          <w:sz w:val="32"/>
          <w:szCs w:val="32"/>
        </w:rPr>
        <w:t>、2019年一般公共财政预算收入和支出</w:t>
      </w:r>
    </w:p>
    <w:p>
      <w:pPr>
        <w:spacing w:before="148" w:line="266" w:lineRule="auto"/>
        <w:ind w:left="27" w:right="35" w:firstLine="647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019年度红塔区一般公共预算收入决算表中待偿债置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换一般债券上年结余、债务收入、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国债转贷收入、接受其他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地区援助收入、计划单列示收入等项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目，因为年度中没有相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应资金结算或往来事项，因此数据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为空。红塔区乡街道作为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位管理，无下级上解收入。2019年度红塔区上级税收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返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和转移支付收入决算表中一般性转移收入为空的项目，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主要为本年度年终与上级结算数据为空，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因此决算数据也为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。</w:t>
      </w:r>
    </w:p>
    <w:p>
      <w:pPr>
        <w:spacing w:line="271" w:lineRule="auto"/>
        <w:ind w:left="30" w:firstLine="64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2019年度红塔区一般公共预算支出决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算表中国债转贷、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援助其他地区支出、计划单列示支出、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待偿债置换一般债券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结余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项目，因为年度中没有相应资金结算或往来事项，因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此数据为空。红塔区乡街道作为预算单位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管理，补助下级支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和债务转贷支出等项目为空。2019年度红塔区本级对下税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收返还和转移支付支出决算表中一般性转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移支付为空，主要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为本年度年终与上级结算数据为空，因此决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算数据也为空。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9"/>
          <w:pgMar w:top="1431" w:right="1762" w:bottom="0" w:left="1785" w:header="0" w:footer="0" w:gutter="0"/>
          <w:cols w:space="720" w:num="1"/>
        </w:sectPr>
      </w:pPr>
    </w:p>
    <w:p>
      <w:pPr>
        <w:spacing w:line="239" w:lineRule="auto"/>
        <w:ind w:left="674"/>
        <w:jc w:val="both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二、2019年政府性基金预算收入和支出</w:t>
      </w:r>
    </w:p>
    <w:p>
      <w:pPr>
        <w:spacing w:before="151" w:line="266" w:lineRule="auto"/>
        <w:ind w:left="31" w:right="16" w:firstLine="643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019年度红塔区政府性基金预算收入决算表中待偿债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置换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专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项债券上年结余、债务收入、政府性基金预算省补助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计划单列市收入以及政府性基金收入为空的项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目，因为年度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中没有相应资金结算或往来事项，因此数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据为空。红塔区乡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街道作为预算单位管理，无政府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性基金预算下级上解收入。</w:t>
      </w:r>
    </w:p>
    <w:p>
      <w:pPr>
        <w:spacing w:before="17" w:line="265" w:lineRule="auto"/>
        <w:ind w:left="31" w:right="13" w:firstLine="643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019年度红塔区政府性基金预算支出决算表中待偿债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置换专项债券结余、政府性基金预算省补助计划单列市支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以及政府性基金支出为空的项目，因为年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度中没有相应资金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结算或往来事项，因此数据为空。红塔区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乡街道作为预算单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位管理，政府性基金预算补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助下级支出和债务转贷支出等项目为空。2019年度红塔区本级对下政府性基金转移支付支出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决算表中政府性基金支出为空的项目，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主要为本年度没有相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资金结算或往来事项，因此决算数据也为空。</w:t>
      </w:r>
    </w:p>
    <w:p>
      <w:pPr>
        <w:spacing w:line="239" w:lineRule="auto"/>
        <w:ind w:left="674"/>
        <w:jc w:val="both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三、2019年红塔区国有资本经营预算收支空表</w:t>
      </w:r>
    </w:p>
    <w:p>
      <w:pPr>
        <w:spacing w:before="157" w:line="270" w:lineRule="auto"/>
        <w:ind w:left="31" w:right="11" w:firstLine="643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2019年红塔区财政决算公开表格中2019年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度红塔区国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有资本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经营预算支出决算表、2019年红塔区本级国有资本经营预算支出决算表、2019年度红塔区本级国有资本经营预算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下转移支付支出决算表三张表格无数据，主要原因为2019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年国有资本经营收入有年初预算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，但全年红塔区国有资本经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营预算收入和支出均为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0万元，通过预算调整将国有资本经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营收入的预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算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数调减，年度中没有相应支出和往来事项，故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三张表数据均为空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39" w:lineRule="auto"/>
        <w:ind w:left="674"/>
        <w:jc w:val="both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四、2019年红塔区债务情况空表</w:t>
      </w:r>
    </w:p>
    <w:p>
      <w:pPr>
        <w:spacing w:before="145" w:line="275" w:lineRule="auto"/>
        <w:ind w:left="32" w:right="13" w:firstLine="64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2019年红塔区财政决算公开表格中2019年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度红塔区地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方政府债券使用情况表为空表，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主要原因为地方政府债券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使用情况表反映的是本年度新增债券的使用情况，2019年度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红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塔区并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无新增债券，故表中数据为空。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1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1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33" w:line="284" w:lineRule="auto"/>
        <w:ind w:left="6446" w:leftChars="3027" w:right="13" w:hanging="89" w:hangingChars="27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红塔区财政局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020年9月8日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FjODhjZDY4YjMyYzg0NTlmZTc3M2IxYzFiMjBlMWMifQ=="/>
  </w:docVars>
  <w:rsids>
    <w:rsidRoot w:val="00000000"/>
    <w:rsid w:val="5D5274BE"/>
    <w:rsid w:val="63A85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1159</Words>
  <Characters>1245</Characters>
  <TotalTime>3</TotalTime>
  <ScaleCrop>false</ScaleCrop>
  <LinksUpToDate>false</LinksUpToDate>
  <CharactersWithSpaces>1402</CharactersWithSpaces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2020-09-09T09:06:00Z</dcterms:created>
  <dc:creator>王志国</dc:creator>
  <cp:lastModifiedBy>kjg-wyl</cp:lastModifiedBy>
  <dcterms:modified xsi:type="dcterms:W3CDTF">2024-06-26T03:39:35Z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2023-04-04T16:00:06Z</vt:filetime>
  </property>
  <property fmtid="{D5CDD505-2E9C-101B-9397-08002B2CF9AE}" pid="4" name="KSOProductBuildVer">
    <vt:lpwstr>2052-11.8.6.8810</vt:lpwstr>
  </property>
  <property fmtid="{D5CDD505-2E9C-101B-9397-08002B2CF9AE}" pid="5" name="ICV">
    <vt:lpwstr>046485051A0E485597A0421939CF37C3</vt:lpwstr>
  </property>
</Properties>
</file>