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bookmarkStart w:id="5" w:name="_GoBack"/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 xml:space="preserve"> （二O二四年第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十四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bookmarkEnd w:id="5"/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1"/>
      <w:bookmarkStart w:id="1" w:name="OLE_LINK2"/>
      <w:bookmarkStart w:id="2" w:name="OLE_LINK5"/>
      <w:bookmarkStart w:id="3" w:name="OLE_LINK4"/>
      <w:bookmarkStart w:id="4" w:name="OLE_LINK3"/>
      <w:r>
        <w:rPr>
          <w:rFonts w:hint="eastAsia" w:ascii="仿宋_GB2312" w:eastAsia="仿宋_GB2312"/>
          <w:sz w:val="32"/>
          <w:szCs w:val="32"/>
        </w:rPr>
        <w:t>根据《农药管理条例》、《农药经营许可管理办法》、《云南省农药经营许可实施办法（试行）》等法律法规规定，通过资料审查、实地核查和综合审查，</w:t>
      </w:r>
      <w:r>
        <w:rPr>
          <w:rFonts w:hint="eastAsia" w:ascii="仿宋_GB2312" w:eastAsia="仿宋_GB2312"/>
          <w:sz w:val="32"/>
          <w:szCs w:val="32"/>
          <w:lang w:eastAsia="zh-CN"/>
        </w:rPr>
        <w:t>红塔区东裕农资经营部、云南晖帆农业有限公司</w:t>
      </w:r>
      <w:r>
        <w:rPr>
          <w:rFonts w:hint="eastAsia" w:ascii="仿宋_GB2312" w:eastAsia="仿宋_GB2312"/>
          <w:sz w:val="32"/>
          <w:szCs w:val="32"/>
        </w:rPr>
        <w:t>符合农药经营许可法定条件，准予农药经营许可，拟颁发农药经营许可证。</w:t>
      </w: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日。公示期内如有异议，可拨打电话0877-2023933向玉溪市红塔区农业农村局反映。</w:t>
      </w: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2024年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7</w:t>
      </w:r>
      <w:r>
        <w:rPr>
          <w:rFonts w:hint="eastAsia" w:ascii="仿宋_GB2312" w:eastAsia="仿宋_GB2312"/>
          <w:sz w:val="32"/>
          <w:szCs w:val="32"/>
          <w:lang w:bidi="ar"/>
        </w:rPr>
        <w:t>日</w:t>
      </w:r>
      <w:bookmarkEnd w:id="0"/>
      <w:bookmarkEnd w:id="1"/>
      <w:bookmarkEnd w:id="2"/>
      <w:bookmarkEnd w:id="3"/>
      <w:bookmarkEnd w:id="4"/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5406"/>
    <w:rsid w:val="58E5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2024-06-07T06:53:00Z</dcterms:created>
  <dc:creator>HTQtgz-01</dc:creator>
  <cp:lastModifiedBy>HTQtgz-01</cp:lastModifiedBy>
  <dcterms:modified xsi:type="dcterms:W3CDTF">2024-06-07T08:22:01Z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