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方正小标宋_GBK" w:cs="Times New Roman"/>
          <w:color w:val="auto"/>
          <w:kern w:val="0"/>
          <w:sz w:val="44"/>
          <w:szCs w:val="44"/>
          <w:lang w:val="en-US" w:eastAsia="zh-CN" w:bidi="ar"/>
        </w:rPr>
      </w:pPr>
      <w:r>
        <w:rPr>
          <w:rFonts w:hint="eastAsia" w:ascii="Times New Roman" w:hAnsi="Times New Roman" w:eastAsia="方正小标宋_GBK" w:cs="Times New Roman"/>
          <w:color w:val="auto"/>
          <w:kern w:val="0"/>
          <w:sz w:val="44"/>
          <w:szCs w:val="44"/>
          <w:lang w:val="en-US" w:eastAsia="zh-CN" w:bidi="ar"/>
        </w:rPr>
        <w:t>玉溪市红塔区人民政府办公室关于印发2023年农作物秸秆综合利用重点县</w:t>
      </w: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jc w:val="center"/>
        <w:textAlignment w:val="auto"/>
        <w:rPr>
          <w:rFonts w:hint="eastAsia" w:ascii="Times New Roman" w:hAnsi="Times New Roman" w:eastAsia="方正小标宋_GBK" w:cs="Times New Roman"/>
          <w:color w:val="auto"/>
          <w:kern w:val="0"/>
          <w:sz w:val="44"/>
          <w:szCs w:val="44"/>
          <w:lang w:val="en-US" w:eastAsia="zh-CN" w:bidi="ar"/>
        </w:rPr>
      </w:pPr>
      <w:r>
        <w:rPr>
          <w:rFonts w:hint="eastAsia" w:ascii="Times New Roman" w:hAnsi="Times New Roman" w:eastAsia="方正小标宋_GBK" w:cs="Times New Roman"/>
          <w:color w:val="auto"/>
          <w:kern w:val="0"/>
          <w:sz w:val="44"/>
          <w:szCs w:val="44"/>
          <w:lang w:val="en-US" w:eastAsia="zh-CN" w:bidi="ar"/>
        </w:rPr>
        <w:t>建设项目实施方案</w:t>
      </w: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jc w:val="center"/>
        <w:textAlignment w:val="auto"/>
        <w:rPr>
          <w:rFonts w:hint="eastAsia" w:ascii="Times New Roman" w:hAnsi="Times New Roman" w:eastAsia="方正小标宋_GBK" w:cs="Times New Roman"/>
          <w:color w:val="auto"/>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jc w:val="left"/>
        <w:textAlignment w:val="auto"/>
        <w:rPr>
          <w:rFonts w:hint="default" w:ascii="Times New Roman" w:hAnsi="Times New Roman" w:eastAsia="方正仿宋_GBK" w:cs="Times New Roman"/>
          <w:color w:val="auto"/>
          <w:kern w:val="0"/>
          <w:sz w:val="32"/>
          <w:szCs w:val="32"/>
          <w:lang w:val="en-US" w:eastAsia="zh-CN" w:bidi="ar"/>
        </w:rPr>
      </w:pPr>
      <w:r>
        <w:rPr>
          <w:rFonts w:hint="default" w:ascii="Times New Roman" w:hAnsi="Times New Roman" w:eastAsia="方正仿宋_GBK" w:cs="Times New Roman"/>
          <w:color w:val="auto"/>
          <w:kern w:val="0"/>
          <w:sz w:val="32"/>
          <w:szCs w:val="32"/>
          <w:lang w:val="en-US" w:eastAsia="zh-CN" w:bidi="ar"/>
        </w:rPr>
        <w:t>各乡人民政府、街道办事处，区属相关部门：</w:t>
      </w:r>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color w:val="auto"/>
          <w:kern w:val="0"/>
          <w:sz w:val="32"/>
          <w:szCs w:val="32"/>
          <w:lang w:val="en-US" w:eastAsia="zh-CN" w:bidi="ar"/>
        </w:rPr>
      </w:pPr>
      <w:r>
        <w:rPr>
          <w:rFonts w:hint="default" w:ascii="Times New Roman" w:hAnsi="Times New Roman" w:eastAsia="方正仿宋_GBK" w:cs="Times New Roman"/>
          <w:color w:val="auto"/>
          <w:kern w:val="0"/>
          <w:sz w:val="32"/>
          <w:szCs w:val="32"/>
          <w:lang w:val="en-US" w:eastAsia="zh-CN" w:bidi="ar"/>
        </w:rPr>
        <w:t>现将《2023年农作物秸秆综合利用重点县建设项目实施方案》印发给你们，请结合实际认真抓好落实。</w:t>
      </w: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jc w:val="right"/>
        <w:textAlignment w:val="auto"/>
        <w:rPr>
          <w:rFonts w:hint="eastAsia" w:ascii="Times New Roman" w:hAnsi="Times New Roman" w:eastAsia="方正仿宋_GBK" w:cs="Times New Roman"/>
          <w:color w:val="auto"/>
          <w:kern w:val="0"/>
          <w:sz w:val="32"/>
          <w:szCs w:val="32"/>
          <w:lang w:val="en-US" w:eastAsia="zh-CN" w:bidi="ar"/>
        </w:rPr>
      </w:pPr>
      <w:r>
        <w:rPr>
          <w:rFonts w:hint="eastAsia" w:ascii="Times New Roman" w:hAnsi="Times New Roman" w:eastAsia="方正仿宋_GBK" w:cs="Times New Roman"/>
          <w:color w:val="auto"/>
          <w:kern w:val="0"/>
          <w:sz w:val="32"/>
          <w:szCs w:val="32"/>
          <w:lang w:val="en-US" w:eastAsia="zh-CN" w:bidi="ar"/>
        </w:rPr>
        <w:t>2023年7月3</w:t>
      </w:r>
      <w:r>
        <w:rPr>
          <w:rFonts w:hint="eastAsia" w:eastAsia="方正仿宋_GBK" w:cs="Times New Roman"/>
          <w:color w:val="auto"/>
          <w:kern w:val="0"/>
          <w:sz w:val="32"/>
          <w:szCs w:val="32"/>
          <w:lang w:val="en-US" w:eastAsia="zh-CN" w:bidi="ar"/>
        </w:rPr>
        <w:t>1</w:t>
      </w:r>
      <w:r>
        <w:rPr>
          <w:rFonts w:hint="eastAsia" w:ascii="Times New Roman" w:hAnsi="Times New Roman" w:eastAsia="方正仿宋_GBK" w:cs="Times New Roman"/>
          <w:color w:val="auto"/>
          <w:kern w:val="0"/>
          <w:sz w:val="32"/>
          <w:szCs w:val="32"/>
          <w:lang w:val="en-US" w:eastAsia="zh-CN" w:bidi="ar"/>
        </w:rPr>
        <w:t>日</w:t>
      </w:r>
    </w:p>
    <w:p>
      <w:pPr>
        <w:jc w:val="center"/>
        <w:rPr>
          <w:rFonts w:eastAsia="方正小标宋_GBK"/>
          <w:color w:val="auto"/>
          <w:spacing w:val="-20"/>
          <w:sz w:val="44"/>
          <w:szCs w:val="44"/>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p>
    <w:p>
      <w:pPr>
        <w:jc w:val="center"/>
        <w:rPr>
          <w:rFonts w:eastAsia="方正小标宋_GBK"/>
          <w:color w:val="auto"/>
          <w:spacing w:val="-20"/>
          <w:sz w:val="36"/>
          <w:szCs w:val="36"/>
        </w:rPr>
      </w:pPr>
      <w:r>
        <w:rPr>
          <w:rFonts w:eastAsia="方正小标宋_GBK"/>
          <w:color w:val="auto"/>
          <w:spacing w:val="-20"/>
          <w:sz w:val="44"/>
          <w:szCs w:val="44"/>
        </w:rPr>
        <w:t>2023年农作物秸秆综合利用重点县建设项目</w:t>
      </w:r>
    </w:p>
    <w:p>
      <w:pPr>
        <w:pStyle w:val="5"/>
        <w:ind w:firstLine="960"/>
        <w:rPr>
          <w:rFonts w:eastAsia="方正小标宋_GBK"/>
          <w:color w:val="auto"/>
          <w:sz w:val="48"/>
          <w:szCs w:val="56"/>
        </w:rPr>
      </w:pPr>
    </w:p>
    <w:p>
      <w:pPr>
        <w:widowControl/>
        <w:jc w:val="center"/>
        <w:rPr>
          <w:rFonts w:eastAsia="方正小标宋_GBK"/>
          <w:color w:val="auto"/>
          <w:spacing w:val="-20"/>
          <w:kern w:val="0"/>
          <w:sz w:val="84"/>
          <w:szCs w:val="84"/>
        </w:rPr>
      </w:pPr>
      <w:r>
        <w:rPr>
          <w:rFonts w:eastAsia="方正小标宋_GBK"/>
          <w:color w:val="auto"/>
          <w:spacing w:val="-20"/>
          <w:kern w:val="0"/>
          <w:sz w:val="84"/>
          <w:szCs w:val="84"/>
        </w:rPr>
        <w:t>实</w:t>
      </w:r>
    </w:p>
    <w:p>
      <w:pPr>
        <w:widowControl/>
        <w:jc w:val="center"/>
        <w:rPr>
          <w:rFonts w:eastAsia="方正小标宋_GBK"/>
          <w:color w:val="auto"/>
          <w:spacing w:val="-20"/>
          <w:kern w:val="0"/>
          <w:sz w:val="84"/>
          <w:szCs w:val="84"/>
        </w:rPr>
      </w:pPr>
      <w:r>
        <w:rPr>
          <w:rFonts w:eastAsia="方正小标宋_GBK"/>
          <w:color w:val="auto"/>
          <w:spacing w:val="-20"/>
          <w:kern w:val="0"/>
          <w:sz w:val="84"/>
          <w:szCs w:val="84"/>
        </w:rPr>
        <w:t>施</w:t>
      </w:r>
    </w:p>
    <w:p>
      <w:pPr>
        <w:widowControl/>
        <w:jc w:val="center"/>
        <w:rPr>
          <w:rFonts w:eastAsia="方正小标宋_GBK"/>
          <w:color w:val="auto"/>
          <w:spacing w:val="-20"/>
          <w:kern w:val="0"/>
          <w:sz w:val="84"/>
          <w:szCs w:val="84"/>
        </w:rPr>
      </w:pPr>
      <w:r>
        <w:rPr>
          <w:rFonts w:eastAsia="方正小标宋_GBK"/>
          <w:color w:val="auto"/>
          <w:spacing w:val="-20"/>
          <w:kern w:val="0"/>
          <w:sz w:val="84"/>
          <w:szCs w:val="84"/>
        </w:rPr>
        <w:t>方</w:t>
      </w:r>
    </w:p>
    <w:p>
      <w:pPr>
        <w:widowControl/>
        <w:jc w:val="center"/>
        <w:rPr>
          <w:rFonts w:eastAsia="方正小标宋_GBK"/>
          <w:color w:val="auto"/>
          <w:spacing w:val="-20"/>
          <w:sz w:val="84"/>
          <w:szCs w:val="84"/>
        </w:rPr>
      </w:pPr>
      <w:r>
        <w:rPr>
          <w:rFonts w:eastAsia="方正小标宋_GBK"/>
          <w:color w:val="auto"/>
          <w:spacing w:val="-20"/>
          <w:kern w:val="0"/>
          <w:sz w:val="84"/>
          <w:szCs w:val="84"/>
        </w:rPr>
        <w:t>案</w:t>
      </w:r>
    </w:p>
    <w:p>
      <w:pPr>
        <w:pStyle w:val="5"/>
        <w:ind w:firstLine="420"/>
        <w:rPr>
          <w:color w:val="auto"/>
        </w:rPr>
      </w:pPr>
    </w:p>
    <w:p>
      <w:pPr>
        <w:pStyle w:val="5"/>
        <w:ind w:firstLine="420"/>
        <w:rPr>
          <w:color w:val="auto"/>
        </w:rPr>
      </w:pPr>
    </w:p>
    <w:p>
      <w:pPr>
        <w:pStyle w:val="5"/>
        <w:ind w:firstLine="420"/>
        <w:rPr>
          <w:color w:val="auto"/>
        </w:rPr>
      </w:pPr>
    </w:p>
    <w:p>
      <w:pPr>
        <w:pStyle w:val="5"/>
        <w:ind w:left="2236" w:leftChars="300" w:hanging="1606" w:hangingChars="500"/>
        <w:rPr>
          <w:rFonts w:eastAsia="方正仿宋_GBK"/>
          <w:color w:val="auto"/>
          <w:sz w:val="32"/>
          <w:szCs w:val="32"/>
        </w:rPr>
      </w:pPr>
      <w:r>
        <w:rPr>
          <w:rFonts w:eastAsia="方正仿宋_GBK"/>
          <w:b/>
          <w:bCs/>
          <w:color w:val="auto"/>
          <w:sz w:val="32"/>
          <w:szCs w:val="32"/>
        </w:rPr>
        <w:t>项目名称：</w:t>
      </w:r>
      <w:r>
        <w:rPr>
          <w:rFonts w:eastAsia="方正仿宋_GBK"/>
          <w:color w:val="auto"/>
          <w:sz w:val="32"/>
          <w:szCs w:val="32"/>
        </w:rPr>
        <w:t>玉溪市红塔区2023年农作物秸秆综合利用重点县建设项目</w:t>
      </w:r>
    </w:p>
    <w:p>
      <w:pPr>
        <w:pStyle w:val="5"/>
        <w:ind w:firstLine="643"/>
        <w:rPr>
          <w:rFonts w:eastAsia="方正仿宋_GBK"/>
          <w:color w:val="auto"/>
          <w:sz w:val="32"/>
          <w:szCs w:val="32"/>
        </w:rPr>
      </w:pPr>
      <w:r>
        <w:rPr>
          <w:rFonts w:eastAsia="方正仿宋_GBK"/>
          <w:b/>
          <w:bCs/>
          <w:color w:val="auto"/>
          <w:sz w:val="32"/>
          <w:szCs w:val="32"/>
        </w:rPr>
        <w:t>实施单位：</w:t>
      </w:r>
      <w:r>
        <w:rPr>
          <w:rFonts w:eastAsia="方正仿宋_GBK"/>
          <w:color w:val="auto"/>
          <w:sz w:val="32"/>
          <w:szCs w:val="32"/>
        </w:rPr>
        <w:t>玉溪市红塔区农业农村局</w:t>
      </w:r>
    </w:p>
    <w:p>
      <w:pPr>
        <w:pStyle w:val="5"/>
        <w:ind w:firstLine="643"/>
        <w:rPr>
          <w:rFonts w:hint="eastAsia" w:eastAsia="方正仿宋_GBK"/>
          <w:color w:val="auto"/>
          <w:sz w:val="32"/>
          <w:szCs w:val="32"/>
          <w:lang w:val="en-US" w:eastAsia="zh-CN"/>
        </w:rPr>
      </w:pPr>
      <w:r>
        <w:rPr>
          <w:rFonts w:eastAsia="方正仿宋_GBK"/>
          <w:b/>
          <w:bCs/>
          <w:color w:val="auto"/>
          <w:sz w:val="32"/>
          <w:szCs w:val="32"/>
        </w:rPr>
        <w:t>法人代表：</w:t>
      </w:r>
      <w:r>
        <w:rPr>
          <w:rFonts w:hint="eastAsia" w:eastAsia="方正仿宋_GBK"/>
          <w:color w:val="auto"/>
          <w:sz w:val="32"/>
          <w:szCs w:val="32"/>
          <w:lang w:val="en-US" w:eastAsia="zh-CN"/>
        </w:rPr>
        <w:t>童进彪</w:t>
      </w:r>
    </w:p>
    <w:p>
      <w:pPr>
        <w:pStyle w:val="5"/>
        <w:ind w:firstLine="643"/>
        <w:rPr>
          <w:rFonts w:eastAsia="方正仿宋_GBK"/>
          <w:color w:val="auto"/>
          <w:sz w:val="32"/>
          <w:szCs w:val="32"/>
        </w:rPr>
      </w:pPr>
      <w:r>
        <w:rPr>
          <w:rFonts w:hint="eastAsia" w:eastAsia="方正仿宋_GBK"/>
          <w:b/>
          <w:bCs/>
          <w:color w:val="auto"/>
          <w:sz w:val="32"/>
          <w:szCs w:val="32"/>
          <w:lang w:val="en-US" w:eastAsia="zh-CN"/>
        </w:rPr>
        <w:t>项目负责人：</w:t>
      </w:r>
      <w:r>
        <w:rPr>
          <w:rFonts w:eastAsia="方正仿宋_GBK"/>
          <w:color w:val="auto"/>
          <w:sz w:val="32"/>
          <w:szCs w:val="32"/>
        </w:rPr>
        <w:t>姚红松</w:t>
      </w:r>
    </w:p>
    <w:p>
      <w:pPr>
        <w:pStyle w:val="5"/>
        <w:ind w:firstLine="643"/>
        <w:rPr>
          <w:rFonts w:eastAsia="方正仿宋_GBK"/>
          <w:color w:val="auto"/>
          <w:sz w:val="32"/>
          <w:szCs w:val="32"/>
        </w:rPr>
      </w:pPr>
      <w:r>
        <w:rPr>
          <w:rFonts w:eastAsia="方正仿宋_GBK"/>
          <w:b/>
          <w:bCs/>
          <w:color w:val="auto"/>
          <w:sz w:val="32"/>
          <w:szCs w:val="32"/>
        </w:rPr>
        <w:t>联 系 人：</w:t>
      </w:r>
      <w:r>
        <w:rPr>
          <w:rFonts w:eastAsia="方正仿宋_GBK"/>
          <w:color w:val="auto"/>
          <w:sz w:val="32"/>
          <w:szCs w:val="32"/>
        </w:rPr>
        <w:t>吴国斌</w:t>
      </w:r>
    </w:p>
    <w:p>
      <w:pPr>
        <w:pStyle w:val="5"/>
        <w:ind w:firstLine="643"/>
        <w:rPr>
          <w:rFonts w:eastAsia="方正仿宋_GBK"/>
          <w:b w:val="0"/>
          <w:bCs w:val="0"/>
          <w:color w:val="auto"/>
          <w:sz w:val="32"/>
          <w:szCs w:val="32"/>
        </w:rPr>
      </w:pPr>
      <w:r>
        <w:rPr>
          <w:rFonts w:eastAsia="方正仿宋_GBK"/>
          <w:b/>
          <w:bCs/>
          <w:color w:val="auto"/>
          <w:sz w:val="32"/>
          <w:szCs w:val="32"/>
        </w:rPr>
        <w:t>联系电话：</w:t>
      </w:r>
      <w:r>
        <w:rPr>
          <w:rFonts w:eastAsia="方正仿宋_GBK"/>
          <w:b w:val="0"/>
          <w:bCs w:val="0"/>
          <w:color w:val="auto"/>
          <w:sz w:val="32"/>
          <w:szCs w:val="32"/>
        </w:rPr>
        <w:t>13987771301</w:t>
      </w:r>
    </w:p>
    <w:p>
      <w:pPr>
        <w:pStyle w:val="5"/>
        <w:ind w:firstLine="643"/>
        <w:rPr>
          <w:rFonts w:hint="default" w:eastAsia="方正仿宋_GBK"/>
          <w:color w:val="auto"/>
          <w:sz w:val="32"/>
          <w:szCs w:val="32"/>
          <w:lang w:val="en-US" w:eastAsia="zh-CN"/>
        </w:rPr>
      </w:pPr>
      <w:r>
        <w:rPr>
          <w:rFonts w:eastAsia="方正仿宋_GBK"/>
          <w:b/>
          <w:bCs/>
          <w:color w:val="auto"/>
          <w:sz w:val="32"/>
          <w:szCs w:val="32"/>
        </w:rPr>
        <w:t>主管部门：</w:t>
      </w:r>
      <w:r>
        <w:rPr>
          <w:rFonts w:hint="eastAsia" w:eastAsia="方正仿宋_GBK"/>
          <w:color w:val="auto"/>
          <w:sz w:val="32"/>
          <w:szCs w:val="32"/>
          <w:lang w:val="en-US" w:eastAsia="zh-CN"/>
        </w:rPr>
        <w:t>玉溪市红塔区人民政府</w:t>
      </w:r>
    </w:p>
    <w:p>
      <w:pPr>
        <w:widowControl/>
        <w:spacing w:line="600" w:lineRule="exact"/>
        <w:ind w:firstLine="320" w:firstLineChars="100"/>
        <w:jc w:val="center"/>
        <w:rPr>
          <w:rFonts w:eastAsia="方正仿宋_GB2312"/>
          <w:color w:val="auto"/>
          <w:kern w:val="0"/>
          <w:sz w:val="32"/>
          <w:szCs w:val="32"/>
        </w:rPr>
        <w:sectPr>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p>
    <w:p>
      <w:pPr>
        <w:keepNext/>
        <w:keepLines/>
        <w:widowControl/>
        <w:spacing w:before="480" w:line="276" w:lineRule="auto"/>
        <w:jc w:val="center"/>
        <w:rPr>
          <w:b/>
          <w:bCs/>
          <w:color w:val="auto"/>
          <w:kern w:val="0"/>
          <w:sz w:val="28"/>
          <w:szCs w:val="28"/>
          <w:lang w:val="zh-CN"/>
        </w:rPr>
      </w:pPr>
      <w:r>
        <w:rPr>
          <w:b/>
          <w:bCs/>
          <w:color w:val="auto"/>
          <w:kern w:val="0"/>
          <w:sz w:val="28"/>
          <w:szCs w:val="28"/>
          <w:lang w:val="zh-CN"/>
        </w:rPr>
        <w:t>前 言</w:t>
      </w:r>
    </w:p>
    <w:p>
      <w:pPr>
        <w:spacing w:line="360" w:lineRule="auto"/>
        <w:ind w:firstLine="482"/>
        <w:rPr>
          <w:color w:val="auto"/>
          <w:sz w:val="24"/>
          <w:szCs w:val="32"/>
        </w:rPr>
      </w:pPr>
    </w:p>
    <w:p>
      <w:pPr>
        <w:spacing w:line="360" w:lineRule="auto"/>
        <w:ind w:firstLine="482"/>
        <w:rPr>
          <w:color w:val="auto"/>
          <w:sz w:val="24"/>
          <w:szCs w:val="32"/>
        </w:rPr>
      </w:pPr>
      <w:r>
        <w:rPr>
          <w:color w:val="auto"/>
          <w:sz w:val="24"/>
          <w:szCs w:val="32"/>
        </w:rPr>
        <w:t>为贯彻落实中央一号文件《中共中央 国务院关于做好2023年全面推进乡村振兴重点工作的意见》中关于</w:t>
      </w:r>
      <w:r>
        <w:rPr>
          <w:rFonts w:hint="eastAsia"/>
          <w:color w:val="auto"/>
          <w:sz w:val="24"/>
          <w:szCs w:val="32"/>
        </w:rPr>
        <w:t>“</w:t>
      </w:r>
      <w:r>
        <w:rPr>
          <w:color w:val="auto"/>
          <w:sz w:val="24"/>
          <w:szCs w:val="32"/>
        </w:rPr>
        <w:t>农业废弃物收集利用处理体系</w:t>
      </w:r>
      <w:r>
        <w:rPr>
          <w:rFonts w:hint="eastAsia"/>
          <w:color w:val="auto"/>
          <w:sz w:val="24"/>
          <w:szCs w:val="32"/>
        </w:rPr>
        <w:t>”</w:t>
      </w:r>
      <w:r>
        <w:rPr>
          <w:color w:val="auto"/>
          <w:sz w:val="24"/>
          <w:szCs w:val="32"/>
        </w:rPr>
        <w:t>决策部署，将农业秸秆综合利用与年度</w:t>
      </w:r>
      <w:r>
        <w:rPr>
          <w:rFonts w:hint="eastAsia"/>
          <w:color w:val="auto"/>
          <w:sz w:val="24"/>
          <w:szCs w:val="32"/>
        </w:rPr>
        <w:t>“</w:t>
      </w:r>
      <w:r>
        <w:rPr>
          <w:color w:val="auto"/>
          <w:sz w:val="24"/>
          <w:szCs w:val="32"/>
        </w:rPr>
        <w:t>三农</w:t>
      </w:r>
      <w:r>
        <w:rPr>
          <w:rFonts w:hint="eastAsia"/>
          <w:color w:val="auto"/>
          <w:sz w:val="24"/>
          <w:szCs w:val="32"/>
        </w:rPr>
        <w:t>”</w:t>
      </w:r>
      <w:r>
        <w:rPr>
          <w:color w:val="auto"/>
          <w:sz w:val="24"/>
          <w:szCs w:val="32"/>
        </w:rPr>
        <w:t>重点任务要求紧密结合，扎实做好玉溪市红塔区农作物秸秆综合利用处理体系建设工作，全面完成2023年度项目目标任务，结合实际，特制定本实施方案。</w:t>
      </w:r>
    </w:p>
    <w:p>
      <w:pPr>
        <w:spacing w:line="360" w:lineRule="auto"/>
        <w:ind w:firstLine="482"/>
        <w:rPr>
          <w:color w:val="auto"/>
          <w:sz w:val="24"/>
          <w:szCs w:val="32"/>
        </w:rPr>
      </w:pPr>
      <w:r>
        <w:rPr>
          <w:color w:val="auto"/>
          <w:sz w:val="24"/>
          <w:szCs w:val="32"/>
        </w:rPr>
        <w:t>开展秸秆综合利用处理体系建设工作，是全面贯彻落实国家</w:t>
      </w:r>
      <w:r>
        <w:rPr>
          <w:rFonts w:hint="eastAsia"/>
          <w:color w:val="auto"/>
          <w:sz w:val="24"/>
          <w:szCs w:val="32"/>
        </w:rPr>
        <w:t>“</w:t>
      </w:r>
      <w:r>
        <w:rPr>
          <w:color w:val="auto"/>
          <w:sz w:val="24"/>
          <w:szCs w:val="32"/>
        </w:rPr>
        <w:t>十四五</w:t>
      </w:r>
      <w:r>
        <w:rPr>
          <w:rFonts w:hint="eastAsia"/>
          <w:color w:val="auto"/>
          <w:sz w:val="24"/>
          <w:szCs w:val="32"/>
        </w:rPr>
        <w:t>”</w:t>
      </w:r>
      <w:r>
        <w:rPr>
          <w:color w:val="auto"/>
          <w:sz w:val="24"/>
          <w:szCs w:val="32"/>
        </w:rPr>
        <w:t>规划，提升耕地质量、改善农业农村环境、实现农业高质量发展、绿色发展的重要举措。云南省农业农村厅办公室关于印发《2022年云南省农村能源建设工作要点》的通知中强调，应根据国家</w:t>
      </w:r>
      <w:r>
        <w:rPr>
          <w:rFonts w:hint="eastAsia"/>
          <w:color w:val="auto"/>
          <w:sz w:val="24"/>
          <w:szCs w:val="32"/>
        </w:rPr>
        <w:t>“</w:t>
      </w:r>
      <w:r>
        <w:rPr>
          <w:color w:val="auto"/>
          <w:sz w:val="24"/>
          <w:szCs w:val="32"/>
        </w:rPr>
        <w:t>十四五</w:t>
      </w:r>
      <w:r>
        <w:rPr>
          <w:rFonts w:hint="eastAsia"/>
          <w:color w:val="auto"/>
          <w:sz w:val="24"/>
          <w:szCs w:val="32"/>
        </w:rPr>
        <w:t>”</w:t>
      </w:r>
      <w:r>
        <w:rPr>
          <w:color w:val="auto"/>
          <w:sz w:val="24"/>
          <w:szCs w:val="32"/>
        </w:rPr>
        <w:t>规划，全面推进乡村振兴、加快建设现代农业农村，全面深入开展秸秆综合利用，大力发展农村可再生能源，发挥农村能源助力实施乡村振兴战略，助力农业农村绿色发展新格局。</w:t>
      </w:r>
    </w:p>
    <w:p>
      <w:pPr>
        <w:spacing w:line="360" w:lineRule="auto"/>
        <w:ind w:firstLine="482"/>
        <w:rPr>
          <w:color w:val="auto"/>
          <w:sz w:val="24"/>
          <w:szCs w:val="32"/>
        </w:rPr>
      </w:pPr>
      <w:r>
        <w:rPr>
          <w:color w:val="auto"/>
          <w:sz w:val="24"/>
          <w:szCs w:val="32"/>
        </w:rPr>
        <w:t>玉溪市红塔区作为2023年中央农业资源及生态保护补助资金秸秆综合利用重点县之一，区农业农村局对于秸秆的综合利用体系建设非常重视。紧密围绕秸秆综合利用领域，以技术创新为动力，以制度创设为保障，以产业提升为方向，推动形成布局合理、多元利用的产业化发展格局，不断提高秸秆综合利用水平。实施农作物秸秆综合利用建设对红塔区秸秆资源化利用，防止面源污染，保护两湖流域生态和建设玉溪生态宜居城市具有重要意义。基于此，云南师范大学受玉溪市红塔区农业农村局的委托，承担了《玉溪市红塔区2023年农作物秸秆综合利用重点县建设项目实施方案》的编制任务。</w:t>
      </w:r>
    </w:p>
    <w:p>
      <w:pPr>
        <w:spacing w:line="360" w:lineRule="auto"/>
        <w:ind w:firstLine="482"/>
        <w:rPr>
          <w:color w:val="auto"/>
          <w:sz w:val="24"/>
          <w:szCs w:val="32"/>
        </w:rPr>
      </w:pPr>
      <w:r>
        <w:rPr>
          <w:color w:val="auto"/>
          <w:sz w:val="24"/>
          <w:szCs w:val="32"/>
        </w:rPr>
        <w:t>在方案编制过程中，得到了玉溪市农业环境保护和农村能源工作站、红塔区农业农村局、玉溪市红塔区农业农村综合开发服务中心等部门及各级领导的大力支持、帮助和指导，在此一并感谢。</w:t>
      </w:r>
    </w:p>
    <w:p>
      <w:pPr>
        <w:spacing w:line="360" w:lineRule="auto"/>
        <w:ind w:firstLine="482"/>
        <w:rPr>
          <w:color w:val="auto"/>
          <w:sz w:val="24"/>
          <w:szCs w:val="32"/>
        </w:rPr>
      </w:pPr>
    </w:p>
    <w:p>
      <w:pPr>
        <w:pStyle w:val="2"/>
        <w:ind w:firstLine="0" w:firstLineChars="0"/>
        <w:rPr>
          <w:rFonts w:eastAsia="方正仿宋_GB2312"/>
          <w:color w:val="auto"/>
          <w:kern w:val="0"/>
          <w:sz w:val="32"/>
          <w:szCs w:val="32"/>
        </w:rPr>
      </w:pPr>
    </w:p>
    <w:p>
      <w:pPr>
        <w:pStyle w:val="2"/>
        <w:ind w:firstLine="0" w:firstLineChars="0"/>
        <w:rPr>
          <w:rFonts w:eastAsia="方正仿宋_GB2312"/>
          <w:color w:val="auto"/>
          <w:kern w:val="0"/>
          <w:sz w:val="32"/>
          <w:szCs w:val="32"/>
        </w:rPr>
      </w:pPr>
    </w:p>
    <w:p>
      <w:pPr>
        <w:spacing w:line="360" w:lineRule="auto"/>
        <w:jc w:val="center"/>
        <w:rPr>
          <w:b/>
          <w:color w:val="auto"/>
          <w:sz w:val="48"/>
          <w:szCs w:val="48"/>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p>
    <w:p>
      <w:pPr>
        <w:ind w:left="1600" w:hanging="1600" w:hangingChars="500"/>
        <w:rPr>
          <w:rFonts w:eastAsia="方正仿宋_GBK"/>
          <w:color w:val="auto"/>
          <w:kern w:val="0"/>
          <w:sz w:val="32"/>
          <w:szCs w:val="32"/>
        </w:rPr>
      </w:pPr>
      <w:r>
        <w:rPr>
          <w:rFonts w:eastAsia="方正公文黑体"/>
          <w:color w:val="auto"/>
          <w:sz w:val="32"/>
          <w:szCs w:val="40"/>
        </w:rPr>
        <w:t>项目名称：</w:t>
      </w:r>
      <w:r>
        <w:rPr>
          <w:rFonts w:eastAsia="方正仿宋_GBK"/>
          <w:color w:val="auto"/>
          <w:kern w:val="0"/>
          <w:sz w:val="32"/>
          <w:szCs w:val="32"/>
        </w:rPr>
        <w:t>玉溪市红塔区2023年农作物秸秆综合利用重点县建设项目</w:t>
      </w:r>
    </w:p>
    <w:p>
      <w:pPr>
        <w:rPr>
          <w:rFonts w:hint="eastAsia" w:eastAsia="方正仿宋_GBK"/>
          <w:color w:val="auto"/>
          <w:kern w:val="0"/>
          <w:sz w:val="32"/>
          <w:szCs w:val="32"/>
          <w:lang w:eastAsia="zh-CN"/>
        </w:rPr>
      </w:pPr>
      <w:r>
        <w:rPr>
          <w:rFonts w:eastAsia="方正公文黑体"/>
          <w:color w:val="auto"/>
          <w:sz w:val="32"/>
          <w:szCs w:val="40"/>
        </w:rPr>
        <w:t>主管部门：</w:t>
      </w:r>
      <w:r>
        <w:rPr>
          <w:rFonts w:eastAsia="方正仿宋_GBK"/>
          <w:color w:val="auto"/>
          <w:kern w:val="0"/>
          <w:sz w:val="32"/>
          <w:szCs w:val="32"/>
        </w:rPr>
        <w:t>玉溪市红塔区</w:t>
      </w:r>
      <w:r>
        <w:rPr>
          <w:rFonts w:hint="eastAsia" w:eastAsia="方正仿宋_GBK"/>
          <w:color w:val="auto"/>
          <w:kern w:val="0"/>
          <w:sz w:val="32"/>
          <w:szCs w:val="32"/>
          <w:lang w:eastAsia="zh-CN"/>
        </w:rPr>
        <w:t>人民政府</w:t>
      </w:r>
    </w:p>
    <w:p>
      <w:pPr>
        <w:rPr>
          <w:rFonts w:eastAsia="方正仿宋_GB2312"/>
          <w:color w:val="auto"/>
        </w:rPr>
      </w:pPr>
      <w:r>
        <w:rPr>
          <w:rFonts w:eastAsia="方正仿宋_GB2312"/>
          <w:color w:val="auto"/>
          <w:kern w:val="0"/>
          <w:sz w:val="32"/>
          <w:szCs w:val="32"/>
        </w:rPr>
        <w:t>编制单位：</w:t>
      </w:r>
      <w:r>
        <w:rPr>
          <w:rFonts w:eastAsia="方正仿宋_GBK"/>
          <w:color w:val="auto"/>
          <w:kern w:val="0"/>
          <w:sz w:val="32"/>
          <w:szCs w:val="32"/>
        </w:rPr>
        <w:t>云南师范大学</w:t>
      </w:r>
    </w:p>
    <w:p>
      <w:pPr>
        <w:rPr>
          <w:rFonts w:hint="eastAsia" w:eastAsia="方正仿宋_GBK"/>
          <w:color w:val="auto"/>
          <w:kern w:val="0"/>
          <w:sz w:val="32"/>
          <w:szCs w:val="32"/>
          <w:lang w:eastAsia="zh-CN"/>
        </w:rPr>
      </w:pPr>
      <w:r>
        <w:rPr>
          <w:rFonts w:eastAsia="方正仿宋_GB2312"/>
          <w:color w:val="auto"/>
          <w:kern w:val="0"/>
          <w:sz w:val="32"/>
          <w:szCs w:val="32"/>
        </w:rPr>
        <w:t>实施单位：</w:t>
      </w:r>
      <w:r>
        <w:rPr>
          <w:rFonts w:eastAsia="方正仿宋_GBK"/>
          <w:color w:val="auto"/>
          <w:kern w:val="0"/>
          <w:sz w:val="32"/>
          <w:szCs w:val="32"/>
        </w:rPr>
        <w:t>玉溪市红塔区农业农村</w:t>
      </w:r>
      <w:r>
        <w:rPr>
          <w:rFonts w:hint="eastAsia" w:eastAsia="方正仿宋_GBK"/>
          <w:color w:val="auto"/>
          <w:kern w:val="0"/>
          <w:sz w:val="32"/>
          <w:szCs w:val="32"/>
          <w:lang w:eastAsia="zh-CN"/>
        </w:rPr>
        <w:t>局</w:t>
      </w:r>
    </w:p>
    <w:p>
      <w:pPr>
        <w:ind w:left="1600" w:hanging="1600" w:hangingChars="500"/>
        <w:rPr>
          <w:rFonts w:eastAsia="方正仿宋_GB2312"/>
          <w:color w:val="auto"/>
          <w:kern w:val="0"/>
          <w:sz w:val="32"/>
          <w:szCs w:val="32"/>
        </w:rPr>
      </w:pPr>
      <w:r>
        <w:rPr>
          <w:rFonts w:eastAsia="方正仿宋_GB2312"/>
          <w:color w:val="auto"/>
          <w:kern w:val="0"/>
          <w:sz w:val="32"/>
          <w:szCs w:val="32"/>
        </w:rPr>
        <w:t>方案编制人员：</w:t>
      </w:r>
      <w:r>
        <w:rPr>
          <w:rFonts w:eastAsia="方正仿宋_GBK"/>
          <w:bCs/>
          <w:color w:val="auto"/>
          <w:sz w:val="32"/>
          <w:szCs w:val="32"/>
        </w:rPr>
        <w:t>向泰、姚红松、田林、</w:t>
      </w:r>
      <w:r>
        <w:rPr>
          <w:rFonts w:eastAsia="方正仿宋_GBK"/>
          <w:color w:val="auto"/>
          <w:kern w:val="0"/>
          <w:sz w:val="32"/>
          <w:szCs w:val="32"/>
        </w:rPr>
        <w:t>普海莲、</w:t>
      </w:r>
      <w:r>
        <w:rPr>
          <w:rFonts w:eastAsia="方正仿宋_GBK"/>
          <w:bCs/>
          <w:color w:val="auto"/>
          <w:sz w:val="32"/>
          <w:szCs w:val="32"/>
        </w:rPr>
        <w:t>吴国斌</w:t>
      </w:r>
      <w:r>
        <w:rPr>
          <w:rFonts w:eastAsia="方正仿宋_GBK"/>
          <w:color w:val="auto"/>
          <w:kern w:val="0"/>
          <w:sz w:val="32"/>
          <w:szCs w:val="32"/>
        </w:rPr>
        <w:t>、普方学、郭凤鸣、杨云、陈俊、张开敏、肖琳、张勇</w:t>
      </w:r>
      <w:r>
        <w:rPr>
          <w:rFonts w:eastAsia="方正仿宋_GBK"/>
          <w:bCs/>
          <w:color w:val="auto"/>
          <w:sz w:val="32"/>
          <w:szCs w:val="32"/>
        </w:rPr>
        <w:t>、</w:t>
      </w:r>
      <w:r>
        <w:rPr>
          <w:rFonts w:eastAsia="方正仿宋_GBK"/>
          <w:color w:val="auto"/>
          <w:kern w:val="0"/>
          <w:sz w:val="32"/>
          <w:szCs w:val="32"/>
        </w:rPr>
        <w:t>王华斌、张炳薪、郭丹辉、李世纪、周伦、崔婷</w:t>
      </w:r>
      <w:r>
        <w:rPr>
          <w:rFonts w:eastAsia="方正仿宋_GBK"/>
          <w:bCs/>
          <w:color w:val="auto"/>
          <w:sz w:val="32"/>
          <w:szCs w:val="32"/>
        </w:rPr>
        <w:t>。</w:t>
      </w:r>
    </w:p>
    <w:p>
      <w:pPr>
        <w:rPr>
          <w:rFonts w:eastAsia="方正仿宋_GB2312"/>
          <w:bCs/>
          <w:color w:val="auto"/>
          <w:sz w:val="32"/>
          <w:szCs w:val="32"/>
        </w:rPr>
      </w:pPr>
      <w:r>
        <w:rPr>
          <w:rFonts w:eastAsia="方正仿宋_GB2312"/>
          <w:color w:val="auto"/>
          <w:kern w:val="0"/>
          <w:sz w:val="32"/>
          <w:szCs w:val="32"/>
        </w:rPr>
        <w:t>联 系 人：</w:t>
      </w:r>
      <w:r>
        <w:rPr>
          <w:rFonts w:eastAsia="方正仿宋_GBK"/>
          <w:color w:val="auto"/>
          <w:kern w:val="0"/>
          <w:sz w:val="32"/>
          <w:szCs w:val="32"/>
        </w:rPr>
        <w:t>吴国斌</w:t>
      </w:r>
    </w:p>
    <w:p>
      <w:pPr>
        <w:rPr>
          <w:rFonts w:eastAsia="方正仿宋_GB2312"/>
          <w:bCs/>
          <w:color w:val="auto"/>
          <w:sz w:val="32"/>
          <w:szCs w:val="32"/>
        </w:rPr>
      </w:pPr>
      <w:r>
        <w:rPr>
          <w:rFonts w:eastAsia="方正仿宋_GB2312"/>
          <w:color w:val="auto"/>
          <w:kern w:val="0"/>
          <w:sz w:val="32"/>
          <w:szCs w:val="32"/>
        </w:rPr>
        <w:t>联系电话：</w:t>
      </w:r>
      <w:r>
        <w:rPr>
          <w:rFonts w:eastAsia="方正仿宋_GBK"/>
          <w:color w:val="auto"/>
          <w:kern w:val="0"/>
          <w:sz w:val="32"/>
          <w:szCs w:val="32"/>
        </w:rPr>
        <w:t>13987771301</w:t>
      </w:r>
    </w:p>
    <w:p>
      <w:pPr>
        <w:rPr>
          <w:rFonts w:eastAsia="方正仿宋_GBK"/>
          <w:bCs/>
          <w:color w:val="auto"/>
          <w:sz w:val="32"/>
          <w:szCs w:val="32"/>
        </w:rPr>
      </w:pPr>
      <w:r>
        <w:rPr>
          <w:rFonts w:eastAsia="方正仿宋_GB2312"/>
          <w:color w:val="auto"/>
          <w:kern w:val="0"/>
          <w:sz w:val="32"/>
          <w:szCs w:val="32"/>
        </w:rPr>
        <w:t>通信地址：</w:t>
      </w:r>
      <w:r>
        <w:rPr>
          <w:rFonts w:eastAsia="方正仿宋_GBK"/>
          <w:bCs/>
          <w:color w:val="auto"/>
          <w:sz w:val="32"/>
          <w:szCs w:val="32"/>
        </w:rPr>
        <w:t>玉溪市红塔区红塔大道25号</w:t>
      </w:r>
    </w:p>
    <w:p>
      <w:pPr>
        <w:rPr>
          <w:b/>
          <w:bCs/>
          <w:color w:val="auto"/>
          <w:kern w:val="0"/>
          <w:sz w:val="28"/>
          <w:szCs w:val="28"/>
          <w:lang w:val="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r>
        <w:rPr>
          <w:rFonts w:eastAsia="方正仿宋_GB2312"/>
          <w:color w:val="auto"/>
          <w:kern w:val="0"/>
          <w:sz w:val="32"/>
          <w:szCs w:val="32"/>
        </w:rPr>
        <w:t>实施时间：</w:t>
      </w:r>
      <w:r>
        <w:rPr>
          <w:rFonts w:eastAsia="方正仿宋_GBK"/>
          <w:bCs/>
          <w:color w:val="auto"/>
          <w:sz w:val="32"/>
          <w:szCs w:val="32"/>
        </w:rPr>
        <w:t>2023年3月至202</w:t>
      </w:r>
      <w:r>
        <w:rPr>
          <w:rFonts w:hint="eastAsia" w:eastAsia="方正仿宋_GBK"/>
          <w:bCs/>
          <w:color w:val="auto"/>
          <w:sz w:val="32"/>
          <w:szCs w:val="32"/>
          <w:lang w:val="en-US" w:eastAsia="zh-CN"/>
        </w:rPr>
        <w:t>3</w:t>
      </w:r>
      <w:r>
        <w:rPr>
          <w:rFonts w:eastAsia="方正仿宋_GBK"/>
          <w:bCs/>
          <w:color w:val="auto"/>
          <w:sz w:val="32"/>
          <w:szCs w:val="32"/>
        </w:rPr>
        <w:t>年</w:t>
      </w:r>
      <w:r>
        <w:rPr>
          <w:rFonts w:hint="eastAsia" w:eastAsia="方正仿宋_GBK"/>
          <w:bCs/>
          <w:color w:val="auto"/>
          <w:sz w:val="32"/>
          <w:szCs w:val="32"/>
          <w:lang w:val="en-US" w:eastAsia="zh-CN"/>
        </w:rPr>
        <w:t>12</w:t>
      </w:r>
      <w:r>
        <w:rPr>
          <w:rFonts w:eastAsia="方正仿宋_GBK"/>
          <w:bCs/>
          <w:color w:val="auto"/>
          <w:sz w:val="32"/>
          <w:szCs w:val="32"/>
        </w:rPr>
        <w:t>月</w:t>
      </w:r>
    </w:p>
    <w:p>
      <w:pPr>
        <w:spacing w:before="159" w:beforeLines="50" w:after="159" w:afterLines="50"/>
        <w:ind w:firstLine="640" w:firstLineChars="200"/>
        <w:jc w:val="center"/>
        <w:rPr>
          <w:rFonts w:eastAsia="方正黑体_GBK"/>
          <w:color w:val="auto"/>
          <w:sz w:val="32"/>
          <w:szCs w:val="32"/>
        </w:rPr>
      </w:pPr>
      <w:bookmarkStart w:id="0" w:name="_Toc16299"/>
      <w:bookmarkStart w:id="1" w:name="_Toc16920"/>
      <w:bookmarkStart w:id="2" w:name="_Toc19768"/>
      <w:bookmarkStart w:id="3" w:name="_Toc4545"/>
      <w:bookmarkStart w:id="4" w:name="_Toc7138"/>
      <w:bookmarkStart w:id="5" w:name="_Toc27834"/>
      <w:bookmarkStart w:id="6" w:name="_Toc12150"/>
      <w:bookmarkStart w:id="7" w:name="_Toc582"/>
      <w:bookmarkStart w:id="8" w:name="_Toc9469"/>
      <w:bookmarkStart w:id="9" w:name="_Toc5760"/>
      <w:bookmarkStart w:id="10" w:name="_Toc24477"/>
      <w:bookmarkStart w:id="11" w:name="_Toc11850"/>
      <w:bookmarkStart w:id="12" w:name="_Toc19757"/>
      <w:bookmarkStart w:id="13" w:name="_Toc15353"/>
      <w:bookmarkStart w:id="14" w:name="_Toc30413"/>
      <w:bookmarkStart w:id="15" w:name="_Toc30823"/>
      <w:bookmarkStart w:id="16" w:name="_Toc9604"/>
      <w:bookmarkStart w:id="17" w:name="_Toc16123"/>
      <w:bookmarkStart w:id="18" w:name="_Toc562"/>
      <w:bookmarkStart w:id="19" w:name="_Toc2221"/>
      <w:bookmarkStart w:id="20" w:name="_Toc7459"/>
      <w:bookmarkStart w:id="21" w:name="_Toc8008"/>
      <w:bookmarkStart w:id="22" w:name="_Toc13712"/>
      <w:bookmarkStart w:id="23" w:name="_Toc29581"/>
      <w:bookmarkStart w:id="24" w:name="_Toc9869"/>
      <w:r>
        <w:rPr>
          <w:rFonts w:eastAsia="方正黑体_GBK"/>
          <w:color w:val="auto"/>
          <w:sz w:val="32"/>
          <w:szCs w:val="32"/>
        </w:rPr>
        <w:t>项目概况</w:t>
      </w:r>
      <w:bookmarkEnd w:id="0"/>
      <w:bookmarkEnd w:id="1"/>
      <w:bookmarkEnd w:id="2"/>
      <w:bookmarkEnd w:id="3"/>
      <w:bookmarkEnd w:id="4"/>
      <w:bookmarkEnd w:id="5"/>
      <w:bookmarkEnd w:id="6"/>
      <w:bookmarkEnd w:id="7"/>
      <w:bookmarkEnd w:id="8"/>
      <w:bookmarkEnd w:id="9"/>
    </w:p>
    <w:p>
      <w:pPr>
        <w:ind w:firstLine="640" w:firstLineChars="200"/>
        <w:rPr>
          <w:rFonts w:eastAsia="方正仿宋_GBK"/>
          <w:color w:val="auto"/>
          <w:sz w:val="32"/>
          <w:szCs w:val="32"/>
        </w:rPr>
      </w:pPr>
      <w:r>
        <w:rPr>
          <w:rFonts w:eastAsia="方正仿宋_GBK"/>
          <w:color w:val="auto"/>
          <w:sz w:val="32"/>
          <w:szCs w:val="32"/>
        </w:rPr>
        <w:t>为贯彻落实2023年中央一号文件中关于</w:t>
      </w:r>
      <w:r>
        <w:rPr>
          <w:rFonts w:hint="eastAsia" w:eastAsia="方正仿宋_GBK"/>
          <w:color w:val="auto"/>
          <w:sz w:val="32"/>
          <w:szCs w:val="32"/>
        </w:rPr>
        <w:t>“</w:t>
      </w:r>
      <w:r>
        <w:rPr>
          <w:rFonts w:eastAsia="方正仿宋_GBK"/>
          <w:color w:val="auto"/>
          <w:sz w:val="32"/>
          <w:szCs w:val="32"/>
        </w:rPr>
        <w:t>农业废弃物收集利用处理体系</w:t>
      </w:r>
      <w:r>
        <w:rPr>
          <w:rFonts w:hint="eastAsia" w:eastAsia="方正仿宋_GBK"/>
          <w:color w:val="auto"/>
          <w:sz w:val="32"/>
          <w:szCs w:val="32"/>
        </w:rPr>
        <w:t>”</w:t>
      </w:r>
      <w:r>
        <w:rPr>
          <w:rFonts w:eastAsia="方正仿宋_GBK"/>
          <w:color w:val="auto"/>
          <w:sz w:val="32"/>
          <w:szCs w:val="32"/>
        </w:rPr>
        <w:t>决策部署，全面提升农作物秸秆综合利用质量和效益，形成秸秆高水平利用格局，促进玉溪市红塔区农业绿色发展、高质量发展，按照云南省农业农村厅办公室印发《云南省2022年农作物秸秆综合利用工作实施方案的通知》（云农办环〔2022〕24号）、《云南省财政厅关于提前下达2023年中央农业资源及生态保护补助资金的通知》（云财农〔2022〕280号）等相关要求，结合红塔区实际，制定本实施方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spacing w:before="120" w:after="120"/>
        <w:ind w:firstLine="643" w:firstLineChars="200"/>
        <w:rPr>
          <w:rFonts w:eastAsia="方正楷体_GBK"/>
          <w:b/>
          <w:bCs/>
          <w:color w:val="auto"/>
          <w:sz w:val="32"/>
          <w:szCs w:val="32"/>
        </w:rPr>
      </w:pPr>
      <w:bookmarkStart w:id="25" w:name="_Toc10270"/>
      <w:bookmarkStart w:id="26" w:name="_Toc8028"/>
      <w:bookmarkStart w:id="27" w:name="_Toc32366"/>
      <w:bookmarkStart w:id="28" w:name="_Toc31769"/>
      <w:bookmarkStart w:id="29" w:name="_Toc31200"/>
      <w:bookmarkStart w:id="30" w:name="_Toc25905"/>
      <w:bookmarkStart w:id="31" w:name="_Toc21356"/>
      <w:bookmarkStart w:id="32" w:name="_Toc7285"/>
      <w:bookmarkStart w:id="33" w:name="_Toc17958"/>
      <w:bookmarkStart w:id="34" w:name="_Toc8458"/>
      <w:r>
        <w:rPr>
          <w:rFonts w:eastAsia="方正楷体_GBK"/>
          <w:b/>
          <w:bCs/>
          <w:color w:val="auto"/>
          <w:sz w:val="32"/>
          <w:szCs w:val="32"/>
        </w:rPr>
        <w:t>（一）项目名称</w:t>
      </w:r>
      <w:bookmarkEnd w:id="25"/>
      <w:bookmarkEnd w:id="26"/>
      <w:bookmarkEnd w:id="27"/>
      <w:bookmarkEnd w:id="28"/>
      <w:bookmarkEnd w:id="29"/>
      <w:bookmarkEnd w:id="30"/>
      <w:bookmarkEnd w:id="31"/>
      <w:bookmarkEnd w:id="32"/>
      <w:bookmarkEnd w:id="33"/>
      <w:bookmarkEnd w:id="34"/>
    </w:p>
    <w:p>
      <w:pPr>
        <w:ind w:firstLine="640" w:firstLineChars="200"/>
        <w:rPr>
          <w:rFonts w:eastAsia="方正仿宋_GBK"/>
          <w:color w:val="auto"/>
          <w:sz w:val="32"/>
          <w:szCs w:val="32"/>
        </w:rPr>
      </w:pPr>
      <w:r>
        <w:rPr>
          <w:rFonts w:eastAsia="方正仿宋_GBK"/>
          <w:color w:val="auto"/>
          <w:sz w:val="32"/>
          <w:szCs w:val="32"/>
        </w:rPr>
        <w:t>玉溪市红塔区2023年农作物秸秆综合利用重点县建设项目。</w:t>
      </w:r>
    </w:p>
    <w:p>
      <w:pPr>
        <w:spacing w:before="120" w:after="120"/>
        <w:ind w:firstLine="643" w:firstLineChars="200"/>
        <w:rPr>
          <w:rFonts w:eastAsia="方正楷体_GBK"/>
          <w:b/>
          <w:bCs/>
          <w:color w:val="auto"/>
          <w:sz w:val="32"/>
          <w:szCs w:val="32"/>
        </w:rPr>
      </w:pPr>
      <w:bookmarkStart w:id="35" w:name="_Toc14031"/>
      <w:bookmarkStart w:id="36" w:name="_Toc28958"/>
      <w:bookmarkStart w:id="37" w:name="_Toc19719"/>
      <w:bookmarkStart w:id="38" w:name="_Toc15202"/>
      <w:bookmarkStart w:id="39" w:name="_Toc17119"/>
      <w:bookmarkStart w:id="40" w:name="_Toc30693"/>
      <w:bookmarkStart w:id="41" w:name="_Toc6629"/>
      <w:bookmarkStart w:id="42" w:name="_Toc31196"/>
      <w:bookmarkStart w:id="43" w:name="_Toc8204"/>
      <w:bookmarkStart w:id="44" w:name="_Toc24074"/>
      <w:r>
        <w:rPr>
          <w:rFonts w:eastAsia="方正楷体_GBK"/>
          <w:b/>
          <w:bCs/>
          <w:color w:val="auto"/>
          <w:sz w:val="32"/>
          <w:szCs w:val="32"/>
        </w:rPr>
        <w:t>（二）项目性质</w:t>
      </w:r>
      <w:bookmarkEnd w:id="35"/>
      <w:bookmarkEnd w:id="36"/>
      <w:bookmarkEnd w:id="37"/>
      <w:bookmarkEnd w:id="38"/>
      <w:bookmarkEnd w:id="39"/>
      <w:bookmarkEnd w:id="40"/>
      <w:bookmarkEnd w:id="41"/>
      <w:bookmarkEnd w:id="42"/>
      <w:bookmarkEnd w:id="43"/>
      <w:bookmarkEnd w:id="44"/>
    </w:p>
    <w:p>
      <w:pPr>
        <w:ind w:firstLine="640" w:firstLineChars="200"/>
        <w:rPr>
          <w:rFonts w:eastAsia="方正仿宋_GBK"/>
          <w:color w:val="auto"/>
          <w:sz w:val="32"/>
          <w:szCs w:val="32"/>
        </w:rPr>
      </w:pPr>
      <w:r>
        <w:rPr>
          <w:rFonts w:eastAsia="方正仿宋_GBK"/>
          <w:color w:val="auto"/>
          <w:sz w:val="32"/>
          <w:szCs w:val="32"/>
        </w:rPr>
        <w:t>新建。</w:t>
      </w:r>
    </w:p>
    <w:p>
      <w:pPr>
        <w:spacing w:before="120" w:after="120"/>
        <w:ind w:firstLine="643" w:firstLineChars="200"/>
        <w:rPr>
          <w:rFonts w:eastAsia="方正楷体_GBK"/>
          <w:b/>
          <w:bCs/>
          <w:color w:val="auto"/>
          <w:sz w:val="32"/>
          <w:szCs w:val="32"/>
        </w:rPr>
      </w:pPr>
      <w:bookmarkStart w:id="45" w:name="_Toc18631"/>
      <w:bookmarkStart w:id="46" w:name="_Toc29125"/>
      <w:bookmarkStart w:id="47" w:name="_Toc28202"/>
      <w:bookmarkStart w:id="48" w:name="_Toc31192"/>
      <w:bookmarkStart w:id="49" w:name="_Toc7398"/>
      <w:bookmarkStart w:id="50" w:name="_Toc4653"/>
      <w:bookmarkStart w:id="51" w:name="_Toc13777"/>
      <w:bookmarkStart w:id="52" w:name="_Toc5761"/>
      <w:bookmarkStart w:id="53" w:name="_Toc38"/>
      <w:bookmarkStart w:id="54" w:name="_Toc2717"/>
      <w:bookmarkStart w:id="55" w:name="_Toc30485"/>
      <w:r>
        <w:rPr>
          <w:rFonts w:eastAsia="方正楷体_GBK"/>
          <w:b/>
          <w:bCs/>
          <w:color w:val="auto"/>
          <w:sz w:val="32"/>
          <w:szCs w:val="32"/>
        </w:rPr>
        <w:t>（三）建设地点</w:t>
      </w:r>
      <w:bookmarkEnd w:id="45"/>
      <w:bookmarkEnd w:id="46"/>
      <w:bookmarkEnd w:id="47"/>
      <w:bookmarkEnd w:id="48"/>
      <w:bookmarkEnd w:id="49"/>
      <w:bookmarkEnd w:id="50"/>
      <w:bookmarkEnd w:id="51"/>
      <w:bookmarkEnd w:id="52"/>
      <w:bookmarkEnd w:id="53"/>
      <w:bookmarkEnd w:id="54"/>
      <w:bookmarkEnd w:id="55"/>
    </w:p>
    <w:p>
      <w:pPr>
        <w:ind w:firstLine="640" w:firstLineChars="200"/>
        <w:rPr>
          <w:rFonts w:eastAsia="方正仿宋_GBK"/>
          <w:color w:val="auto"/>
          <w:sz w:val="32"/>
          <w:szCs w:val="32"/>
        </w:rPr>
      </w:pPr>
      <w:r>
        <w:rPr>
          <w:rFonts w:eastAsia="方正仿宋_GBK"/>
          <w:color w:val="auto"/>
          <w:sz w:val="32"/>
          <w:szCs w:val="32"/>
        </w:rPr>
        <w:t>玉溪市红塔区北城街道、大营街街道、研和街道、春和街道、高仓街道、洛河乡、小石桥乡</w:t>
      </w:r>
      <w:r>
        <w:rPr>
          <w:rFonts w:hint="eastAsia" w:eastAsia="方正仿宋_GBK"/>
          <w:color w:val="auto"/>
          <w:sz w:val="32"/>
          <w:szCs w:val="32"/>
          <w:lang w:val="en-US" w:eastAsia="zh-CN"/>
        </w:rPr>
        <w:t>等乡（街道）</w:t>
      </w:r>
      <w:r>
        <w:rPr>
          <w:rFonts w:eastAsia="方正仿宋_GBK"/>
          <w:color w:val="auto"/>
          <w:sz w:val="32"/>
          <w:szCs w:val="32"/>
        </w:rPr>
        <w:t>。</w:t>
      </w:r>
    </w:p>
    <w:p>
      <w:pPr>
        <w:spacing w:before="120" w:after="120"/>
        <w:ind w:firstLine="643" w:firstLineChars="200"/>
        <w:rPr>
          <w:rFonts w:eastAsia="方正楷体_GBK"/>
          <w:b/>
          <w:bCs/>
          <w:color w:val="auto"/>
          <w:sz w:val="32"/>
          <w:szCs w:val="32"/>
        </w:rPr>
      </w:pPr>
      <w:bookmarkStart w:id="56" w:name="_Toc6405"/>
      <w:bookmarkStart w:id="57" w:name="_Toc22360"/>
      <w:bookmarkStart w:id="58" w:name="_Toc13574"/>
      <w:bookmarkStart w:id="59" w:name="_Toc4756"/>
      <w:bookmarkStart w:id="60" w:name="_Toc24773"/>
      <w:bookmarkStart w:id="61" w:name="_Toc20620"/>
      <w:bookmarkStart w:id="62" w:name="_Toc14561"/>
      <w:bookmarkStart w:id="63" w:name="_Toc19740"/>
      <w:bookmarkStart w:id="64" w:name="_Toc21906"/>
      <w:bookmarkStart w:id="65" w:name="_Toc29388"/>
      <w:bookmarkStart w:id="66" w:name="_Toc227"/>
      <w:r>
        <w:rPr>
          <w:rFonts w:eastAsia="方正楷体_GBK"/>
          <w:b/>
          <w:bCs/>
          <w:color w:val="auto"/>
          <w:sz w:val="32"/>
          <w:szCs w:val="32"/>
        </w:rPr>
        <w:t>（四）建设目标</w:t>
      </w:r>
      <w:bookmarkEnd w:id="56"/>
      <w:bookmarkEnd w:id="57"/>
      <w:bookmarkEnd w:id="58"/>
      <w:bookmarkEnd w:id="59"/>
      <w:bookmarkEnd w:id="60"/>
      <w:bookmarkEnd w:id="61"/>
      <w:bookmarkEnd w:id="62"/>
      <w:bookmarkEnd w:id="63"/>
      <w:bookmarkEnd w:id="64"/>
      <w:bookmarkEnd w:id="65"/>
      <w:bookmarkEnd w:id="66"/>
    </w:p>
    <w:p>
      <w:pPr>
        <w:ind w:firstLine="640" w:firstLineChars="200"/>
        <w:rPr>
          <w:rFonts w:eastAsia="方正仿宋_GBK"/>
          <w:color w:val="auto"/>
          <w:sz w:val="32"/>
          <w:szCs w:val="32"/>
        </w:rPr>
      </w:pPr>
      <w:r>
        <w:rPr>
          <w:rFonts w:hint="eastAsia" w:eastAsia="方正仿宋_GBK"/>
          <w:color w:val="auto"/>
          <w:sz w:val="32"/>
          <w:szCs w:val="32"/>
        </w:rPr>
        <w:t>以秸秆</w:t>
      </w:r>
      <w:r>
        <w:rPr>
          <w:rFonts w:hint="eastAsia" w:eastAsia="方正仿宋_GBK"/>
          <w:color w:val="auto"/>
          <w:sz w:val="32"/>
          <w:szCs w:val="32"/>
          <w:lang w:val="en-US" w:eastAsia="zh-CN"/>
        </w:rPr>
        <w:t>沃土模式</w:t>
      </w:r>
      <w:r>
        <w:rPr>
          <w:rFonts w:hint="eastAsia" w:eastAsia="方正仿宋_GBK"/>
          <w:color w:val="auto"/>
          <w:sz w:val="32"/>
          <w:szCs w:val="32"/>
        </w:rPr>
        <w:t>为重点，收储运体系建设为载体，</w:t>
      </w:r>
      <w:r>
        <w:rPr>
          <w:rFonts w:eastAsia="方正仿宋_GBK"/>
          <w:color w:val="auto"/>
          <w:sz w:val="32"/>
          <w:szCs w:val="32"/>
        </w:rPr>
        <w:t>实现红塔区秸秆综合利用率保持在92%以上高位运行，形成以红塔区为中心并延伸消纳周边区县的秸秆全产业链高值化利用特色示范区。</w:t>
      </w:r>
    </w:p>
    <w:p>
      <w:pPr>
        <w:spacing w:before="120" w:after="120"/>
        <w:ind w:firstLine="643" w:firstLineChars="200"/>
        <w:rPr>
          <w:rFonts w:eastAsia="方正楷体_GBK"/>
          <w:b/>
          <w:bCs/>
          <w:color w:val="auto"/>
          <w:sz w:val="32"/>
          <w:szCs w:val="32"/>
        </w:rPr>
      </w:pPr>
      <w:bookmarkStart w:id="67" w:name="_Toc7904"/>
      <w:bookmarkStart w:id="68" w:name="_Toc8240"/>
      <w:bookmarkStart w:id="69" w:name="_Toc3104"/>
      <w:bookmarkStart w:id="70" w:name="_Toc7417"/>
      <w:bookmarkStart w:id="71" w:name="_Toc28553"/>
      <w:bookmarkStart w:id="72" w:name="_Toc27954"/>
      <w:bookmarkStart w:id="73" w:name="_Toc5747"/>
      <w:bookmarkStart w:id="74" w:name="_Toc14920"/>
      <w:bookmarkStart w:id="75" w:name="_Toc25547"/>
      <w:bookmarkStart w:id="76" w:name="_Toc8126"/>
      <w:bookmarkStart w:id="77" w:name="_Toc24315"/>
      <w:r>
        <w:rPr>
          <w:rFonts w:eastAsia="方正楷体_GBK"/>
          <w:b/>
          <w:bCs/>
          <w:color w:val="auto"/>
          <w:sz w:val="32"/>
          <w:szCs w:val="32"/>
        </w:rPr>
        <w:t>（五）建设</w:t>
      </w:r>
      <w:bookmarkEnd w:id="67"/>
      <w:bookmarkEnd w:id="68"/>
      <w:bookmarkEnd w:id="69"/>
      <w:bookmarkEnd w:id="70"/>
      <w:bookmarkEnd w:id="71"/>
      <w:bookmarkEnd w:id="72"/>
      <w:bookmarkEnd w:id="73"/>
      <w:bookmarkEnd w:id="74"/>
      <w:bookmarkEnd w:id="75"/>
      <w:bookmarkEnd w:id="76"/>
      <w:bookmarkEnd w:id="77"/>
      <w:r>
        <w:rPr>
          <w:rFonts w:eastAsia="方正楷体_GBK"/>
          <w:b/>
          <w:bCs/>
          <w:color w:val="auto"/>
          <w:sz w:val="32"/>
          <w:szCs w:val="32"/>
        </w:rPr>
        <w:t>内容</w:t>
      </w:r>
    </w:p>
    <w:p>
      <w:pPr>
        <w:widowControl/>
        <w:ind w:firstLine="640" w:firstLineChars="200"/>
        <w:jc w:val="left"/>
        <w:rPr>
          <w:rFonts w:eastAsia="方正仿宋_GBK"/>
          <w:color w:val="auto"/>
          <w:sz w:val="32"/>
          <w:szCs w:val="32"/>
        </w:rPr>
      </w:pPr>
      <w:r>
        <w:rPr>
          <w:rFonts w:hint="eastAsia" w:eastAsia="方正仿宋_GBK"/>
          <w:color w:val="auto"/>
          <w:sz w:val="32"/>
          <w:szCs w:val="32"/>
        </w:rPr>
        <w:t>在全区</w:t>
      </w:r>
      <w:r>
        <w:rPr>
          <w:rFonts w:hint="eastAsia" w:eastAsia="方正仿宋_GBK"/>
          <w:color w:val="auto"/>
          <w:sz w:val="32"/>
          <w:szCs w:val="32"/>
          <w:lang w:val="en-US" w:eastAsia="zh-CN"/>
        </w:rPr>
        <w:t>11</w:t>
      </w:r>
      <w:r>
        <w:rPr>
          <w:rFonts w:hint="eastAsia" w:eastAsia="方正仿宋_GBK"/>
          <w:color w:val="auto"/>
          <w:sz w:val="32"/>
          <w:szCs w:val="32"/>
        </w:rPr>
        <w:t>个乡（街道）和所属重点村（社区）完善农作物秸秆综合利用收储运体系，建设N个临时收储点，形成“1+1+X”收储运模式。在此基础上，</w:t>
      </w:r>
      <w:r>
        <w:rPr>
          <w:rFonts w:hint="eastAsia" w:eastAsia="方正仿宋_GBK"/>
          <w:color w:val="auto"/>
          <w:sz w:val="32"/>
          <w:szCs w:val="32"/>
          <w:lang w:val="en-US" w:eastAsia="zh-CN"/>
        </w:rPr>
        <w:t>兼顾</w:t>
      </w:r>
      <w:r>
        <w:rPr>
          <w:rFonts w:eastAsia="方正仿宋_GBK"/>
          <w:color w:val="auto"/>
          <w:sz w:val="32"/>
          <w:szCs w:val="32"/>
        </w:rPr>
        <w:t>有机肥、颗粒燃料和原料化加工，扶持一批</w:t>
      </w:r>
      <w:r>
        <w:rPr>
          <w:rFonts w:hint="eastAsia" w:eastAsia="方正仿宋_GBK"/>
          <w:color w:val="auto"/>
          <w:sz w:val="32"/>
          <w:szCs w:val="32"/>
          <w:lang w:val="en-US" w:eastAsia="zh-CN"/>
        </w:rPr>
        <w:t>秸秆综合</w:t>
      </w:r>
      <w:r>
        <w:rPr>
          <w:rFonts w:eastAsia="方正仿宋_GBK"/>
          <w:color w:val="auto"/>
          <w:sz w:val="32"/>
          <w:szCs w:val="32"/>
        </w:rPr>
        <w:t>利用</w:t>
      </w:r>
      <w:r>
        <w:rPr>
          <w:rFonts w:hint="eastAsia" w:eastAsia="方正仿宋_GBK"/>
          <w:color w:val="auto"/>
          <w:sz w:val="32"/>
          <w:szCs w:val="32"/>
          <w:lang w:val="en-US" w:eastAsia="zh-CN"/>
        </w:rPr>
        <w:t>市场化主体</w:t>
      </w:r>
      <w:r>
        <w:rPr>
          <w:rFonts w:eastAsia="方正仿宋_GBK"/>
          <w:color w:val="auto"/>
          <w:sz w:val="32"/>
          <w:szCs w:val="32"/>
        </w:rPr>
        <w:t>；</w:t>
      </w:r>
      <w:r>
        <w:rPr>
          <w:rFonts w:hint="eastAsia" w:eastAsia="方正仿宋_GBK"/>
          <w:color w:val="auto"/>
          <w:sz w:val="32"/>
          <w:szCs w:val="32"/>
          <w:lang w:val="en-US" w:eastAsia="zh-CN"/>
        </w:rPr>
        <w:t>预计</w:t>
      </w:r>
      <w:r>
        <w:rPr>
          <w:rFonts w:eastAsia="方正仿宋_GBK"/>
          <w:color w:val="auto"/>
          <w:sz w:val="32"/>
          <w:szCs w:val="32"/>
        </w:rPr>
        <w:t>肥料化利用29000吨，燃料化利用秸秆10000吨，原料化利用秸秆23000吨（利用</w:t>
      </w:r>
      <w:r>
        <w:rPr>
          <w:rFonts w:eastAsia="方正仿宋_GBK"/>
          <w:color w:val="auto"/>
          <w:kern w:val="0"/>
          <w:sz w:val="31"/>
          <w:szCs w:val="31"/>
          <w:lang w:bidi="ar"/>
        </w:rPr>
        <w:t>秸秆包</w:t>
      </w:r>
      <w:r>
        <w:rPr>
          <w:rFonts w:eastAsia="方正仿宋_GBK"/>
          <w:color w:val="auto"/>
          <w:kern w:val="0"/>
          <w:sz w:val="32"/>
          <w:szCs w:val="32"/>
        </w:rPr>
        <w:t>含红塔区以及周边县区农作物秸秆</w:t>
      </w:r>
      <w:r>
        <w:rPr>
          <w:rFonts w:eastAsia="方正仿宋_GBK"/>
          <w:color w:val="auto"/>
          <w:sz w:val="32"/>
          <w:szCs w:val="32"/>
        </w:rPr>
        <w:t>）</w:t>
      </w:r>
      <w:r>
        <w:rPr>
          <w:rFonts w:hint="eastAsia" w:eastAsia="方正仿宋_GBK"/>
          <w:color w:val="auto"/>
          <w:sz w:val="32"/>
          <w:szCs w:val="32"/>
          <w:lang w:eastAsia="zh-CN"/>
        </w:rPr>
        <w:t>，饲料化利用18000吨</w:t>
      </w:r>
      <w:r>
        <w:rPr>
          <w:rFonts w:eastAsia="方正仿宋_GBK"/>
          <w:color w:val="auto"/>
          <w:sz w:val="32"/>
          <w:szCs w:val="32"/>
        </w:rPr>
        <w:t>；围绕重点特色产业，探索其他作物废弃物资源化利用新模式；开展烟秆高值燃料化关键技术研发及科技成果转化，</w:t>
      </w:r>
      <w:r>
        <w:rPr>
          <w:rFonts w:hint="eastAsia" w:eastAsia="方正仿宋_GBK"/>
          <w:color w:val="auto"/>
          <w:sz w:val="32"/>
          <w:szCs w:val="32"/>
          <w:lang w:val="en-US" w:eastAsia="zh-CN"/>
        </w:rPr>
        <w:t>开展主要农作物草谷比测算以及</w:t>
      </w:r>
      <w:r>
        <w:rPr>
          <w:rFonts w:eastAsia="方正仿宋_GBK"/>
          <w:color w:val="auto"/>
          <w:sz w:val="32"/>
          <w:szCs w:val="32"/>
        </w:rPr>
        <w:t>还田</w:t>
      </w:r>
      <w:r>
        <w:rPr>
          <w:rFonts w:hint="eastAsia" w:eastAsia="方正仿宋_GBK"/>
          <w:color w:val="auto"/>
          <w:sz w:val="32"/>
          <w:szCs w:val="32"/>
          <w:lang w:val="en-US" w:eastAsia="zh-CN"/>
        </w:rPr>
        <w:t>效益</w:t>
      </w:r>
      <w:r>
        <w:rPr>
          <w:rFonts w:eastAsia="方正仿宋_GBK"/>
          <w:color w:val="auto"/>
          <w:sz w:val="32"/>
          <w:szCs w:val="32"/>
        </w:rPr>
        <w:t>监测</w:t>
      </w:r>
      <w:r>
        <w:rPr>
          <w:rFonts w:hint="eastAsia" w:eastAsia="方正仿宋_GBK"/>
          <w:color w:val="auto"/>
          <w:sz w:val="32"/>
          <w:szCs w:val="32"/>
          <w:lang w:eastAsia="zh-CN"/>
        </w:rPr>
        <w:t>，</w:t>
      </w:r>
      <w:r>
        <w:rPr>
          <w:rFonts w:eastAsia="方正仿宋_GBK"/>
          <w:color w:val="auto"/>
          <w:sz w:val="32"/>
          <w:szCs w:val="32"/>
        </w:rPr>
        <w:t>开展秸秆综合利用技术及减少农业面源污染宣传培训等。</w:t>
      </w:r>
    </w:p>
    <w:p>
      <w:pPr>
        <w:spacing w:before="120" w:after="120"/>
        <w:ind w:firstLine="643" w:firstLineChars="200"/>
        <w:rPr>
          <w:rFonts w:eastAsia="方正楷体_GBK"/>
          <w:b/>
          <w:bCs/>
          <w:color w:val="auto"/>
          <w:sz w:val="32"/>
          <w:szCs w:val="32"/>
        </w:rPr>
      </w:pPr>
      <w:bookmarkStart w:id="78" w:name="_Toc7634"/>
      <w:bookmarkStart w:id="79" w:name="_Toc17879"/>
      <w:bookmarkStart w:id="80" w:name="_Toc18560"/>
      <w:bookmarkStart w:id="81" w:name="_Toc31598"/>
      <w:bookmarkStart w:id="82" w:name="_Toc20096"/>
      <w:bookmarkStart w:id="83" w:name="_Toc5328"/>
      <w:bookmarkStart w:id="84" w:name="_Toc11715"/>
      <w:bookmarkStart w:id="85" w:name="_Toc29841"/>
      <w:bookmarkStart w:id="86" w:name="_Toc22504"/>
      <w:bookmarkStart w:id="87" w:name="_Toc14496"/>
      <w:bookmarkStart w:id="88" w:name="_Toc7610"/>
      <w:r>
        <w:rPr>
          <w:rFonts w:eastAsia="方正楷体_GBK"/>
          <w:b/>
          <w:bCs/>
          <w:color w:val="auto"/>
          <w:sz w:val="32"/>
          <w:szCs w:val="32"/>
        </w:rPr>
        <w:t>（六）投资规模</w:t>
      </w:r>
      <w:bookmarkEnd w:id="78"/>
      <w:bookmarkEnd w:id="79"/>
      <w:bookmarkEnd w:id="80"/>
      <w:bookmarkEnd w:id="81"/>
      <w:bookmarkEnd w:id="82"/>
      <w:bookmarkEnd w:id="83"/>
      <w:bookmarkEnd w:id="84"/>
      <w:bookmarkEnd w:id="85"/>
      <w:bookmarkEnd w:id="86"/>
      <w:bookmarkEnd w:id="87"/>
      <w:bookmarkEnd w:id="88"/>
    </w:p>
    <w:p>
      <w:pPr>
        <w:ind w:firstLine="640" w:firstLineChars="200"/>
        <w:rPr>
          <w:rFonts w:eastAsia="方正仿宋_GBK"/>
          <w:color w:val="auto"/>
          <w:sz w:val="32"/>
          <w:szCs w:val="32"/>
        </w:rPr>
      </w:pPr>
      <w:bookmarkStart w:id="89" w:name="_Toc25596"/>
      <w:r>
        <w:rPr>
          <w:rFonts w:eastAsia="方正仿宋_GBK"/>
          <w:color w:val="auto"/>
          <w:sz w:val="32"/>
          <w:szCs w:val="32"/>
        </w:rPr>
        <w:t>项目计划总投资9</w:t>
      </w:r>
      <w:r>
        <w:rPr>
          <w:rFonts w:hint="eastAsia" w:eastAsia="方正仿宋_GBK"/>
          <w:color w:val="auto"/>
          <w:sz w:val="32"/>
          <w:szCs w:val="32"/>
          <w:lang w:val="en-US" w:eastAsia="zh-CN"/>
        </w:rPr>
        <w:t>20.75</w:t>
      </w:r>
      <w:r>
        <w:rPr>
          <w:rFonts w:eastAsia="方正仿宋_GBK"/>
          <w:color w:val="auto"/>
          <w:sz w:val="32"/>
          <w:szCs w:val="32"/>
        </w:rPr>
        <w:t>万元。其中计划投入中央农业资源及生态保护资金400万元；自筹资金</w:t>
      </w:r>
      <w:r>
        <w:rPr>
          <w:rFonts w:hint="eastAsia" w:eastAsia="方正仿宋_GBK"/>
          <w:color w:val="auto"/>
          <w:sz w:val="32"/>
          <w:szCs w:val="32"/>
          <w:lang w:val="en-US" w:eastAsia="zh-CN"/>
        </w:rPr>
        <w:t>520.75</w:t>
      </w:r>
      <w:r>
        <w:rPr>
          <w:rFonts w:eastAsia="方正仿宋_GBK"/>
          <w:color w:val="auto"/>
          <w:sz w:val="32"/>
          <w:szCs w:val="32"/>
        </w:rPr>
        <w:t>万元。</w:t>
      </w:r>
      <w:bookmarkEnd w:id="89"/>
      <w:bookmarkStart w:id="90" w:name="_Toc26784"/>
      <w:bookmarkStart w:id="91" w:name="_Toc26259"/>
      <w:bookmarkStart w:id="92" w:name="_Toc32682"/>
      <w:bookmarkStart w:id="93" w:name="_Toc13878"/>
      <w:bookmarkStart w:id="94" w:name="_Toc32553"/>
      <w:bookmarkStart w:id="95" w:name="_Toc3872"/>
      <w:bookmarkStart w:id="96" w:name="_Toc31590"/>
      <w:bookmarkStart w:id="97" w:name="_Toc4905"/>
      <w:bookmarkStart w:id="98" w:name="_Toc16562"/>
      <w:bookmarkStart w:id="99" w:name="_Toc32523"/>
    </w:p>
    <w:p>
      <w:pPr>
        <w:spacing w:before="120" w:after="120"/>
        <w:ind w:firstLine="643" w:firstLineChars="200"/>
        <w:rPr>
          <w:rFonts w:eastAsia="方正楷体_GBK"/>
          <w:b/>
          <w:bCs/>
          <w:color w:val="auto"/>
          <w:sz w:val="32"/>
          <w:szCs w:val="32"/>
        </w:rPr>
      </w:pPr>
      <w:bookmarkStart w:id="100" w:name="_Toc15713"/>
      <w:r>
        <w:rPr>
          <w:rFonts w:eastAsia="方正楷体_GBK"/>
          <w:b/>
          <w:bCs/>
          <w:color w:val="auto"/>
          <w:sz w:val="32"/>
          <w:szCs w:val="32"/>
        </w:rPr>
        <w:t>（七）建设期限</w:t>
      </w:r>
      <w:bookmarkEnd w:id="90"/>
      <w:bookmarkEnd w:id="91"/>
      <w:bookmarkEnd w:id="92"/>
      <w:bookmarkEnd w:id="93"/>
      <w:bookmarkEnd w:id="94"/>
      <w:bookmarkEnd w:id="95"/>
      <w:bookmarkEnd w:id="96"/>
      <w:bookmarkEnd w:id="97"/>
      <w:bookmarkEnd w:id="98"/>
      <w:bookmarkEnd w:id="99"/>
      <w:bookmarkEnd w:id="100"/>
    </w:p>
    <w:p>
      <w:pPr>
        <w:ind w:firstLine="640" w:firstLineChars="200"/>
        <w:rPr>
          <w:rFonts w:eastAsia="方正仿宋_GBK"/>
          <w:color w:val="auto"/>
          <w:sz w:val="32"/>
          <w:szCs w:val="32"/>
        </w:rPr>
      </w:pPr>
      <w:r>
        <w:rPr>
          <w:rFonts w:eastAsia="方正仿宋_GBK"/>
          <w:color w:val="auto"/>
          <w:sz w:val="32"/>
          <w:szCs w:val="32"/>
        </w:rPr>
        <w:t>2023年3月-202</w:t>
      </w:r>
      <w:r>
        <w:rPr>
          <w:rFonts w:hint="eastAsia" w:eastAsia="方正仿宋_GBK"/>
          <w:color w:val="auto"/>
          <w:sz w:val="32"/>
          <w:szCs w:val="32"/>
          <w:lang w:val="en-US" w:eastAsia="zh-CN"/>
        </w:rPr>
        <w:t>3</w:t>
      </w:r>
      <w:r>
        <w:rPr>
          <w:rFonts w:eastAsia="方正仿宋_GBK"/>
          <w:color w:val="auto"/>
          <w:sz w:val="32"/>
          <w:szCs w:val="32"/>
        </w:rPr>
        <w:t>年</w:t>
      </w:r>
      <w:r>
        <w:rPr>
          <w:rFonts w:hint="eastAsia" w:eastAsia="方正仿宋_GBK"/>
          <w:color w:val="auto"/>
          <w:sz w:val="32"/>
          <w:szCs w:val="32"/>
          <w:lang w:val="en-US" w:eastAsia="zh-CN"/>
        </w:rPr>
        <w:t>12</w:t>
      </w:r>
      <w:r>
        <w:rPr>
          <w:rFonts w:eastAsia="方正仿宋_GBK"/>
          <w:color w:val="auto"/>
          <w:sz w:val="32"/>
          <w:szCs w:val="32"/>
        </w:rPr>
        <w:t>月。</w:t>
      </w:r>
    </w:p>
    <w:p>
      <w:pPr>
        <w:spacing w:line="560" w:lineRule="exact"/>
        <w:ind w:firstLine="640" w:firstLineChars="200"/>
        <w:rPr>
          <w:rFonts w:eastAsia="方正仿宋_GBK"/>
          <w:color w:val="auto"/>
          <w:sz w:val="32"/>
          <w:szCs w:val="32"/>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p>
    <w:sdt>
      <w:sdtPr>
        <w:rPr>
          <w:color w:val="auto"/>
        </w:rPr>
        <w:id w:val="147481663"/>
        <w:docPartObj>
          <w:docPartGallery w:val="Table of Contents"/>
          <w:docPartUnique/>
        </w:docPartObj>
      </w:sdtPr>
      <w:sdtEndPr>
        <w:rPr>
          <w:color w:val="auto"/>
        </w:rPr>
      </w:sdtEndPr>
      <w:sdtContent>
        <w:p>
          <w:pPr>
            <w:spacing w:line="240" w:lineRule="atLeast"/>
            <w:jc w:val="center"/>
            <w:outlineLvl w:val="1"/>
            <w:rPr>
              <w:rFonts w:eastAsia="方正小标宋_GBK"/>
              <w:color w:val="auto"/>
              <w:sz w:val="36"/>
              <w:szCs w:val="44"/>
            </w:rPr>
          </w:pPr>
          <w:r>
            <w:rPr>
              <w:rFonts w:eastAsia="方正小标宋_GBK"/>
              <w:color w:val="auto"/>
              <w:sz w:val="36"/>
              <w:szCs w:val="44"/>
            </w:rPr>
            <w:t>目录</w:t>
          </w:r>
        </w:p>
        <w:p>
          <w:pPr>
            <w:pStyle w:val="7"/>
            <w:tabs>
              <w:tab w:val="right" w:leader="dot" w:pos="8306"/>
            </w:tabs>
            <w:rPr>
              <w:rFonts w:eastAsia="方正仿宋_GB2312"/>
              <w:color w:val="auto"/>
              <w:kern w:val="0"/>
              <w:szCs w:val="32"/>
            </w:rPr>
          </w:pPr>
          <w:r>
            <w:rPr>
              <w:rFonts w:eastAsia="方正黑体_GBK"/>
              <w:color w:val="auto"/>
              <w:szCs w:val="32"/>
            </w:rPr>
            <w:t>一、区域基本情况.............................................................................................................................1</w:t>
          </w:r>
          <w:r>
            <w:rPr>
              <w:rFonts w:eastAsia="方正仿宋_GB2312"/>
              <w:color w:val="auto"/>
              <w:kern w:val="0"/>
              <w:sz w:val="32"/>
              <w:szCs w:val="32"/>
            </w:rPr>
            <w:fldChar w:fldCharType="begin"/>
          </w:r>
          <w:r>
            <w:rPr>
              <w:rFonts w:eastAsia="方正仿宋_GB2312"/>
              <w:color w:val="auto"/>
              <w:kern w:val="0"/>
              <w:sz w:val="32"/>
              <w:szCs w:val="32"/>
            </w:rPr>
            <w:instrText xml:space="preserve">TOC \o "1-2" \h \u </w:instrText>
          </w:r>
          <w:r>
            <w:rPr>
              <w:rFonts w:eastAsia="方正仿宋_GB2312"/>
              <w:color w:val="auto"/>
              <w:kern w:val="0"/>
              <w:sz w:val="32"/>
              <w:szCs w:val="32"/>
            </w:rPr>
            <w:fldChar w:fldCharType="separate"/>
          </w:r>
        </w:p>
        <w:p>
          <w:pPr>
            <w:pStyle w:val="8"/>
            <w:tabs>
              <w:tab w:val="right" w:leader="dot" w:pos="8306"/>
            </w:tabs>
            <w:rPr>
              <w:color w:val="auto"/>
            </w:rPr>
          </w:pPr>
          <w:r>
            <w:rPr>
              <w:color w:val="auto"/>
            </w:rPr>
            <w:fldChar w:fldCharType="begin"/>
          </w:r>
          <w:r>
            <w:rPr>
              <w:color w:val="auto"/>
            </w:rPr>
            <w:instrText xml:space="preserve"> HYPERLINK \l "_Toc14936" </w:instrText>
          </w:r>
          <w:r>
            <w:rPr>
              <w:color w:val="auto"/>
            </w:rPr>
            <w:fldChar w:fldCharType="separate"/>
          </w:r>
          <w:r>
            <w:rPr>
              <w:rFonts w:eastAsia="方正楷体_GBK"/>
              <w:bCs/>
              <w:color w:val="auto"/>
              <w:szCs w:val="32"/>
            </w:rPr>
            <w:t>（一）基本概况</w:t>
          </w:r>
          <w:r>
            <w:rPr>
              <w:color w:val="auto"/>
            </w:rPr>
            <w:tab/>
          </w:r>
          <w:r>
            <w:rPr>
              <w:color w:val="auto"/>
            </w:rPr>
            <w:fldChar w:fldCharType="begin"/>
          </w:r>
          <w:r>
            <w:rPr>
              <w:color w:val="auto"/>
            </w:rPr>
            <w:instrText xml:space="preserve"> PAGEREF _Toc14936 \h </w:instrText>
          </w:r>
          <w:r>
            <w:rPr>
              <w:color w:val="auto"/>
            </w:rPr>
            <w:fldChar w:fldCharType="separate"/>
          </w:r>
          <w:r>
            <w:rPr>
              <w:color w:val="auto"/>
            </w:rPr>
            <w:t>1</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"_Toc23051" </w:instrText>
          </w:r>
          <w:r>
            <w:rPr>
              <w:color w:val="auto"/>
            </w:rPr>
            <w:fldChar w:fldCharType="separate"/>
          </w:r>
          <w:r>
            <w:rPr>
              <w:rFonts w:eastAsia="方正楷体_GBK"/>
              <w:bCs/>
              <w:color w:val="auto"/>
              <w:szCs w:val="32"/>
            </w:rPr>
            <w:t>（二）秸秆综合利用现状及分析</w:t>
          </w:r>
          <w:r>
            <w:rPr>
              <w:color w:val="auto"/>
            </w:rPr>
            <w:tab/>
          </w:r>
          <w:r>
            <w:rPr>
              <w:color w:val="auto"/>
            </w:rPr>
            <w:fldChar w:fldCharType="begin"/>
          </w:r>
          <w:r>
            <w:rPr>
              <w:color w:val="auto"/>
            </w:rPr>
            <w:instrText xml:space="preserve"> PAGEREF _Toc23051 \h </w:instrText>
          </w:r>
          <w:r>
            <w:rPr>
              <w:color w:val="auto"/>
            </w:rPr>
            <w:fldChar w:fldCharType="separate"/>
          </w:r>
          <w:r>
            <w:rPr>
              <w:color w:val="auto"/>
            </w:rPr>
            <w:t>2</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"_Toc9708" </w:instrText>
          </w:r>
          <w:r>
            <w:rPr>
              <w:color w:val="auto"/>
            </w:rPr>
            <w:fldChar w:fldCharType="separate"/>
          </w:r>
          <w:r>
            <w:rPr>
              <w:rFonts w:eastAsia="方正黑体_GBK"/>
              <w:color w:val="auto"/>
              <w:szCs w:val="32"/>
            </w:rPr>
            <w:t>二、项目建设思路和任务目标</w:t>
          </w:r>
          <w:r>
            <w:rPr>
              <w:color w:val="auto"/>
            </w:rPr>
            <w:tab/>
          </w:r>
          <w:r>
            <w:rPr>
              <w:color w:val="auto"/>
            </w:rPr>
            <w:fldChar w:fldCharType="begin"/>
          </w:r>
          <w:r>
            <w:rPr>
              <w:color w:val="auto"/>
            </w:rPr>
            <w:instrText xml:space="preserve"> PAGEREF _Toc9708 \h </w:instrText>
          </w:r>
          <w:r>
            <w:rPr>
              <w:color w:val="auto"/>
            </w:rPr>
            <w:fldChar w:fldCharType="separate"/>
          </w:r>
          <w:r>
            <w:rPr>
              <w:color w:val="auto"/>
            </w:rPr>
            <w:t>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"_Toc27279" </w:instrText>
          </w:r>
          <w:r>
            <w:rPr>
              <w:color w:val="auto"/>
            </w:rPr>
            <w:fldChar w:fldCharType="separate"/>
          </w:r>
          <w:r>
            <w:rPr>
              <w:rFonts w:eastAsia="方正楷体_GBK"/>
              <w:bCs/>
              <w:color w:val="auto"/>
              <w:szCs w:val="32"/>
            </w:rPr>
            <w:t>（一）指导思想</w:t>
          </w:r>
          <w:r>
            <w:rPr>
              <w:color w:val="auto"/>
            </w:rPr>
            <w:tab/>
          </w:r>
          <w:r>
            <w:rPr>
              <w:color w:val="auto"/>
            </w:rPr>
            <w:fldChar w:fldCharType="begin"/>
          </w:r>
          <w:r>
            <w:rPr>
              <w:color w:val="auto"/>
            </w:rPr>
            <w:instrText xml:space="preserve"> PAGEREF _Toc27279 \h </w:instrText>
          </w:r>
          <w:r>
            <w:rPr>
              <w:color w:val="auto"/>
            </w:rPr>
            <w:fldChar w:fldCharType="separate"/>
          </w:r>
          <w:r>
            <w:rPr>
              <w:color w:val="auto"/>
            </w:rPr>
            <w:t>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"_Toc26692" </w:instrText>
          </w:r>
          <w:r>
            <w:rPr>
              <w:color w:val="auto"/>
            </w:rPr>
            <w:fldChar w:fldCharType="separate"/>
          </w:r>
          <w:r>
            <w:rPr>
              <w:rFonts w:eastAsia="方正楷体_GBK"/>
              <w:bCs/>
              <w:color w:val="auto"/>
              <w:szCs w:val="32"/>
            </w:rPr>
            <w:t>（二）项目编制依据</w:t>
          </w:r>
          <w:r>
            <w:rPr>
              <w:color w:val="auto"/>
            </w:rPr>
            <w:tab/>
          </w:r>
          <w:r>
            <w:rPr>
              <w:color w:val="auto"/>
            </w:rPr>
            <w:fldChar w:fldCharType="begin"/>
          </w:r>
          <w:r>
            <w:rPr>
              <w:color w:val="auto"/>
            </w:rPr>
            <w:instrText xml:space="preserve"> PAGEREF _Toc26692 \h </w:instrText>
          </w:r>
          <w:r>
            <w:rPr>
              <w:color w:val="auto"/>
            </w:rPr>
            <w:fldChar w:fldCharType="separate"/>
          </w:r>
          <w:r>
            <w:rPr>
              <w:color w:val="auto"/>
            </w:rPr>
            <w:t>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"_Toc32509" </w:instrText>
          </w:r>
          <w:r>
            <w:rPr>
              <w:color w:val="auto"/>
            </w:rPr>
            <w:fldChar w:fldCharType="separate"/>
          </w:r>
          <w:r>
            <w:rPr>
              <w:rFonts w:eastAsia="方正楷体_GBK"/>
              <w:bCs/>
              <w:color w:val="auto"/>
              <w:szCs w:val="32"/>
            </w:rPr>
            <w:t>（三）基本原则</w:t>
          </w:r>
          <w:r>
            <w:rPr>
              <w:color w:val="auto"/>
            </w:rPr>
            <w:tab/>
          </w:r>
          <w:r>
            <w:rPr>
              <w:color w:val="auto"/>
            </w:rPr>
            <w:fldChar w:fldCharType="begin"/>
          </w:r>
          <w:r>
            <w:rPr>
              <w:color w:val="auto"/>
            </w:rPr>
            <w:instrText xml:space="preserve"> PAGEREF _Toc32509 \h </w:instrText>
          </w:r>
          <w:r>
            <w:rPr>
              <w:color w:val="auto"/>
            </w:rPr>
            <w:fldChar w:fldCharType="separate"/>
          </w:r>
          <w:r>
            <w:rPr>
              <w:color w:val="auto"/>
            </w:rPr>
            <w:t>5</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"_Toc29493" </w:instrText>
          </w:r>
          <w:r>
            <w:rPr>
              <w:color w:val="auto"/>
            </w:rPr>
            <w:fldChar w:fldCharType="separate"/>
          </w:r>
          <w:r>
            <w:rPr>
              <w:rFonts w:eastAsia="方正楷体_GBK"/>
              <w:bCs/>
              <w:color w:val="auto"/>
              <w:szCs w:val="32"/>
            </w:rPr>
            <w:t>（四）任务目标</w:t>
          </w:r>
          <w:r>
            <w:rPr>
              <w:color w:val="auto"/>
            </w:rPr>
            <w:tab/>
          </w:r>
          <w:r>
            <w:rPr>
              <w:color w:val="auto"/>
            </w:rPr>
            <w:fldChar w:fldCharType="begin"/>
          </w:r>
          <w:r>
            <w:rPr>
              <w:color w:val="auto"/>
            </w:rPr>
            <w:instrText xml:space="preserve"> PAGEREF _Toc29493 \h </w:instrText>
          </w:r>
          <w:r>
            <w:rPr>
              <w:color w:val="auto"/>
            </w:rPr>
            <w:fldChar w:fldCharType="separate"/>
          </w:r>
          <w:r>
            <w:rPr>
              <w:color w:val="auto"/>
            </w:rPr>
            <w:t>6</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"_Toc30096" </w:instrText>
          </w:r>
          <w:r>
            <w:rPr>
              <w:color w:val="auto"/>
            </w:rPr>
            <w:fldChar w:fldCharType="separate"/>
          </w:r>
          <w:r>
            <w:rPr>
              <w:rFonts w:eastAsia="方正黑体_GBK"/>
              <w:color w:val="auto"/>
              <w:szCs w:val="32"/>
            </w:rPr>
            <w:t>三、 项目建设单位概况</w:t>
          </w:r>
          <w:r>
            <w:rPr>
              <w:color w:val="auto"/>
            </w:rPr>
            <w:tab/>
          </w:r>
          <w:r>
            <w:rPr>
              <w:color w:val="auto"/>
            </w:rPr>
            <w:fldChar w:fldCharType="begin"/>
          </w:r>
          <w:r>
            <w:rPr>
              <w:color w:val="auto"/>
            </w:rPr>
            <w:instrText xml:space="preserve"> PAGEREF _Toc30096 \h </w:instrText>
          </w:r>
          <w:r>
            <w:rPr>
              <w:color w:val="auto"/>
            </w:rPr>
            <w:fldChar w:fldCharType="separate"/>
          </w:r>
          <w:r>
            <w:rPr>
              <w:color w:val="auto"/>
            </w:rPr>
            <w:t>6</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"_Toc30952" </w:instrText>
          </w:r>
          <w:r>
            <w:rPr>
              <w:color w:val="auto"/>
            </w:rPr>
            <w:fldChar w:fldCharType="separate"/>
          </w:r>
          <w:r>
            <w:rPr>
              <w:rFonts w:eastAsia="方正楷体_GBK"/>
              <w:bCs/>
              <w:color w:val="auto"/>
              <w:szCs w:val="32"/>
            </w:rPr>
            <w:t>（一）项目管理单位基本情况</w:t>
          </w:r>
          <w:r>
            <w:rPr>
              <w:color w:val="auto"/>
            </w:rPr>
            <w:tab/>
          </w:r>
          <w:r>
            <w:rPr>
              <w:color w:val="auto"/>
            </w:rPr>
            <w:fldChar w:fldCharType="begin"/>
          </w:r>
          <w:r>
            <w:rPr>
              <w:color w:val="auto"/>
            </w:rPr>
            <w:instrText xml:space="preserve"> PAGEREF _Toc30952 \h </w:instrText>
          </w:r>
          <w:r>
            <w:rPr>
              <w:color w:val="auto"/>
            </w:rPr>
            <w:fldChar w:fldCharType="separate"/>
          </w:r>
          <w:r>
            <w:rPr>
              <w:color w:val="auto"/>
            </w:rPr>
            <w:t>6</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"_Toc6491" </w:instrText>
          </w:r>
          <w:r>
            <w:rPr>
              <w:color w:val="auto"/>
            </w:rPr>
            <w:fldChar w:fldCharType="separate"/>
          </w:r>
          <w:r>
            <w:rPr>
              <w:rFonts w:eastAsia="方正楷体_GBK"/>
              <w:bCs/>
              <w:color w:val="auto"/>
              <w:szCs w:val="32"/>
            </w:rPr>
            <w:t>（二）项目技术指导单位基本情况</w:t>
          </w:r>
          <w:r>
            <w:rPr>
              <w:color w:val="auto"/>
            </w:rPr>
            <w:tab/>
          </w:r>
          <w:r>
            <w:rPr>
              <w:color w:val="auto"/>
            </w:rPr>
            <w:fldChar w:fldCharType="begin"/>
          </w:r>
          <w:r>
            <w:rPr>
              <w:color w:val="auto"/>
            </w:rPr>
            <w:instrText xml:space="preserve"> PAGEREF _Toc6491 \h </w:instrText>
          </w:r>
          <w:r>
            <w:rPr>
              <w:color w:val="auto"/>
            </w:rPr>
            <w:fldChar w:fldCharType="separate"/>
          </w:r>
          <w:r>
            <w:rPr>
              <w:color w:val="auto"/>
            </w:rPr>
            <w:t>8</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"_Toc7036" </w:instrText>
          </w:r>
          <w:r>
            <w:rPr>
              <w:color w:val="auto"/>
            </w:rPr>
            <w:fldChar w:fldCharType="separate"/>
          </w:r>
          <w:r>
            <w:rPr>
              <w:rFonts w:eastAsia="方正黑体_GBK"/>
              <w:color w:val="auto"/>
              <w:szCs w:val="32"/>
            </w:rPr>
            <w:t>四、 项目建设内容</w:t>
          </w:r>
          <w:r>
            <w:rPr>
              <w:color w:val="auto"/>
            </w:rPr>
            <w:tab/>
          </w:r>
          <w:r>
            <w:rPr>
              <w:color w:val="auto"/>
            </w:rPr>
            <w:fldChar w:fldCharType="begin"/>
          </w:r>
          <w:r>
            <w:rPr>
              <w:color w:val="auto"/>
            </w:rPr>
            <w:instrText xml:space="preserve"> PAGEREF _Toc7036 \h </w:instrText>
          </w:r>
          <w:r>
            <w:rPr>
              <w:color w:val="auto"/>
            </w:rPr>
            <w:fldChar w:fldCharType="separate"/>
          </w:r>
          <w:r>
            <w:rPr>
              <w:color w:val="auto"/>
            </w:rPr>
            <w:t>9</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"_Toc470" </w:instrText>
          </w:r>
          <w:r>
            <w:rPr>
              <w:color w:val="auto"/>
            </w:rPr>
            <w:fldChar w:fldCharType="separate"/>
          </w:r>
          <w:r>
            <w:rPr>
              <w:rFonts w:eastAsia="方正楷体_GBK"/>
              <w:bCs/>
              <w:color w:val="auto"/>
              <w:szCs w:val="32"/>
            </w:rPr>
            <w:t>（一）</w:t>
          </w:r>
          <w:r>
            <w:rPr>
              <w:rFonts w:hint="eastAsia" w:eastAsia="方正楷体_GBK"/>
              <w:bCs/>
              <w:color w:val="auto"/>
              <w:szCs w:val="32"/>
            </w:rPr>
            <w:t>“</w:t>
          </w:r>
          <w:r>
            <w:rPr>
              <w:rFonts w:eastAsia="方正楷体_GBK"/>
              <w:bCs/>
              <w:color w:val="auto"/>
              <w:szCs w:val="32"/>
            </w:rPr>
            <w:t>1+1+X</w:t>
          </w:r>
          <w:r>
            <w:rPr>
              <w:rFonts w:hint="eastAsia" w:eastAsia="方正楷体_GBK"/>
              <w:bCs/>
              <w:color w:val="auto"/>
              <w:szCs w:val="32"/>
            </w:rPr>
            <w:t>”</w:t>
          </w:r>
          <w:r>
            <w:rPr>
              <w:rFonts w:eastAsia="方正楷体_GBK"/>
              <w:bCs/>
              <w:color w:val="auto"/>
              <w:szCs w:val="32"/>
            </w:rPr>
            <w:t>收储运模式建设</w:t>
          </w:r>
          <w:r>
            <w:rPr>
              <w:color w:val="auto"/>
            </w:rPr>
            <w:tab/>
          </w:r>
          <w:r>
            <w:rPr>
              <w:color w:val="auto"/>
            </w:rPr>
            <w:fldChar w:fldCharType="begin"/>
          </w:r>
          <w:r>
            <w:rPr>
              <w:color w:val="auto"/>
            </w:rPr>
            <w:instrText xml:space="preserve"> PAGEREF _Toc470 \h </w:instrText>
          </w:r>
          <w:r>
            <w:rPr>
              <w:color w:val="auto"/>
            </w:rPr>
            <w:fldChar w:fldCharType="separate"/>
          </w:r>
          <w:r>
            <w:rPr>
              <w:color w:val="auto"/>
            </w:rPr>
            <w:t>9</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"_Toc774" </w:instrText>
          </w:r>
          <w:r>
            <w:rPr>
              <w:color w:val="auto"/>
            </w:rPr>
            <w:fldChar w:fldCharType="separate"/>
          </w:r>
          <w:r>
            <w:rPr>
              <w:rFonts w:eastAsia="方正楷体_GBK"/>
              <w:bCs/>
              <w:color w:val="auto"/>
              <w:szCs w:val="32"/>
            </w:rPr>
            <w:t>（二）燃料化利用</w:t>
          </w:r>
          <w:r>
            <w:rPr>
              <w:color w:val="auto"/>
            </w:rPr>
            <w:tab/>
          </w:r>
          <w:r>
            <w:rPr>
              <w:color w:val="auto"/>
            </w:rPr>
            <w:fldChar w:fldCharType="begin"/>
          </w:r>
          <w:r>
            <w:rPr>
              <w:color w:val="auto"/>
            </w:rPr>
            <w:instrText xml:space="preserve"> PAGEREF _Toc774 \h </w:instrText>
          </w:r>
          <w:r>
            <w:rPr>
              <w:color w:val="auto"/>
            </w:rPr>
            <w:fldChar w:fldCharType="separate"/>
          </w:r>
          <w:r>
            <w:rPr>
              <w:color w:val="auto"/>
            </w:rPr>
            <w:t>11</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"_Toc13166" </w:instrText>
          </w:r>
          <w:r>
            <w:rPr>
              <w:color w:val="auto"/>
            </w:rPr>
            <w:fldChar w:fldCharType="separate"/>
          </w:r>
          <w:r>
            <w:rPr>
              <w:rFonts w:eastAsia="方正楷体_GBK"/>
              <w:bCs/>
              <w:color w:val="auto"/>
              <w:szCs w:val="32"/>
            </w:rPr>
            <w:t>（三）肥料化利用</w:t>
          </w:r>
          <w:r>
            <w:rPr>
              <w:color w:val="auto"/>
            </w:rPr>
            <w:tab/>
          </w:r>
          <w:r>
            <w:rPr>
              <w:color w:val="auto"/>
            </w:rPr>
            <w:fldChar w:fldCharType="begin"/>
          </w:r>
          <w:r>
            <w:rPr>
              <w:color w:val="auto"/>
            </w:rPr>
            <w:instrText xml:space="preserve"> PAGEREF _Toc13166 \h </w:instrText>
          </w:r>
          <w:r>
            <w:rPr>
              <w:color w:val="auto"/>
            </w:rPr>
            <w:fldChar w:fldCharType="separate"/>
          </w:r>
          <w:r>
            <w:rPr>
              <w:color w:val="auto"/>
            </w:rPr>
            <w:t>13</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"_Toc21558" </w:instrText>
          </w:r>
          <w:r>
            <w:rPr>
              <w:color w:val="auto"/>
            </w:rPr>
            <w:fldChar w:fldCharType="separate"/>
          </w:r>
          <w:r>
            <w:rPr>
              <w:rFonts w:eastAsia="方正楷体_GBK"/>
              <w:bCs/>
              <w:color w:val="auto"/>
              <w:szCs w:val="32"/>
            </w:rPr>
            <w:t>（四）饲料化利用</w:t>
          </w:r>
          <w:r>
            <w:rPr>
              <w:color w:val="auto"/>
            </w:rPr>
            <w:tab/>
          </w:r>
          <w:r>
            <w:rPr>
              <w:color w:val="auto"/>
            </w:rPr>
            <w:fldChar w:fldCharType="begin"/>
          </w:r>
          <w:r>
            <w:rPr>
              <w:color w:val="auto"/>
            </w:rPr>
            <w:instrText xml:space="preserve"> PAGEREF _Toc21558 \h </w:instrText>
          </w:r>
          <w:r>
            <w:rPr>
              <w:color w:val="auto"/>
            </w:rPr>
            <w:fldChar w:fldCharType="separate"/>
          </w:r>
          <w:r>
            <w:rPr>
              <w:color w:val="auto"/>
            </w:rPr>
            <w:t>14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"_Toc12816" </w:instrText>
          </w:r>
          <w:r>
            <w:rPr>
              <w:color w:val="auto"/>
            </w:rPr>
            <w:fldChar w:fldCharType="separate"/>
          </w:r>
          <w:r>
            <w:rPr>
              <w:rFonts w:eastAsia="方正楷体_GBK"/>
              <w:bCs/>
              <w:color w:val="auto"/>
              <w:szCs w:val="32"/>
            </w:rPr>
            <w:t>（五）原料化利用</w:t>
          </w:r>
          <w:r>
            <w:rPr>
              <w:color w:val="auto"/>
            </w:rPr>
            <w:tab/>
          </w:r>
          <w:r>
            <w:rPr>
              <w:color w:val="auto"/>
            </w:rPr>
            <w:fldChar w:fldCharType="begin"/>
          </w:r>
          <w:r>
            <w:rPr>
              <w:color w:val="auto"/>
            </w:rPr>
            <w:instrText xml:space="preserve"> PAGEREF _Toc12816 \h </w:instrText>
          </w:r>
          <w:r>
            <w:rPr>
              <w:color w:val="auto"/>
            </w:rPr>
            <w:fldChar w:fldCharType="separate"/>
          </w:r>
          <w:r>
            <w:rPr>
              <w:color w:val="auto"/>
            </w:rPr>
            <w:t>15</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"_Toc5474" </w:instrText>
          </w:r>
          <w:r>
            <w:rPr>
              <w:color w:val="auto"/>
            </w:rPr>
            <w:fldChar w:fldCharType="separate"/>
          </w:r>
          <w:r>
            <w:rPr>
              <w:rFonts w:eastAsia="方正楷体_GBK"/>
              <w:bCs/>
              <w:color w:val="auto"/>
              <w:szCs w:val="32"/>
            </w:rPr>
            <w:t>（六）还田监测及相关数据测算</w:t>
          </w:r>
          <w:r>
            <w:rPr>
              <w:color w:val="auto"/>
            </w:rPr>
            <w:tab/>
          </w:r>
          <w:r>
            <w:rPr>
              <w:color w:val="auto"/>
            </w:rPr>
            <w:fldChar w:fldCharType="begin"/>
          </w:r>
          <w:r>
            <w:rPr>
              <w:color w:val="auto"/>
            </w:rPr>
            <w:instrText xml:space="preserve"> PAGEREF _Toc5474 \h </w:instrText>
          </w:r>
          <w:r>
            <w:rPr>
              <w:color w:val="auto"/>
            </w:rPr>
            <w:fldChar w:fldCharType="separate"/>
          </w:r>
          <w:r>
            <w:rPr>
              <w:color w:val="auto"/>
            </w:rPr>
            <w:t>16</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"_Toc31873" </w:instrText>
          </w:r>
          <w:r>
            <w:rPr>
              <w:color w:val="auto"/>
            </w:rPr>
            <w:fldChar w:fldCharType="separate"/>
          </w:r>
          <w:r>
            <w:rPr>
              <w:rFonts w:eastAsia="方正楷体_GBK"/>
              <w:bCs/>
              <w:color w:val="auto"/>
              <w:szCs w:val="32"/>
            </w:rPr>
            <w:t>（七）技术及宣传服务</w:t>
          </w:r>
          <w:r>
            <w:rPr>
              <w:color w:val="auto"/>
            </w:rPr>
            <w:tab/>
          </w:r>
          <w:r>
            <w:rPr>
              <w:color w:val="auto"/>
            </w:rPr>
            <w:fldChar w:fldCharType="begin"/>
          </w:r>
          <w:r>
            <w:rPr>
              <w:color w:val="auto"/>
            </w:rPr>
            <w:instrText xml:space="preserve"> PAGEREF _Toc31873 \h </w:instrText>
          </w:r>
          <w:r>
            <w:rPr>
              <w:color w:val="auto"/>
            </w:rPr>
            <w:fldChar w:fldCharType="separate"/>
          </w:r>
          <w:r>
            <w:rPr>
              <w:color w:val="auto"/>
            </w:rPr>
            <w:t>19</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"_Toc15570" </w:instrText>
          </w:r>
          <w:r>
            <w:rPr>
              <w:color w:val="auto"/>
            </w:rPr>
            <w:fldChar w:fldCharType="separate"/>
          </w:r>
          <w:r>
            <w:rPr>
              <w:rFonts w:eastAsia="方正楷体_GBK"/>
              <w:bCs/>
              <w:color w:val="auto"/>
              <w:szCs w:val="32"/>
            </w:rPr>
            <w:t>（八）农作物秸秆综合利用验收</w:t>
          </w:r>
          <w:r>
            <w:rPr>
              <w:color w:val="auto"/>
            </w:rPr>
            <w:tab/>
          </w:r>
          <w:r>
            <w:rPr>
              <w:color w:val="auto"/>
            </w:rPr>
            <w:fldChar w:fldCharType="begin"/>
          </w:r>
          <w:r>
            <w:rPr>
              <w:color w:val="auto"/>
            </w:rPr>
            <w:instrText xml:space="preserve"> PAGEREF _Toc15570 \h </w:instrText>
          </w:r>
          <w:r>
            <w:rPr>
              <w:color w:val="auto"/>
            </w:rPr>
            <w:fldChar w:fldCharType="separate"/>
          </w:r>
          <w:r>
            <w:rPr>
              <w:color w:val="auto"/>
            </w:rPr>
            <w:t>20</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"_Toc24578" </w:instrText>
          </w:r>
          <w:r>
            <w:rPr>
              <w:color w:val="auto"/>
            </w:rPr>
            <w:fldChar w:fldCharType="separate"/>
          </w:r>
          <w:r>
            <w:rPr>
              <w:rFonts w:eastAsia="方正黑体_GBK"/>
              <w:color w:val="auto"/>
              <w:szCs w:val="32"/>
            </w:rPr>
            <w:t>五、 项目资金投入概算</w:t>
          </w:r>
          <w:r>
            <w:rPr>
              <w:color w:val="auto"/>
            </w:rPr>
            <w:tab/>
          </w:r>
          <w:r>
            <w:rPr>
              <w:color w:val="auto"/>
            </w:rPr>
            <w:fldChar w:fldCharType="begin"/>
          </w:r>
          <w:r>
            <w:rPr>
              <w:color w:val="auto"/>
            </w:rPr>
            <w:instrText xml:space="preserve"> PAGEREF _Toc24578 \h </w:instrText>
          </w:r>
          <w:r>
            <w:rPr>
              <w:color w:val="auto"/>
            </w:rPr>
            <w:fldChar w:fldCharType="separate"/>
          </w:r>
          <w:r>
            <w:rPr>
              <w:color w:val="auto"/>
            </w:rPr>
            <w:t>20</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"_Toc14974" </w:instrText>
          </w:r>
          <w:r>
            <w:rPr>
              <w:color w:val="auto"/>
            </w:rPr>
            <w:fldChar w:fldCharType="separate"/>
          </w:r>
          <w:r>
            <w:rPr>
              <w:rFonts w:eastAsia="方正楷体_GBK"/>
              <w:bCs/>
              <w:color w:val="auto"/>
              <w:szCs w:val="32"/>
            </w:rPr>
            <w:t>（一）收储运体系建立概算</w:t>
          </w:r>
          <w:r>
            <w:rPr>
              <w:color w:val="auto"/>
            </w:rPr>
            <w:tab/>
          </w:r>
          <w:r>
            <w:rPr>
              <w:color w:val="auto"/>
            </w:rPr>
            <w:fldChar w:fldCharType="begin"/>
          </w:r>
          <w:r>
            <w:rPr>
              <w:color w:val="auto"/>
            </w:rPr>
            <w:instrText xml:space="preserve"> PAGEREF _Toc14974 \h </w:instrText>
          </w:r>
          <w:r>
            <w:rPr>
              <w:color w:val="auto"/>
            </w:rPr>
            <w:fldChar w:fldCharType="separate"/>
          </w:r>
          <w:r>
            <w:rPr>
              <w:color w:val="auto"/>
            </w:rPr>
            <w:t>21</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"_Toc19861" </w:instrText>
          </w:r>
          <w:r>
            <w:rPr>
              <w:color w:val="auto"/>
            </w:rPr>
            <w:fldChar w:fldCharType="separate"/>
          </w:r>
          <w:r>
            <w:rPr>
              <w:rFonts w:eastAsia="方正楷体_GBK"/>
              <w:bCs/>
              <w:color w:val="auto"/>
              <w:szCs w:val="32"/>
            </w:rPr>
            <w:t>（二）燃料化利用补助</w:t>
          </w:r>
          <w:r>
            <w:rPr>
              <w:color w:val="auto"/>
            </w:rPr>
            <w:tab/>
          </w:r>
          <w:r>
            <w:rPr>
              <w:color w:val="auto"/>
            </w:rPr>
            <w:fldChar w:fldCharType="begin"/>
          </w:r>
          <w:r>
            <w:rPr>
              <w:color w:val="auto"/>
            </w:rPr>
            <w:instrText xml:space="preserve"> PAGEREF _Toc19861 \h </w:instrText>
          </w:r>
          <w:r>
            <w:rPr>
              <w:color w:val="auto"/>
            </w:rPr>
            <w:fldChar w:fldCharType="separate"/>
          </w:r>
          <w:r>
            <w:rPr>
              <w:color w:val="auto"/>
            </w:rPr>
            <w:t>22</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"_Toc8347" </w:instrText>
          </w:r>
          <w:r>
            <w:rPr>
              <w:color w:val="auto"/>
            </w:rPr>
            <w:fldChar w:fldCharType="separate"/>
          </w:r>
          <w:r>
            <w:rPr>
              <w:rFonts w:eastAsia="方正楷体_GBK"/>
              <w:bCs/>
              <w:color w:val="auto"/>
              <w:szCs w:val="32"/>
            </w:rPr>
            <w:t>（三）肥料化、基料化利用补助</w:t>
          </w:r>
          <w:r>
            <w:rPr>
              <w:color w:val="auto"/>
            </w:rPr>
            <w:tab/>
          </w:r>
          <w:r>
            <w:rPr>
              <w:color w:val="auto"/>
            </w:rPr>
            <w:fldChar w:fldCharType="begin"/>
          </w:r>
          <w:r>
            <w:rPr>
              <w:color w:val="auto"/>
            </w:rPr>
            <w:instrText xml:space="preserve"> PAGEREF _Toc8347 \h </w:instrText>
          </w:r>
          <w:r>
            <w:rPr>
              <w:color w:val="auto"/>
            </w:rPr>
            <w:fldChar w:fldCharType="separate"/>
          </w:r>
          <w:r>
            <w:rPr>
              <w:color w:val="auto"/>
            </w:rPr>
            <w:t>23</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"_Toc26327" </w:instrText>
          </w:r>
          <w:r>
            <w:rPr>
              <w:color w:val="auto"/>
            </w:rPr>
            <w:fldChar w:fldCharType="separate"/>
          </w:r>
          <w:r>
            <w:rPr>
              <w:rFonts w:eastAsia="方正楷体_GBK"/>
              <w:bCs/>
              <w:color w:val="auto"/>
              <w:szCs w:val="32"/>
            </w:rPr>
            <w:t>（四）饲料化利用补助</w:t>
          </w:r>
          <w:r>
            <w:rPr>
              <w:color w:val="auto"/>
            </w:rPr>
            <w:tab/>
          </w:r>
          <w:r>
            <w:rPr>
              <w:color w:val="auto"/>
            </w:rPr>
            <w:fldChar w:fldCharType="begin"/>
          </w:r>
          <w:r>
            <w:rPr>
              <w:color w:val="auto"/>
            </w:rPr>
            <w:instrText xml:space="preserve"> PAGEREF _Toc26327 \h </w:instrText>
          </w:r>
          <w:r>
            <w:rPr>
              <w:color w:val="auto"/>
            </w:rPr>
            <w:fldChar w:fldCharType="separate"/>
          </w:r>
          <w:r>
            <w:rPr>
              <w:color w:val="auto"/>
            </w:rPr>
            <w:t>25</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"_Toc27048" </w:instrText>
          </w:r>
          <w:r>
            <w:rPr>
              <w:color w:val="auto"/>
            </w:rPr>
            <w:fldChar w:fldCharType="separate"/>
          </w:r>
          <w:r>
            <w:rPr>
              <w:rFonts w:eastAsia="方正楷体_GBK"/>
              <w:bCs/>
              <w:color w:val="auto"/>
              <w:szCs w:val="32"/>
            </w:rPr>
            <w:t>（五）原料化利用补助</w:t>
          </w:r>
          <w:r>
            <w:rPr>
              <w:color w:val="auto"/>
            </w:rPr>
            <w:tab/>
          </w:r>
          <w:r>
            <w:rPr>
              <w:color w:val="auto"/>
            </w:rPr>
            <w:fldChar w:fldCharType="begin"/>
          </w:r>
          <w:r>
            <w:rPr>
              <w:color w:val="auto"/>
            </w:rPr>
            <w:instrText xml:space="preserve"> PAGEREF _Toc27048 \h </w:instrText>
          </w:r>
          <w:r>
            <w:rPr>
              <w:color w:val="auto"/>
            </w:rPr>
            <w:fldChar w:fldCharType="separate"/>
          </w:r>
          <w:r>
            <w:rPr>
              <w:color w:val="auto"/>
            </w:rPr>
            <w:t>26</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"_Toc26198" </w:instrText>
          </w:r>
          <w:r>
            <w:rPr>
              <w:color w:val="auto"/>
            </w:rPr>
            <w:fldChar w:fldCharType="separate"/>
          </w:r>
          <w:r>
            <w:rPr>
              <w:rFonts w:eastAsia="方正楷体_GBK"/>
              <w:bCs/>
              <w:color w:val="auto"/>
              <w:szCs w:val="32"/>
            </w:rPr>
            <w:t>（六）还田监测及数据测算</w:t>
          </w:r>
          <w:r>
            <w:rPr>
              <w:color w:val="auto"/>
            </w:rPr>
            <w:tab/>
          </w:r>
          <w:r>
            <w:rPr>
              <w:color w:val="auto"/>
            </w:rPr>
            <w:fldChar w:fldCharType="begin"/>
          </w:r>
          <w:r>
            <w:rPr>
              <w:color w:val="auto"/>
            </w:rPr>
            <w:instrText xml:space="preserve"> PAGEREF _Toc26198 \h </w:instrText>
          </w:r>
          <w:r>
            <w:rPr>
              <w:color w:val="auto"/>
            </w:rPr>
            <w:fldChar w:fldCharType="separate"/>
          </w:r>
          <w:r>
            <w:rPr>
              <w:color w:val="auto"/>
            </w:rPr>
            <w:t>27</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"_Toc4063" </w:instrText>
          </w:r>
          <w:r>
            <w:rPr>
              <w:color w:val="auto"/>
            </w:rPr>
            <w:fldChar w:fldCharType="separate"/>
          </w:r>
          <w:r>
            <w:rPr>
              <w:rFonts w:eastAsia="方正楷体_GBK"/>
              <w:bCs/>
              <w:color w:val="auto"/>
              <w:szCs w:val="32"/>
            </w:rPr>
            <w:t>（七）技术培训及宣传服务</w:t>
          </w:r>
          <w:r>
            <w:rPr>
              <w:color w:val="auto"/>
            </w:rPr>
            <w:tab/>
          </w:r>
          <w:r>
            <w:rPr>
              <w:color w:val="auto"/>
            </w:rPr>
            <w:fldChar w:fldCharType="begin"/>
          </w:r>
          <w:r>
            <w:rPr>
              <w:color w:val="auto"/>
            </w:rPr>
            <w:instrText xml:space="preserve"> PAGEREF _Toc4063 \h </w:instrText>
          </w:r>
          <w:r>
            <w:rPr>
              <w:color w:val="auto"/>
            </w:rPr>
            <w:fldChar w:fldCharType="separate"/>
          </w:r>
          <w:r>
            <w:rPr>
              <w:color w:val="auto"/>
            </w:rPr>
            <w:t>27</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"_Toc26553" </w:instrText>
          </w:r>
          <w:r>
            <w:rPr>
              <w:color w:val="auto"/>
            </w:rPr>
            <w:fldChar w:fldCharType="separate"/>
          </w:r>
          <w:r>
            <w:rPr>
              <w:rFonts w:eastAsia="方正黑体_GBK"/>
              <w:color w:val="auto"/>
              <w:szCs w:val="32"/>
            </w:rPr>
            <w:t>六、 实施进度及资金预算</w:t>
          </w:r>
          <w:r>
            <w:rPr>
              <w:color w:val="auto"/>
            </w:rPr>
            <w:tab/>
          </w:r>
          <w:r>
            <w:rPr>
              <w:color w:val="auto"/>
            </w:rPr>
            <w:fldChar w:fldCharType="begin"/>
          </w:r>
          <w:r>
            <w:rPr>
              <w:color w:val="auto"/>
            </w:rPr>
            <w:instrText xml:space="preserve"> PAGEREF _Toc26553 \h </w:instrText>
          </w:r>
          <w:r>
            <w:rPr>
              <w:color w:val="auto"/>
            </w:rPr>
            <w:fldChar w:fldCharType="separate"/>
          </w:r>
          <w:r>
            <w:rPr>
              <w:color w:val="auto"/>
            </w:rPr>
            <w:t>28</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"_Toc2358" </w:instrText>
          </w:r>
          <w:r>
            <w:rPr>
              <w:color w:val="auto"/>
            </w:rPr>
            <w:fldChar w:fldCharType="separate"/>
          </w:r>
          <w:r>
            <w:rPr>
              <w:rFonts w:eastAsia="方正楷体_GBK"/>
              <w:bCs/>
              <w:color w:val="auto"/>
              <w:szCs w:val="32"/>
            </w:rPr>
            <w:t>（一）项目实施进度安排</w:t>
          </w:r>
          <w:r>
            <w:rPr>
              <w:color w:val="auto"/>
            </w:rPr>
            <w:tab/>
          </w:r>
          <w:r>
            <w:rPr>
              <w:color w:val="auto"/>
            </w:rPr>
            <w:fldChar w:fldCharType="begin"/>
          </w:r>
          <w:r>
            <w:rPr>
              <w:color w:val="auto"/>
            </w:rPr>
            <w:instrText xml:space="preserve"> PAGEREF _Toc2358 \h </w:instrText>
          </w:r>
          <w:r>
            <w:rPr>
              <w:color w:val="auto"/>
            </w:rPr>
            <w:fldChar w:fldCharType="separate"/>
          </w:r>
          <w:r>
            <w:rPr>
              <w:color w:val="auto"/>
            </w:rPr>
            <w:t>28</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"_Toc30285" </w:instrText>
          </w:r>
          <w:r>
            <w:rPr>
              <w:color w:val="auto"/>
            </w:rPr>
            <w:fldChar w:fldCharType="separate"/>
          </w:r>
          <w:r>
            <w:rPr>
              <w:rFonts w:eastAsia="方正楷体_GBK"/>
              <w:bCs/>
              <w:color w:val="auto"/>
              <w:szCs w:val="32"/>
            </w:rPr>
            <w:t>（二）资金预算</w:t>
          </w:r>
          <w:r>
            <w:rPr>
              <w:color w:val="auto"/>
            </w:rPr>
            <w:tab/>
          </w:r>
          <w:r>
            <w:rPr>
              <w:color w:val="auto"/>
            </w:rPr>
            <w:fldChar w:fldCharType="begin"/>
          </w:r>
          <w:r>
            <w:rPr>
              <w:color w:val="auto"/>
            </w:rPr>
            <w:instrText xml:space="preserve"> PAGEREF _Toc30285 \h </w:instrText>
          </w:r>
          <w:r>
            <w:rPr>
              <w:color w:val="auto"/>
            </w:rPr>
            <w:fldChar w:fldCharType="separate"/>
          </w:r>
          <w:r>
            <w:rPr>
              <w:color w:val="auto"/>
            </w:rPr>
            <w:t>28</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"_Toc15520" </w:instrText>
          </w:r>
          <w:r>
            <w:rPr>
              <w:color w:val="auto"/>
            </w:rPr>
            <w:fldChar w:fldCharType="separate"/>
          </w:r>
          <w:r>
            <w:rPr>
              <w:rFonts w:eastAsia="方正黑体_GBK"/>
              <w:color w:val="auto"/>
              <w:szCs w:val="32"/>
            </w:rPr>
            <w:t>七、 保障措施</w:t>
          </w:r>
          <w:r>
            <w:rPr>
              <w:color w:val="auto"/>
            </w:rPr>
            <w:tab/>
          </w:r>
          <w:r>
            <w:rPr>
              <w:color w:val="auto"/>
            </w:rPr>
            <w:fldChar w:fldCharType="begin"/>
          </w:r>
          <w:r>
            <w:rPr>
              <w:color w:val="auto"/>
            </w:rPr>
            <w:instrText xml:space="preserve"> PAGEREF _Toc15520 \h </w:instrText>
          </w:r>
          <w:r>
            <w:rPr>
              <w:color w:val="auto"/>
            </w:rPr>
            <w:fldChar w:fldCharType="separate"/>
          </w:r>
          <w:r>
            <w:rPr>
              <w:color w:val="auto"/>
            </w:rPr>
            <w:t>29</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"_Toc26129" </w:instrText>
          </w:r>
          <w:r>
            <w:rPr>
              <w:color w:val="auto"/>
            </w:rPr>
            <w:fldChar w:fldCharType="separate"/>
          </w:r>
          <w:r>
            <w:rPr>
              <w:rFonts w:eastAsia="方正楷体_GBK"/>
              <w:bCs/>
              <w:color w:val="auto"/>
              <w:szCs w:val="32"/>
            </w:rPr>
            <w:t>（一）加强领导，落实责任</w:t>
          </w:r>
          <w:r>
            <w:rPr>
              <w:color w:val="auto"/>
            </w:rPr>
            <w:tab/>
          </w:r>
          <w:r>
            <w:rPr>
              <w:color w:val="auto"/>
            </w:rPr>
            <w:fldChar w:fldCharType="begin"/>
          </w:r>
          <w:r>
            <w:rPr>
              <w:color w:val="auto"/>
            </w:rPr>
            <w:instrText xml:space="preserve"> PAGEREF _Toc26129 \h </w:instrText>
          </w:r>
          <w:r>
            <w:rPr>
              <w:color w:val="auto"/>
            </w:rPr>
            <w:fldChar w:fldCharType="separate"/>
          </w:r>
          <w:r>
            <w:rPr>
              <w:color w:val="auto"/>
            </w:rPr>
            <w:t>29</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"_Toc18006" </w:instrText>
          </w:r>
          <w:r>
            <w:rPr>
              <w:color w:val="auto"/>
            </w:rPr>
            <w:fldChar w:fldCharType="separate"/>
          </w:r>
          <w:r>
            <w:rPr>
              <w:rFonts w:eastAsia="方正楷体_GBK"/>
              <w:bCs/>
              <w:color w:val="auto"/>
              <w:szCs w:val="32"/>
            </w:rPr>
            <w:t>（二）制定方案，完善台账</w:t>
          </w:r>
          <w:r>
            <w:rPr>
              <w:color w:val="auto"/>
            </w:rPr>
            <w:tab/>
          </w:r>
          <w:r>
            <w:rPr>
              <w:color w:val="auto"/>
            </w:rPr>
            <w:fldChar w:fldCharType="begin"/>
          </w:r>
          <w:r>
            <w:rPr>
              <w:color w:val="auto"/>
            </w:rPr>
            <w:instrText xml:space="preserve"> PAGEREF _Toc18006 \h </w:instrText>
          </w:r>
          <w:r>
            <w:rPr>
              <w:color w:val="auto"/>
            </w:rPr>
            <w:fldChar w:fldCharType="separate"/>
          </w:r>
          <w:r>
            <w:rPr>
              <w:color w:val="auto"/>
            </w:rPr>
            <w:t>31</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"_Toc1196" </w:instrText>
          </w:r>
          <w:r>
            <w:rPr>
              <w:color w:val="auto"/>
            </w:rPr>
            <w:fldChar w:fldCharType="separate"/>
          </w:r>
          <w:r>
            <w:rPr>
              <w:rFonts w:eastAsia="方正楷体_GBK"/>
              <w:bCs/>
              <w:color w:val="auto"/>
              <w:szCs w:val="32"/>
            </w:rPr>
            <w:t>（三）加大投入，扶持发展</w:t>
          </w:r>
          <w:r>
            <w:rPr>
              <w:color w:val="auto"/>
            </w:rPr>
            <w:tab/>
          </w:r>
          <w:r>
            <w:rPr>
              <w:color w:val="auto"/>
            </w:rPr>
            <w:fldChar w:fldCharType="begin"/>
          </w:r>
          <w:r>
            <w:rPr>
              <w:color w:val="auto"/>
            </w:rPr>
            <w:instrText xml:space="preserve"> PAGEREF _Toc1196 \h </w:instrText>
          </w:r>
          <w:r>
            <w:rPr>
              <w:color w:val="auto"/>
            </w:rPr>
            <w:fldChar w:fldCharType="separate"/>
          </w:r>
          <w:r>
            <w:rPr>
              <w:color w:val="auto"/>
            </w:rPr>
            <w:t>32</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"_Toc3431" </w:instrText>
          </w:r>
          <w:r>
            <w:rPr>
              <w:color w:val="auto"/>
            </w:rPr>
            <w:fldChar w:fldCharType="separate"/>
          </w:r>
          <w:r>
            <w:rPr>
              <w:rFonts w:eastAsia="方正楷体_GBK"/>
              <w:bCs/>
              <w:color w:val="auto"/>
              <w:szCs w:val="32"/>
            </w:rPr>
            <w:t>（四）分区规划，实现禁烧</w:t>
          </w:r>
          <w:r>
            <w:rPr>
              <w:color w:val="auto"/>
            </w:rPr>
            <w:tab/>
          </w:r>
          <w:r>
            <w:rPr>
              <w:color w:val="auto"/>
            </w:rPr>
            <w:fldChar w:fldCharType="begin"/>
          </w:r>
          <w:r>
            <w:rPr>
              <w:color w:val="auto"/>
            </w:rPr>
            <w:instrText xml:space="preserve"> PAGEREF _Toc3431 \h </w:instrText>
          </w:r>
          <w:r>
            <w:rPr>
              <w:color w:val="auto"/>
            </w:rPr>
            <w:fldChar w:fldCharType="separate"/>
          </w:r>
          <w:r>
            <w:rPr>
              <w:color w:val="auto"/>
            </w:rPr>
            <w:t>32</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"_Toc17520" </w:instrText>
          </w:r>
          <w:r>
            <w:rPr>
              <w:color w:val="auto"/>
            </w:rPr>
            <w:fldChar w:fldCharType="separate"/>
          </w:r>
          <w:r>
            <w:rPr>
              <w:rFonts w:eastAsia="方正楷体_GBK"/>
              <w:bCs/>
              <w:color w:val="auto"/>
              <w:szCs w:val="32"/>
            </w:rPr>
            <w:t>（五）加强监督，严格考核</w:t>
          </w:r>
          <w:r>
            <w:rPr>
              <w:color w:val="auto"/>
            </w:rPr>
            <w:tab/>
          </w:r>
          <w:r>
            <w:rPr>
              <w:color w:val="auto"/>
            </w:rPr>
            <w:fldChar w:fldCharType="begin"/>
          </w:r>
          <w:r>
            <w:rPr>
              <w:color w:val="auto"/>
            </w:rPr>
            <w:instrText xml:space="preserve"> PAGEREF _Toc17520 \h </w:instrText>
          </w:r>
          <w:r>
            <w:rPr>
              <w:color w:val="auto"/>
            </w:rPr>
            <w:fldChar w:fldCharType="separate"/>
          </w:r>
          <w:r>
            <w:rPr>
              <w:color w:val="auto"/>
            </w:rPr>
            <w:t>32</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"_Toc5717" </w:instrText>
          </w:r>
          <w:r>
            <w:rPr>
              <w:color w:val="auto"/>
            </w:rPr>
            <w:fldChar w:fldCharType="separate"/>
          </w:r>
          <w:r>
            <w:rPr>
              <w:rFonts w:eastAsia="方正楷体_GBK"/>
              <w:bCs/>
              <w:color w:val="auto"/>
              <w:szCs w:val="32"/>
            </w:rPr>
            <w:t>（六）加强宣传，积极引导</w:t>
          </w:r>
          <w:r>
            <w:rPr>
              <w:color w:val="auto"/>
            </w:rPr>
            <w:tab/>
          </w:r>
          <w:r>
            <w:rPr>
              <w:color w:val="auto"/>
            </w:rPr>
            <w:fldChar w:fldCharType="begin"/>
          </w:r>
          <w:r>
            <w:rPr>
              <w:color w:val="auto"/>
            </w:rPr>
            <w:instrText xml:space="preserve"> PAGEREF _Toc5717 \h </w:instrText>
          </w:r>
          <w:r>
            <w:rPr>
              <w:color w:val="auto"/>
            </w:rPr>
            <w:fldChar w:fldCharType="separate"/>
          </w:r>
          <w:r>
            <w:rPr>
              <w:color w:val="auto"/>
            </w:rPr>
            <w:t>33</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"_Toc15257" </w:instrText>
          </w:r>
          <w:r>
            <w:rPr>
              <w:color w:val="auto"/>
            </w:rPr>
            <w:fldChar w:fldCharType="separate"/>
          </w:r>
          <w:r>
            <w:rPr>
              <w:rFonts w:eastAsia="方正黑体_GBK"/>
              <w:color w:val="auto"/>
              <w:szCs w:val="32"/>
            </w:rPr>
            <w:t>八、 预期成果及效益</w:t>
          </w:r>
          <w:r>
            <w:rPr>
              <w:color w:val="auto"/>
            </w:rPr>
            <w:tab/>
          </w:r>
          <w:r>
            <w:rPr>
              <w:color w:val="auto"/>
            </w:rPr>
            <w:fldChar w:fldCharType="begin"/>
          </w:r>
          <w:r>
            <w:rPr>
              <w:color w:val="auto"/>
            </w:rPr>
            <w:instrText xml:space="preserve"> PAGEREF _Toc15257 \h </w:instrText>
          </w:r>
          <w:r>
            <w:rPr>
              <w:color w:val="auto"/>
            </w:rPr>
            <w:fldChar w:fldCharType="separate"/>
          </w:r>
          <w:r>
            <w:rPr>
              <w:color w:val="auto"/>
            </w:rPr>
            <w:t>33</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"_Toc15141" </w:instrText>
          </w:r>
          <w:r>
            <w:rPr>
              <w:color w:val="auto"/>
            </w:rPr>
            <w:fldChar w:fldCharType="separate"/>
          </w:r>
          <w:r>
            <w:rPr>
              <w:rFonts w:eastAsia="方正楷体_GBK"/>
              <w:bCs/>
              <w:color w:val="auto"/>
              <w:szCs w:val="32"/>
            </w:rPr>
            <w:t>（一）预期成果</w:t>
          </w:r>
          <w:r>
            <w:rPr>
              <w:color w:val="auto"/>
            </w:rPr>
            <w:tab/>
          </w:r>
          <w:r>
            <w:rPr>
              <w:color w:val="auto"/>
            </w:rPr>
            <w:fldChar w:fldCharType="begin"/>
          </w:r>
          <w:r>
            <w:rPr>
              <w:color w:val="auto"/>
            </w:rPr>
            <w:instrText xml:space="preserve"> PAGEREF _Toc15141 \h </w:instrText>
          </w:r>
          <w:r>
            <w:rPr>
              <w:color w:val="auto"/>
            </w:rPr>
            <w:fldChar w:fldCharType="separate"/>
          </w:r>
          <w:r>
            <w:rPr>
              <w:color w:val="auto"/>
            </w:rPr>
            <w:t>33</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"_Toc28134" </w:instrText>
          </w:r>
          <w:r>
            <w:rPr>
              <w:color w:val="auto"/>
            </w:rPr>
            <w:fldChar w:fldCharType="separate"/>
          </w:r>
          <w:r>
            <w:rPr>
              <w:rFonts w:eastAsia="方正楷体_GBK"/>
              <w:bCs/>
              <w:color w:val="auto"/>
              <w:szCs w:val="32"/>
            </w:rPr>
            <w:t>（二）经济效益</w:t>
          </w:r>
          <w:r>
            <w:rPr>
              <w:color w:val="auto"/>
            </w:rPr>
            <w:tab/>
          </w:r>
          <w:r>
            <w:rPr>
              <w:color w:val="auto"/>
            </w:rPr>
            <w:fldChar w:fldCharType="begin"/>
          </w:r>
          <w:r>
            <w:rPr>
              <w:color w:val="auto"/>
            </w:rPr>
            <w:instrText xml:space="preserve"> PAGEREF _Toc28134 \h </w:instrText>
          </w:r>
          <w:r>
            <w:rPr>
              <w:color w:val="auto"/>
            </w:rPr>
            <w:fldChar w:fldCharType="separate"/>
          </w:r>
          <w:r>
            <w:rPr>
              <w:color w:val="auto"/>
            </w:rPr>
            <w:t>34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"_Toc805" </w:instrText>
          </w:r>
          <w:r>
            <w:rPr>
              <w:color w:val="auto"/>
            </w:rPr>
            <w:fldChar w:fldCharType="separate"/>
          </w:r>
          <w:r>
            <w:rPr>
              <w:rFonts w:eastAsia="方正楷体_GBK"/>
              <w:bCs/>
              <w:color w:val="auto"/>
              <w:szCs w:val="32"/>
            </w:rPr>
            <w:t>（三）社会效益</w:t>
          </w:r>
          <w:r>
            <w:rPr>
              <w:color w:val="auto"/>
            </w:rPr>
            <w:tab/>
          </w:r>
          <w:r>
            <w:rPr>
              <w:color w:val="auto"/>
            </w:rPr>
            <w:fldChar w:fldCharType="begin"/>
          </w:r>
          <w:r>
            <w:rPr>
              <w:color w:val="auto"/>
            </w:rPr>
            <w:instrText xml:space="preserve"> PAGEREF _Toc805 \h </w:instrText>
          </w:r>
          <w:r>
            <w:rPr>
              <w:color w:val="auto"/>
            </w:rPr>
            <w:fldChar w:fldCharType="separate"/>
          </w:r>
          <w:r>
            <w:rPr>
              <w:color w:val="auto"/>
            </w:rPr>
            <w:t>34</w:t>
          </w:r>
          <w:r>
            <w:rPr>
              <w:color w:val="auto"/>
            </w:rPr>
            <w:fldChar w:fldCharType="end"/>
          </w:r>
          <w:r>
            <w:rPr>
              <w:color w:val="auto"/>
            </w:rPr>
            <w:fldChar w:fldCharType="end"/>
          </w:r>
        </w:p>
        <w:p>
          <w:pPr>
            <w:pStyle w:val="8"/>
            <w:tabs>
              <w:tab w:val="right" w:leader="dot" w:pos="8306"/>
            </w:tabs>
            <w:rPr>
              <w:color w:val="auto"/>
            </w:rPr>
          </w:pPr>
          <w:r>
            <w:rPr>
              <w:color w:val="auto"/>
            </w:rPr>
            <w:fldChar w:fldCharType="begin"/>
          </w:r>
          <w:r>
            <w:rPr>
              <w:color w:val="auto"/>
            </w:rPr>
            <w:instrText xml:space="preserve"> HYPERLINK \l "_Toc13779" </w:instrText>
          </w:r>
          <w:r>
            <w:rPr>
              <w:color w:val="auto"/>
            </w:rPr>
            <w:fldChar w:fldCharType="separate"/>
          </w:r>
          <w:r>
            <w:rPr>
              <w:rFonts w:eastAsia="方正楷体_GBK"/>
              <w:bCs/>
              <w:color w:val="auto"/>
              <w:szCs w:val="32"/>
            </w:rPr>
            <w:t>（四）生态效益</w:t>
          </w:r>
          <w:r>
            <w:rPr>
              <w:color w:val="auto"/>
            </w:rPr>
            <w:tab/>
          </w:r>
          <w:r>
            <w:rPr>
              <w:color w:val="auto"/>
            </w:rPr>
            <w:fldChar w:fldCharType="begin"/>
          </w:r>
          <w:r>
            <w:rPr>
              <w:color w:val="auto"/>
            </w:rPr>
            <w:instrText xml:space="preserve"> PAGEREF _Toc13779 \h </w:instrText>
          </w:r>
          <w:r>
            <w:rPr>
              <w:color w:val="auto"/>
            </w:rPr>
            <w:fldChar w:fldCharType="separate"/>
          </w:r>
          <w:r>
            <w:rPr>
              <w:color w:val="auto"/>
            </w:rPr>
            <w:t>35</w:t>
          </w:r>
          <w:r>
            <w:rPr>
              <w:color w:val="auto"/>
            </w:rPr>
            <w:fldChar w:fldCharType="end"/>
          </w:r>
          <w:r>
            <w:rPr>
              <w:color w:val="auto"/>
            </w:rPr>
            <w:fldChar w:fldCharType="end"/>
          </w:r>
        </w:p>
        <w:p>
          <w:pPr>
            <w:pStyle w:val="7"/>
            <w:tabs>
              <w:tab w:val="right" w:leader="dot" w:pos="8306"/>
            </w:tabs>
            <w:rPr>
              <w:color w:val="auto"/>
            </w:rPr>
          </w:pPr>
          <w:r>
            <w:rPr>
              <w:color w:val="auto"/>
            </w:rPr>
            <w:fldChar w:fldCharType="begin"/>
          </w:r>
          <w:r>
            <w:rPr>
              <w:color w:val="auto"/>
            </w:rPr>
            <w:instrText xml:space="preserve"> HYPERLINK \l "_Toc5562" </w:instrText>
          </w:r>
          <w:r>
            <w:rPr>
              <w:color w:val="auto"/>
            </w:rPr>
            <w:fldChar w:fldCharType="separate"/>
          </w:r>
          <w:r>
            <w:rPr>
              <w:rFonts w:eastAsia="方正黑体_GBK"/>
              <w:color w:val="auto"/>
              <w:szCs w:val="32"/>
            </w:rPr>
            <w:t>附表目录</w:t>
          </w:r>
          <w:r>
            <w:rPr>
              <w:color w:val="auto"/>
            </w:rPr>
            <w:tab/>
          </w:r>
          <w:r>
            <w:rPr>
              <w:color w:val="auto"/>
            </w:rPr>
            <w:fldChar w:fldCharType="begin"/>
          </w:r>
          <w:r>
            <w:rPr>
              <w:color w:val="auto"/>
            </w:rPr>
            <w:instrText xml:space="preserve"> PAGEREF _Toc5562 \h </w:instrText>
          </w:r>
          <w:r>
            <w:rPr>
              <w:color w:val="auto"/>
            </w:rPr>
            <w:fldChar w:fldCharType="separate"/>
          </w:r>
          <w:r>
            <w:rPr>
              <w:color w:val="auto"/>
            </w:rPr>
            <w:t>36</w:t>
          </w:r>
          <w:r>
            <w:rPr>
              <w:color w:val="auto"/>
            </w:rPr>
            <w:fldChar w:fldCharType="end"/>
          </w:r>
          <w:r>
            <w:rPr>
              <w:color w:val="auto"/>
            </w:rPr>
            <w:fldChar w:fldCharType="end"/>
          </w:r>
        </w:p>
        <w:p>
          <w:pPr>
            <w:pStyle w:val="7"/>
            <w:tabs>
              <w:tab w:val="right" w:leader="dot" w:pos="8306"/>
            </w:tabs>
            <w:jc w:val="center"/>
            <w:rPr>
              <w:rFonts w:eastAsia="方正楷体_GBK"/>
              <w:b/>
              <w:color w:val="auto"/>
              <w:szCs w:val="32"/>
            </w:rPr>
          </w:pPr>
          <w:r>
            <w:rPr>
              <w:color w:val="auto"/>
            </w:rPr>
            <w:fldChar w:fldCharType="begin"/>
          </w:r>
          <w:r>
            <w:rPr>
              <w:color w:val="auto"/>
            </w:rPr>
            <w:instrText xml:space="preserve"> HYPERLINK \l "_Toc12061" </w:instrText>
          </w:r>
          <w:r>
            <w:rPr>
              <w:color w:val="auto"/>
            </w:rPr>
            <w:fldChar w:fldCharType="separate"/>
          </w:r>
          <w:r>
            <w:rPr>
              <w:rFonts w:eastAsia="方正楷体_GBK"/>
              <w:b/>
              <w:color w:val="auto"/>
              <w:szCs w:val="32"/>
            </w:rPr>
            <w:t>附  件</w:t>
          </w:r>
          <w:r>
            <w:rPr>
              <w:rFonts w:eastAsia="方正楷体_GBK"/>
              <w:b/>
              <w:color w:val="auto"/>
              <w:szCs w:val="32"/>
            </w:rPr>
            <w:fldChar w:fldCharType="end"/>
          </w:r>
        </w:p>
        <w:p>
          <w:pPr>
            <w:pStyle w:val="7"/>
            <w:tabs>
              <w:tab w:val="right" w:leader="dot" w:pos="8306"/>
            </w:tabs>
            <w:rPr>
              <w:rFonts w:eastAsia="方正楷体_GBK"/>
              <w:bCs/>
              <w:color w:val="auto"/>
              <w:szCs w:val="32"/>
            </w:rPr>
          </w:pPr>
          <w:r>
            <w:rPr>
              <w:rFonts w:eastAsia="方正楷体_GBK"/>
              <w:bCs/>
              <w:color w:val="auto"/>
              <w:szCs w:val="32"/>
            </w:rPr>
            <w:t>附件1：</w:t>
          </w:r>
          <w:r>
            <w:rPr>
              <w:color w:val="auto"/>
            </w:rPr>
            <w:fldChar w:fldCharType="begin"/>
          </w:r>
          <w:r>
            <w:rPr>
              <w:color w:val="auto"/>
            </w:rPr>
            <w:instrText xml:space="preserve"> HYPERLINK \l "_Toc32350" </w:instrText>
          </w:r>
          <w:r>
            <w:rPr>
              <w:color w:val="auto"/>
            </w:rPr>
            <w:fldChar w:fldCharType="separate"/>
          </w:r>
          <w:r>
            <w:rPr>
              <w:rFonts w:eastAsia="方正楷体_GBK"/>
              <w:bCs/>
              <w:color w:val="auto"/>
              <w:szCs w:val="32"/>
            </w:rPr>
            <w:t>专家评审意见表</w:t>
          </w:r>
          <w:r>
            <w:rPr>
              <w:rFonts w:eastAsia="方正楷体_GBK"/>
              <w:bCs/>
              <w:color w:val="auto"/>
              <w:szCs w:val="32"/>
            </w:rPr>
            <w:tab/>
          </w:r>
          <w:r>
            <w:rPr>
              <w:rFonts w:eastAsia="方正楷体_GBK"/>
              <w:bCs/>
              <w:color w:val="auto"/>
              <w:szCs w:val="32"/>
            </w:rPr>
            <w:t>4</w:t>
          </w:r>
          <w:r>
            <w:rPr>
              <w:rFonts w:eastAsia="方正楷体_GBK"/>
              <w:bCs/>
              <w:color w:val="auto"/>
              <w:szCs w:val="32"/>
            </w:rPr>
            <w:fldChar w:fldCharType="end"/>
          </w:r>
          <w:r>
            <w:rPr>
              <w:rFonts w:hint="eastAsia" w:eastAsia="方正楷体_GBK"/>
              <w:bCs/>
              <w:color w:val="auto"/>
              <w:szCs w:val="32"/>
            </w:rPr>
            <w:t>4</w:t>
          </w:r>
        </w:p>
        <w:p>
          <w:pPr>
            <w:pStyle w:val="7"/>
            <w:tabs>
              <w:tab w:val="right" w:leader="dot" w:pos="8306"/>
            </w:tabs>
            <w:rPr>
              <w:rFonts w:eastAsia="方正楷体_GBK"/>
              <w:bCs/>
              <w:color w:val="auto"/>
              <w:szCs w:val="32"/>
            </w:rPr>
          </w:pPr>
          <w:r>
            <w:rPr>
              <w:rFonts w:eastAsia="方正楷体_GBK"/>
              <w:bCs/>
              <w:color w:val="auto"/>
              <w:szCs w:val="32"/>
            </w:rPr>
            <w:t>附件2：</w:t>
          </w:r>
          <w:r>
            <w:rPr>
              <w:color w:val="auto"/>
            </w:rPr>
            <w:fldChar w:fldCharType="begin"/>
          </w:r>
          <w:r>
            <w:rPr>
              <w:color w:val="auto"/>
            </w:rPr>
            <w:instrText xml:space="preserve"> HYPERLINK \l "_Toc32350" </w:instrText>
          </w:r>
          <w:r>
            <w:rPr>
              <w:color w:val="auto"/>
            </w:rPr>
            <w:fldChar w:fldCharType="separate"/>
          </w:r>
          <w:r>
            <w:rPr>
              <w:rFonts w:eastAsia="方正楷体_GBK"/>
              <w:bCs/>
              <w:color w:val="auto"/>
              <w:szCs w:val="32"/>
            </w:rPr>
            <w:t>秸秆腐熟剂与粉碎机</w:t>
          </w:r>
          <w:r>
            <w:rPr>
              <w:rFonts w:hint="eastAsia" w:eastAsia="方正楷体_GBK"/>
              <w:bCs/>
              <w:color w:val="auto"/>
              <w:szCs w:val="32"/>
            </w:rPr>
            <w:t>支持</w:t>
          </w:r>
          <w:r>
            <w:rPr>
              <w:rFonts w:eastAsia="方正楷体_GBK"/>
              <w:bCs/>
              <w:color w:val="auto"/>
              <w:szCs w:val="32"/>
            </w:rPr>
            <w:t>子方案</w:t>
          </w:r>
          <w:r>
            <w:rPr>
              <w:rFonts w:eastAsia="方正楷体_GBK"/>
              <w:bCs/>
              <w:color w:val="auto"/>
              <w:szCs w:val="32"/>
            </w:rPr>
            <w:tab/>
          </w:r>
          <w:r>
            <w:rPr>
              <w:rFonts w:eastAsia="方正楷体_GBK"/>
              <w:bCs/>
              <w:color w:val="auto"/>
              <w:szCs w:val="32"/>
            </w:rPr>
            <w:fldChar w:fldCharType="end"/>
          </w:r>
          <w:r>
            <w:rPr>
              <w:rFonts w:eastAsia="方正楷体_GBK"/>
              <w:bCs/>
              <w:color w:val="auto"/>
              <w:szCs w:val="32"/>
            </w:rPr>
            <w:t>4</w:t>
          </w:r>
          <w:r>
            <w:rPr>
              <w:rFonts w:hint="eastAsia" w:eastAsia="方正楷体_GBK"/>
              <w:bCs/>
              <w:color w:val="auto"/>
              <w:szCs w:val="32"/>
            </w:rPr>
            <w:t>6</w:t>
          </w:r>
        </w:p>
        <w:p>
          <w:pPr>
            <w:pStyle w:val="7"/>
            <w:tabs>
              <w:tab w:val="right" w:leader="dot" w:pos="8306"/>
            </w:tabs>
            <w:rPr>
              <w:rFonts w:eastAsia="方正楷体_GBK"/>
              <w:bCs/>
              <w:color w:val="auto"/>
              <w:szCs w:val="32"/>
            </w:rPr>
          </w:pPr>
          <w:r>
            <w:rPr>
              <w:color w:val="auto"/>
            </w:rPr>
            <w:fldChar w:fldCharType="begin"/>
          </w:r>
          <w:r>
            <w:rPr>
              <w:color w:val="auto"/>
            </w:rPr>
            <w:instrText xml:space="preserve"> HYPERLINK \l "_Toc27967" </w:instrText>
          </w:r>
          <w:r>
            <w:rPr>
              <w:color w:val="auto"/>
            </w:rPr>
            <w:fldChar w:fldCharType="separate"/>
          </w:r>
          <w:r>
            <w:rPr>
              <w:rFonts w:eastAsia="方正楷体_GBK"/>
              <w:bCs/>
              <w:color w:val="auto"/>
              <w:szCs w:val="32"/>
            </w:rPr>
            <w:t>附件3：</w:t>
          </w:r>
          <w:r>
            <w:rPr>
              <w:rFonts w:eastAsia="方正楷体_GBK"/>
              <w:bCs/>
              <w:color w:val="auto"/>
              <w:szCs w:val="32"/>
            </w:rPr>
            <w:fldChar w:fldCharType="end"/>
          </w:r>
          <w:r>
            <w:rPr>
              <w:color w:val="auto"/>
            </w:rPr>
            <w:fldChar w:fldCharType="begin"/>
          </w:r>
          <w:r>
            <w:rPr>
              <w:color w:val="auto"/>
            </w:rPr>
            <w:instrText xml:space="preserve"> HYPERLINK \l "_Toc801" </w:instrText>
          </w:r>
          <w:r>
            <w:rPr>
              <w:color w:val="auto"/>
            </w:rPr>
            <w:fldChar w:fldCharType="separate"/>
          </w:r>
          <w:r>
            <w:rPr>
              <w:rFonts w:eastAsia="方正楷体_GBK"/>
              <w:bCs/>
              <w:color w:val="auto"/>
              <w:szCs w:val="32"/>
            </w:rPr>
            <w:t>秸秆草谷比与可收集系数监测子方案</w:t>
          </w:r>
          <w:r>
            <w:rPr>
              <w:rFonts w:eastAsia="方正楷体_GBK"/>
              <w:bCs/>
              <w:color w:val="auto"/>
              <w:szCs w:val="32"/>
            </w:rPr>
            <w:tab/>
          </w:r>
          <w:r>
            <w:rPr>
              <w:rFonts w:eastAsia="方正楷体_GBK"/>
              <w:bCs/>
              <w:color w:val="auto"/>
              <w:szCs w:val="32"/>
            </w:rPr>
            <w:fldChar w:fldCharType="end"/>
          </w:r>
          <w:r>
            <w:rPr>
              <w:rFonts w:eastAsia="方正楷体_GBK"/>
              <w:bCs/>
              <w:color w:val="auto"/>
              <w:szCs w:val="32"/>
            </w:rPr>
            <w:t>5</w:t>
          </w:r>
          <w:r>
            <w:rPr>
              <w:rFonts w:hint="eastAsia" w:eastAsia="方正楷体_GBK"/>
              <w:bCs/>
              <w:color w:val="auto"/>
              <w:szCs w:val="32"/>
            </w:rPr>
            <w:t>3</w:t>
          </w:r>
        </w:p>
        <w:p>
          <w:pPr>
            <w:pStyle w:val="7"/>
            <w:tabs>
              <w:tab w:val="right" w:leader="dot" w:pos="8306"/>
            </w:tabs>
            <w:rPr>
              <w:rFonts w:eastAsia="方正楷体_GBK"/>
              <w:bCs/>
              <w:color w:val="auto"/>
              <w:szCs w:val="32"/>
            </w:rPr>
          </w:pPr>
          <w:r>
            <w:rPr>
              <w:color w:val="auto"/>
            </w:rPr>
            <w:fldChar w:fldCharType="begin"/>
          </w:r>
          <w:r>
            <w:rPr>
              <w:color w:val="auto"/>
            </w:rPr>
            <w:instrText xml:space="preserve"> HYPERLINK \l "_Toc31565" </w:instrText>
          </w:r>
          <w:r>
            <w:rPr>
              <w:color w:val="auto"/>
            </w:rPr>
            <w:fldChar w:fldCharType="separate"/>
          </w:r>
          <w:r>
            <w:rPr>
              <w:rFonts w:eastAsia="方正楷体_GBK"/>
              <w:bCs/>
              <w:color w:val="auto"/>
              <w:szCs w:val="32"/>
            </w:rPr>
            <w:t>附件4：</w:t>
          </w:r>
          <w:r>
            <w:rPr>
              <w:rFonts w:eastAsia="方正楷体_GBK"/>
              <w:bCs/>
              <w:color w:val="auto"/>
              <w:szCs w:val="32"/>
            </w:rPr>
            <w:fldChar w:fldCharType="end"/>
          </w:r>
          <w:r>
            <w:rPr>
              <w:color w:val="auto"/>
            </w:rPr>
            <w:fldChar w:fldCharType="begin"/>
          </w:r>
          <w:r>
            <w:rPr>
              <w:color w:val="auto"/>
            </w:rPr>
            <w:instrText xml:space="preserve"> HYPERLINK \l "_Toc16885" </w:instrText>
          </w:r>
          <w:r>
            <w:rPr>
              <w:color w:val="auto"/>
            </w:rPr>
            <w:fldChar w:fldCharType="separate"/>
          </w:r>
          <w:r>
            <w:rPr>
              <w:rFonts w:eastAsia="方正楷体_GBK"/>
              <w:bCs/>
              <w:color w:val="auto"/>
              <w:szCs w:val="32"/>
            </w:rPr>
            <w:t>秸秆还田生态效应监测子方案</w:t>
          </w:r>
          <w:r>
            <w:rPr>
              <w:rFonts w:eastAsia="方正楷体_GBK"/>
              <w:bCs/>
              <w:color w:val="auto"/>
              <w:szCs w:val="32"/>
            </w:rPr>
            <w:tab/>
          </w:r>
          <w:r>
            <w:rPr>
              <w:rFonts w:eastAsia="方正楷体_GBK"/>
              <w:bCs/>
              <w:color w:val="auto"/>
              <w:szCs w:val="32"/>
            </w:rPr>
            <w:t>7</w:t>
          </w:r>
          <w:r>
            <w:rPr>
              <w:rFonts w:eastAsia="方正楷体_GBK"/>
              <w:bCs/>
              <w:color w:val="auto"/>
              <w:szCs w:val="32"/>
            </w:rPr>
            <w:fldChar w:fldCharType="end"/>
          </w:r>
          <w:r>
            <w:rPr>
              <w:rFonts w:hint="eastAsia" w:eastAsia="方正楷体_GBK"/>
              <w:bCs/>
              <w:color w:val="auto"/>
              <w:szCs w:val="32"/>
            </w:rPr>
            <w:t>4</w:t>
          </w:r>
        </w:p>
        <w:p>
          <w:pPr>
            <w:pStyle w:val="7"/>
            <w:tabs>
              <w:tab w:val="right" w:leader="dot" w:pos="8306"/>
            </w:tabs>
            <w:rPr>
              <w:rFonts w:eastAsia="方正楷体_GBK"/>
              <w:bCs/>
              <w:color w:val="auto"/>
              <w:szCs w:val="32"/>
            </w:rPr>
          </w:pPr>
          <w:r>
            <w:rPr>
              <w:rFonts w:eastAsia="方正楷体_GBK"/>
              <w:bCs/>
              <w:color w:val="auto"/>
              <w:szCs w:val="32"/>
            </w:rPr>
            <w:t>附件5：</w:t>
          </w:r>
          <w:r>
            <w:rPr>
              <w:color w:val="auto"/>
            </w:rPr>
            <w:fldChar w:fldCharType="begin"/>
          </w:r>
          <w:r>
            <w:rPr>
              <w:color w:val="auto"/>
            </w:rPr>
            <w:instrText xml:space="preserve"> HYPERLINK \l "_Toc14929" </w:instrText>
          </w:r>
          <w:r>
            <w:rPr>
              <w:color w:val="auto"/>
            </w:rPr>
            <w:fldChar w:fldCharType="separate"/>
          </w:r>
          <w:r>
            <w:rPr>
              <w:rFonts w:eastAsia="方正楷体_GBK"/>
              <w:bCs/>
              <w:color w:val="auto"/>
              <w:szCs w:val="32"/>
            </w:rPr>
            <w:t>烟秆高值化利用研究子方案</w:t>
          </w:r>
          <w:r>
            <w:rPr>
              <w:rFonts w:eastAsia="方正楷体_GBK"/>
              <w:bCs/>
              <w:color w:val="auto"/>
              <w:szCs w:val="32"/>
            </w:rPr>
            <w:tab/>
          </w:r>
          <w:r>
            <w:rPr>
              <w:rFonts w:eastAsia="方正楷体_GBK"/>
              <w:bCs/>
              <w:color w:val="auto"/>
              <w:szCs w:val="32"/>
            </w:rPr>
            <w:t>9</w:t>
          </w:r>
          <w:r>
            <w:rPr>
              <w:rFonts w:eastAsia="方正楷体_GBK"/>
              <w:bCs/>
              <w:color w:val="auto"/>
              <w:szCs w:val="32"/>
            </w:rPr>
            <w:fldChar w:fldCharType="end"/>
          </w:r>
          <w:r>
            <w:rPr>
              <w:rFonts w:hint="eastAsia" w:eastAsia="方正楷体_GBK"/>
              <w:bCs/>
              <w:color w:val="auto"/>
              <w:szCs w:val="32"/>
            </w:rPr>
            <w:t>7</w:t>
          </w:r>
        </w:p>
        <w:p>
          <w:pPr>
            <w:pStyle w:val="7"/>
            <w:tabs>
              <w:tab w:val="right" w:leader="dot" w:pos="8306"/>
            </w:tabs>
            <w:rPr>
              <w:rFonts w:eastAsia="方正楷体_GBK"/>
              <w:bCs/>
              <w:color w:val="auto"/>
              <w:szCs w:val="32"/>
            </w:rPr>
          </w:pPr>
          <w:r>
            <w:rPr>
              <w:rFonts w:eastAsia="方正楷体_GBK"/>
              <w:bCs/>
              <w:color w:val="auto"/>
              <w:szCs w:val="32"/>
            </w:rPr>
            <w:t>附件</w:t>
          </w:r>
          <w:r>
            <w:rPr>
              <w:rFonts w:hint="eastAsia" w:eastAsia="方正楷体_GBK"/>
              <w:bCs/>
              <w:color w:val="auto"/>
              <w:szCs w:val="32"/>
            </w:rPr>
            <w:t>6</w:t>
          </w:r>
          <w:r>
            <w:rPr>
              <w:rFonts w:eastAsia="方正楷体_GBK"/>
              <w:bCs/>
              <w:color w:val="auto"/>
              <w:szCs w:val="32"/>
            </w:rPr>
            <w:t>：</w:t>
          </w:r>
          <w:r>
            <w:rPr>
              <w:color w:val="auto"/>
            </w:rPr>
            <w:fldChar w:fldCharType="begin"/>
          </w:r>
          <w:r>
            <w:rPr>
              <w:color w:val="auto"/>
            </w:rPr>
            <w:instrText xml:space="preserve"> HYPERLINK \l "_Toc14929" </w:instrText>
          </w:r>
          <w:r>
            <w:rPr>
              <w:color w:val="auto"/>
            </w:rPr>
            <w:fldChar w:fldCharType="separate"/>
          </w:r>
          <w:r>
            <w:rPr>
              <w:rFonts w:hint="eastAsia" w:eastAsia="方正楷体_GBK"/>
              <w:bCs/>
              <w:color w:val="auto"/>
              <w:szCs w:val="32"/>
            </w:rPr>
            <w:t>秸秆综合利用经纪人、主体企业遴选标准</w:t>
          </w:r>
          <w:r>
            <w:rPr>
              <w:rFonts w:eastAsia="方正楷体_GBK"/>
              <w:bCs/>
              <w:color w:val="auto"/>
              <w:szCs w:val="32"/>
            </w:rPr>
            <w:tab/>
          </w:r>
          <w:r>
            <w:rPr>
              <w:rFonts w:hint="eastAsia" w:eastAsia="方正楷体_GBK"/>
              <w:bCs/>
              <w:color w:val="auto"/>
              <w:szCs w:val="32"/>
            </w:rPr>
            <w:t>1</w:t>
          </w:r>
          <w:r>
            <w:rPr>
              <w:rFonts w:eastAsia="方正楷体_GBK"/>
              <w:bCs/>
              <w:color w:val="auto"/>
              <w:szCs w:val="32"/>
            </w:rPr>
            <w:fldChar w:fldCharType="end"/>
          </w:r>
          <w:r>
            <w:rPr>
              <w:rFonts w:hint="eastAsia" w:eastAsia="方正楷体_GBK"/>
              <w:bCs/>
              <w:color w:val="auto"/>
              <w:szCs w:val="32"/>
            </w:rPr>
            <w:t>02</w:t>
          </w:r>
        </w:p>
        <w:p>
          <w:pPr>
            <w:rPr>
              <w:color w:val="auto"/>
            </w:rPr>
          </w:pPr>
        </w:p>
        <w:p>
          <w:pPr>
            <w:pStyle w:val="7"/>
            <w:tabs>
              <w:tab w:val="right" w:leader="dot" w:pos="8306"/>
            </w:tabs>
            <w:rPr>
              <w:color w:val="auto"/>
            </w:rPr>
          </w:pPr>
          <w:r>
            <w:rPr>
              <w:rFonts w:eastAsia="方正仿宋_GB2312"/>
              <w:color w:val="auto"/>
              <w:kern w:val="0"/>
              <w:szCs w:val="32"/>
            </w:rPr>
            <w:fldChar w:fldCharType="end"/>
          </w:r>
        </w:p>
      </w:sdtContent>
    </w:sdt>
    <w:p>
      <w:pPr>
        <w:tabs>
          <w:tab w:val="left" w:pos="3103"/>
        </w:tabs>
        <w:jc w:val="left"/>
        <w:rPr>
          <w:rFonts w:eastAsia="方正黑体_GBK"/>
          <w:color w:val="auto"/>
          <w:sz w:val="32"/>
          <w:szCs w:val="32"/>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01" w:name="_Toc19441"/>
      <w:bookmarkStart w:id="102" w:name="_Toc6717"/>
    </w:p>
    <w:p>
      <w:pPr>
        <w:tabs>
          <w:tab w:val="left" w:pos="3103"/>
        </w:tabs>
        <w:spacing w:before="156" w:beforeLines="50" w:after="156" w:afterLines="50"/>
        <w:jc w:val="left"/>
        <w:rPr>
          <w:rFonts w:eastAsia="方正黑体_GBK"/>
          <w:color w:val="auto"/>
          <w:sz w:val="32"/>
          <w:szCs w:val="32"/>
        </w:rPr>
      </w:pPr>
      <w:r>
        <w:rPr>
          <w:rFonts w:eastAsia="方正黑体_GBK"/>
          <w:color w:val="auto"/>
          <w:sz w:val="32"/>
          <w:szCs w:val="32"/>
        </w:rPr>
        <w:t>一、区域基本情况</w:t>
      </w:r>
      <w:bookmarkEnd w:id="101"/>
      <w:bookmarkEnd w:id="102"/>
    </w:p>
    <w:p>
      <w:pPr>
        <w:spacing w:before="120" w:after="120"/>
        <w:ind w:firstLine="643" w:firstLineChars="200"/>
        <w:rPr>
          <w:rFonts w:eastAsia="方正楷体_GBK"/>
          <w:b/>
          <w:bCs/>
          <w:color w:val="auto"/>
          <w:sz w:val="32"/>
          <w:szCs w:val="32"/>
        </w:rPr>
      </w:pPr>
      <w:bookmarkStart w:id="103" w:name="_Toc2790"/>
      <w:bookmarkStart w:id="104" w:name="_Toc32299"/>
      <w:bookmarkStart w:id="105" w:name="_Toc27957"/>
      <w:bookmarkStart w:id="106" w:name="_Toc854"/>
      <w:bookmarkStart w:id="107" w:name="_Toc14936"/>
      <w:bookmarkStart w:id="108" w:name="_Toc17087"/>
      <w:r>
        <w:rPr>
          <w:rFonts w:eastAsia="方正楷体_GBK"/>
          <w:b/>
          <w:bCs/>
          <w:color w:val="auto"/>
          <w:sz w:val="32"/>
          <w:szCs w:val="32"/>
        </w:rPr>
        <w:t>（一）基本概况</w:t>
      </w:r>
      <w:bookmarkEnd w:id="103"/>
      <w:bookmarkEnd w:id="104"/>
      <w:bookmarkEnd w:id="105"/>
      <w:bookmarkEnd w:id="106"/>
      <w:bookmarkEnd w:id="107"/>
      <w:bookmarkEnd w:id="108"/>
    </w:p>
    <w:p>
      <w:pPr>
        <w:ind w:firstLine="640" w:firstLineChars="200"/>
        <w:rPr>
          <w:rFonts w:eastAsia="方正仿宋_GBK"/>
          <w:color w:val="auto"/>
          <w:kern w:val="0"/>
          <w:sz w:val="32"/>
          <w:szCs w:val="32"/>
        </w:rPr>
      </w:pPr>
      <w:bookmarkStart w:id="109" w:name="_Toc24950"/>
      <w:r>
        <w:rPr>
          <w:rFonts w:eastAsia="方正仿宋_GBK"/>
          <w:color w:val="auto"/>
          <w:kern w:val="0"/>
          <w:sz w:val="32"/>
          <w:szCs w:val="32"/>
        </w:rPr>
        <w:t>玉溪市红塔区，隶属云南省玉溪市。地处滇中腹地，东与江川区相连，东南与通海县毗邻，西南与峨山彝族自治县交界，北与昆明市晋宁区接壤。</w:t>
      </w:r>
      <w:r>
        <w:rPr>
          <w:rFonts w:eastAsia="方正仿宋_GBK"/>
          <w:color w:val="auto"/>
          <w:sz w:val="31"/>
          <w:szCs w:val="31"/>
          <w:shd w:val="clear" w:color="auto" w:fill="FFFFFF"/>
        </w:rPr>
        <w:t>辖区面积</w:t>
      </w:r>
      <w:r>
        <w:rPr>
          <w:color w:val="auto"/>
          <w:sz w:val="31"/>
          <w:szCs w:val="31"/>
          <w:shd w:val="clear" w:color="auto" w:fill="FFFFFF"/>
        </w:rPr>
        <w:t>1004</w:t>
      </w:r>
      <w:r>
        <w:rPr>
          <w:rFonts w:eastAsia="方正仿宋_GBK"/>
          <w:color w:val="auto"/>
          <w:sz w:val="31"/>
          <w:szCs w:val="31"/>
          <w:shd w:val="clear" w:color="auto" w:fill="FFFFFF"/>
        </w:rPr>
        <w:t>平方千米，其中山地占</w:t>
      </w:r>
      <w:r>
        <w:rPr>
          <w:color w:val="auto"/>
          <w:sz w:val="31"/>
          <w:szCs w:val="31"/>
          <w:shd w:val="clear" w:color="auto" w:fill="FFFFFF"/>
        </w:rPr>
        <w:t>82.7%</w:t>
      </w:r>
      <w:r>
        <w:rPr>
          <w:rFonts w:eastAsia="方正仿宋_GBK"/>
          <w:color w:val="auto"/>
          <w:kern w:val="0"/>
          <w:sz w:val="32"/>
          <w:szCs w:val="32"/>
        </w:rPr>
        <w:t>。红塔区下辖9个街道、2个彝族乡：玉兴街道、玉带街道、凤凰街道、北城街道、大营街街道、研和街道、李棋街道、春和街道、高仓街道、洛河乡、小石桥彝族乡，村（社区居）委会104个，其中：社区94个，村委会10个；村（居）民小组1106个，其中：社区居民小组1035个，村民小组71个；自然村436个。其中红塔区北城街道、大营街街道、研和街道、春和街道、高仓街道、洛河乡、小石桥彝族乡等街道（乡）七个街道为涉农街道。</w:t>
      </w:r>
    </w:p>
    <w:p>
      <w:pPr>
        <w:ind w:firstLine="420" w:firstLineChars="200"/>
        <w:jc w:val="center"/>
        <w:rPr>
          <w:rFonts w:eastAsia="方正仿宋_GBK"/>
          <w:color w:val="auto"/>
        </w:rPr>
      </w:pPr>
      <w:r>
        <w:rPr>
          <w:rFonts w:eastAsia="方正仿宋_GBK"/>
          <w:color w:val="auto"/>
        </w:rPr>
        <w:drawing>
          <wp:inline distT="0" distB="0" distL="114300" distR="114300">
            <wp:extent cx="3371215" cy="3102610"/>
            <wp:effectExtent l="0" t="0" r="12065" b="6350"/>
            <wp:docPr id="7" name="图片 7" descr="红塔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塔区示意图"/>
                    <pic:cNvPicPr>
                      <a:picLocks noChangeAspect="1"/>
                    </pic:cNvPicPr>
                  </pic:nvPicPr>
                  <pic:blipFill>
                    <a:blip r:embed="rId14"/>
                    <a:stretch>
                      <a:fillRect/>
                    </a:stretch>
                  </pic:blipFill>
                  <pic:spPr>
                    <a:xfrm>
                      <a:off x="0" y="0"/>
                      <a:ext cx="3381305" cy="3111847"/>
                    </a:xfrm>
                    <a:prstGeom prst="rect">
                      <a:avLst/>
                    </a:prstGeom>
                  </pic:spPr>
                </pic:pic>
              </a:graphicData>
            </a:graphic>
          </wp:inline>
        </w:drawing>
      </w:r>
    </w:p>
    <w:p>
      <w:pPr>
        <w:ind w:firstLine="360" w:firstLineChars="200"/>
        <w:jc w:val="center"/>
        <w:rPr>
          <w:rFonts w:eastAsiaTheme="minorEastAsia"/>
          <w:color w:val="auto"/>
          <w:kern w:val="0"/>
          <w:sz w:val="18"/>
          <w:szCs w:val="18"/>
        </w:rPr>
      </w:pPr>
      <w:r>
        <w:rPr>
          <w:rFonts w:eastAsiaTheme="minorEastAsia"/>
          <w:color w:val="auto"/>
          <w:kern w:val="0"/>
          <w:sz w:val="18"/>
          <w:szCs w:val="18"/>
        </w:rPr>
        <w:t>图1  红塔区位置示意图</w:t>
      </w:r>
    </w:p>
    <w:bookmarkEnd w:id="109"/>
    <w:p>
      <w:pPr>
        <w:spacing w:before="120" w:after="120"/>
        <w:ind w:firstLine="643" w:firstLineChars="200"/>
        <w:rPr>
          <w:rFonts w:eastAsia="方正楷体_GBK"/>
          <w:b/>
          <w:bCs/>
          <w:color w:val="auto"/>
          <w:sz w:val="32"/>
          <w:szCs w:val="32"/>
        </w:rPr>
      </w:pPr>
      <w:bookmarkStart w:id="110" w:name="_Toc2673"/>
      <w:bookmarkStart w:id="111" w:name="_Toc17546"/>
      <w:bookmarkStart w:id="112" w:name="_Toc23051"/>
      <w:bookmarkStart w:id="113" w:name="_Toc19811"/>
      <w:bookmarkStart w:id="114" w:name="_Toc2461"/>
      <w:bookmarkStart w:id="115" w:name="_Toc4845"/>
      <w:r>
        <w:rPr>
          <w:rFonts w:eastAsia="方正楷体_GBK"/>
          <w:b/>
          <w:bCs/>
          <w:color w:val="auto"/>
          <w:sz w:val="32"/>
          <w:szCs w:val="32"/>
        </w:rPr>
        <w:t>（二）秸秆综合利用现状及分析</w:t>
      </w:r>
      <w:bookmarkEnd w:id="110"/>
      <w:bookmarkEnd w:id="111"/>
      <w:bookmarkEnd w:id="112"/>
    </w:p>
    <w:p>
      <w:pPr>
        <w:ind w:firstLine="640" w:firstLineChars="200"/>
        <w:rPr>
          <w:rFonts w:eastAsia="方正仿宋_GBK"/>
          <w:color w:val="auto"/>
          <w:kern w:val="0"/>
          <w:sz w:val="32"/>
          <w:szCs w:val="32"/>
        </w:rPr>
      </w:pPr>
      <w:r>
        <w:rPr>
          <w:rFonts w:eastAsia="方正仿宋_GBK"/>
          <w:color w:val="auto"/>
          <w:kern w:val="0"/>
          <w:sz w:val="32"/>
          <w:szCs w:val="32"/>
        </w:rPr>
        <w:t>2022年全区主要产生秸秆农作物种植面积12.97万亩，农作物秸秆产生量48782.1吨，农作物秸秆可收集资源量43595.7吨。玉溪市红塔区主要农作物秸秆产生量详见图2。</w:t>
      </w:r>
    </w:p>
    <w:p>
      <w:pPr>
        <w:pStyle w:val="2"/>
        <w:ind w:firstLine="210"/>
        <w:jc w:val="center"/>
        <w:rPr>
          <w:color w:val="auto"/>
        </w:rPr>
      </w:pPr>
      <w:r>
        <w:rPr>
          <w:color w:val="auto"/>
        </w:rPr>
        <w:drawing>
          <wp:inline distT="0" distB="0" distL="114300" distR="114300">
            <wp:extent cx="4461510" cy="1924050"/>
            <wp:effectExtent l="0" t="0" r="3810" b="1143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rcRect t="23097"/>
                    <a:stretch>
                      <a:fillRect/>
                    </a:stretch>
                  </pic:blipFill>
                  <pic:spPr>
                    <a:xfrm>
                      <a:off x="0" y="0"/>
                      <a:ext cx="4467225" cy="1926492"/>
                    </a:xfrm>
                    <a:prstGeom prst="rect">
                      <a:avLst/>
                    </a:prstGeom>
                    <a:noFill/>
                    <a:ln>
                      <a:noFill/>
                    </a:ln>
                  </pic:spPr>
                </pic:pic>
              </a:graphicData>
            </a:graphic>
          </wp:inline>
        </w:drawing>
      </w:r>
    </w:p>
    <w:p>
      <w:pPr>
        <w:ind w:firstLine="360" w:firstLineChars="200"/>
        <w:jc w:val="center"/>
        <w:rPr>
          <w:rFonts w:eastAsiaTheme="minorEastAsia"/>
          <w:color w:val="auto"/>
          <w:kern w:val="0"/>
          <w:sz w:val="18"/>
          <w:szCs w:val="18"/>
        </w:rPr>
      </w:pPr>
      <w:r>
        <w:rPr>
          <w:rFonts w:eastAsiaTheme="minorEastAsia"/>
          <w:color w:val="auto"/>
          <w:kern w:val="0"/>
          <w:sz w:val="18"/>
          <w:szCs w:val="18"/>
        </w:rPr>
        <w:t>图2  玉溪市红塔区2022年农作物秸秆产生量（单位：吨）</w:t>
      </w:r>
    </w:p>
    <w:p>
      <w:pPr>
        <w:pStyle w:val="9"/>
        <w:widowControl w:val="0"/>
        <w:spacing w:before="0" w:beforeAutospacing="0" w:after="0" w:afterAutospacing="0"/>
        <w:ind w:firstLine="48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3926840" cy="2293620"/>
            <wp:effectExtent l="4445" t="4445" r="15875" b="1841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360" w:firstLineChars="200"/>
        <w:jc w:val="center"/>
        <w:rPr>
          <w:rFonts w:eastAsiaTheme="minorEastAsia"/>
          <w:color w:val="auto"/>
          <w:kern w:val="0"/>
          <w:sz w:val="18"/>
          <w:szCs w:val="18"/>
        </w:rPr>
      </w:pPr>
      <w:r>
        <w:rPr>
          <w:rFonts w:eastAsiaTheme="minorEastAsia"/>
          <w:color w:val="auto"/>
          <w:kern w:val="0"/>
          <w:sz w:val="18"/>
          <w:szCs w:val="18"/>
        </w:rPr>
        <w:t>图3  2022年玉溪市红塔区五化利用状况</w:t>
      </w:r>
    </w:p>
    <w:p>
      <w:pPr>
        <w:ind w:firstLine="640" w:firstLineChars="200"/>
        <w:rPr>
          <w:rFonts w:eastAsia="方正仿宋_GBK"/>
          <w:color w:val="auto"/>
          <w:highlight w:val="yellow"/>
        </w:rPr>
      </w:pPr>
      <w:r>
        <w:rPr>
          <w:rFonts w:eastAsia="方正仿宋_GBK"/>
          <w:color w:val="auto"/>
          <w:kern w:val="0"/>
          <w:sz w:val="32"/>
          <w:szCs w:val="32"/>
        </w:rPr>
        <w:t>2022年，全区农作物秸秆综合利用量39944.29吨（其中肥料化利用量4700.71吨、燃料化利用量3885.93吨、饲料化利用量14692.65吨、基料化利用量15吨、原料化利用量16650吨）。红塔区五化利用率如图3所示，2022年农作物秸秆综合利用率91.62%，肥料化通常为直接还田，利用率为11.77%；饲料化利用主要是玉米、水稻、小麦秸秆作为青贮、黄贮饲料，利用率为33.70%；燃料化利用主要是烟秆、</w:t>
      </w:r>
      <w:r>
        <w:rPr>
          <w:rFonts w:hint="eastAsia" w:eastAsia="方正仿宋_GBK"/>
          <w:color w:val="auto"/>
          <w:kern w:val="0"/>
          <w:sz w:val="32"/>
          <w:szCs w:val="32"/>
          <w:lang w:val="en-US" w:eastAsia="zh-CN"/>
        </w:rPr>
        <w:t>其他农作物</w:t>
      </w:r>
      <w:r>
        <w:rPr>
          <w:rFonts w:eastAsia="方正仿宋_GBK"/>
          <w:color w:val="auto"/>
          <w:kern w:val="0"/>
          <w:sz w:val="32"/>
          <w:szCs w:val="32"/>
        </w:rPr>
        <w:t>秸秆，农户自用作燃料以及颗粒燃料生产，利用率达到8.91%；基料化利用率为0.03%；原料化利用主要将水稻秸秆等制作成运输所需的草垫，利用率为38.19%。玉溪市红塔区各乡镇秸秆产生量如图4所示。</w:t>
      </w:r>
    </w:p>
    <w:p>
      <w:pPr>
        <w:pStyle w:val="2"/>
        <w:ind w:firstLine="210"/>
        <w:jc w:val="center"/>
        <w:rPr>
          <w:color w:val="auto"/>
        </w:rPr>
      </w:pPr>
      <w:r>
        <w:rPr>
          <w:color w:val="auto"/>
        </w:rPr>
        <w:drawing>
          <wp:inline distT="0" distB="0" distL="114300" distR="114300">
            <wp:extent cx="4210050" cy="2418715"/>
            <wp:effectExtent l="0" t="0" r="1143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rcRect t="4989"/>
                    <a:stretch>
                      <a:fillRect/>
                    </a:stretch>
                  </pic:blipFill>
                  <pic:spPr>
                    <a:xfrm>
                      <a:off x="0" y="0"/>
                      <a:ext cx="4210050" cy="2418715"/>
                    </a:xfrm>
                    <a:prstGeom prst="rect">
                      <a:avLst/>
                    </a:prstGeom>
                    <a:noFill/>
                    <a:ln>
                      <a:noFill/>
                    </a:ln>
                  </pic:spPr>
                </pic:pic>
              </a:graphicData>
            </a:graphic>
          </wp:inline>
        </w:drawing>
      </w:r>
    </w:p>
    <w:p>
      <w:pPr>
        <w:ind w:firstLine="360" w:firstLineChars="200"/>
        <w:jc w:val="center"/>
        <w:rPr>
          <w:rFonts w:eastAsiaTheme="minorEastAsia"/>
          <w:color w:val="auto"/>
          <w:kern w:val="0"/>
          <w:sz w:val="18"/>
          <w:szCs w:val="18"/>
        </w:rPr>
      </w:pPr>
      <w:r>
        <w:rPr>
          <w:rFonts w:eastAsiaTheme="minorEastAsia"/>
          <w:color w:val="auto"/>
          <w:kern w:val="0"/>
          <w:sz w:val="18"/>
          <w:szCs w:val="18"/>
        </w:rPr>
        <w:t>图4  玉溪市红塔区2022年各个乡镇（街道）农作物秸秆产生量（单位：百吨）</w:t>
      </w:r>
    </w:p>
    <w:p>
      <w:pPr>
        <w:pStyle w:val="9"/>
        <w:widowControl w:val="0"/>
        <w:spacing w:before="0" w:beforeAutospacing="0" w:after="0" w:afterAutospacing="0"/>
        <w:ind w:firstLine="640" w:firstLineChars="200"/>
        <w:jc w:val="both"/>
        <w:rPr>
          <w:rFonts w:ascii="Times New Roman" w:hAnsi="Times New Roman" w:cs="Times New Roman"/>
          <w:color w:val="auto"/>
        </w:rPr>
      </w:pPr>
      <w:r>
        <w:rPr>
          <w:rFonts w:ascii="Times New Roman" w:hAnsi="Times New Roman" w:eastAsia="方正仿宋_GBK" w:cs="Times New Roman"/>
          <w:color w:val="auto"/>
          <w:sz w:val="32"/>
          <w:szCs w:val="32"/>
        </w:rPr>
        <w:t>2022年，红塔区主要秸秆利用企业有七家，其中，原料化主要利用企业为玉溪市祺晟草业科技发展有限公司，利用秸秆16650吨；饲料化主要利用企业为云南事合旺牧业发展有限公司利用秸秆1000吨，倩枫养殖有限公司利用秸秆1340吨，玉溪高鲁山牧业有限公司利用秸秆500吨；玉溪高原红种牛肉牛养殖基地利用秸秆2700吨；燃料化利用主要企业为玉溪万德能源技术有限公司利用秸秆267吨；肥料化主要利用企业为云南太疆生物科技有限公司，利用秸秆40吨，如图5所示。</w:t>
      </w:r>
    </w:p>
    <w:p>
      <w:pPr>
        <w:pStyle w:val="9"/>
        <w:widowControl w:val="0"/>
        <w:spacing w:before="0" w:beforeAutospacing="0" w:after="0" w:afterAutospacing="0"/>
        <w:ind w:firstLine="48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704080" cy="3003550"/>
            <wp:effectExtent l="0" t="0" r="5080" b="1397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8"/>
                    <a:srcRect l="4661" t="8687"/>
                    <a:stretch>
                      <a:fillRect/>
                    </a:stretch>
                  </pic:blipFill>
                  <pic:spPr>
                    <a:xfrm>
                      <a:off x="0" y="0"/>
                      <a:ext cx="4704080" cy="3003550"/>
                    </a:xfrm>
                    <a:prstGeom prst="rect">
                      <a:avLst/>
                    </a:prstGeom>
                    <a:noFill/>
                    <a:ln>
                      <a:noFill/>
                    </a:ln>
                  </pic:spPr>
                </pic:pic>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图5  2022年玉溪市红塔区主要企业农作物秸秆利用情况（单位：吨）</w:t>
      </w:r>
    </w:p>
    <w:bookmarkEnd w:id="113"/>
    <w:bookmarkEnd w:id="114"/>
    <w:bookmarkEnd w:id="115"/>
    <w:p>
      <w:pPr>
        <w:tabs>
          <w:tab w:val="left" w:pos="3103"/>
        </w:tabs>
        <w:spacing w:before="156" w:beforeLines="50" w:after="156" w:afterLines="50"/>
        <w:jc w:val="left"/>
        <w:rPr>
          <w:rFonts w:eastAsia="方正黑体_GBK"/>
          <w:color w:val="auto"/>
          <w:sz w:val="32"/>
          <w:szCs w:val="32"/>
        </w:rPr>
      </w:pPr>
      <w:bookmarkStart w:id="116" w:name="_Toc18840"/>
      <w:bookmarkStart w:id="117" w:name="_Toc9708"/>
      <w:bookmarkStart w:id="118" w:name="_Toc27270"/>
      <w:bookmarkStart w:id="119" w:name="_Toc12654"/>
      <w:bookmarkStart w:id="120" w:name="_Toc18783"/>
      <w:bookmarkStart w:id="121" w:name="_Toc31255"/>
      <w:r>
        <w:rPr>
          <w:rFonts w:eastAsia="方正黑体_GBK"/>
          <w:color w:val="auto"/>
          <w:sz w:val="32"/>
          <w:szCs w:val="32"/>
        </w:rPr>
        <w:t>二、项目建设思路和任务目标</w:t>
      </w:r>
      <w:bookmarkEnd w:id="116"/>
      <w:bookmarkEnd w:id="117"/>
      <w:bookmarkEnd w:id="118"/>
      <w:bookmarkEnd w:id="119"/>
      <w:bookmarkEnd w:id="120"/>
    </w:p>
    <w:p>
      <w:pPr>
        <w:spacing w:before="120" w:after="120"/>
        <w:ind w:firstLine="643" w:firstLineChars="200"/>
        <w:rPr>
          <w:rFonts w:eastAsia="方正楷体_GBK"/>
          <w:b/>
          <w:bCs/>
          <w:color w:val="auto"/>
          <w:sz w:val="32"/>
          <w:szCs w:val="32"/>
        </w:rPr>
      </w:pPr>
      <w:bookmarkStart w:id="122" w:name="_Toc27279"/>
      <w:bookmarkStart w:id="123" w:name="_Toc32066"/>
      <w:bookmarkStart w:id="124" w:name="_Toc917"/>
      <w:bookmarkStart w:id="125" w:name="_Toc13826"/>
      <w:bookmarkStart w:id="126" w:name="_Toc2311"/>
      <w:r>
        <w:rPr>
          <w:rFonts w:eastAsia="方正楷体_GBK"/>
          <w:b/>
          <w:bCs/>
          <w:color w:val="auto"/>
          <w:sz w:val="32"/>
          <w:szCs w:val="32"/>
        </w:rPr>
        <w:t>（一）指导思想</w:t>
      </w:r>
      <w:bookmarkEnd w:id="122"/>
      <w:bookmarkEnd w:id="123"/>
      <w:bookmarkEnd w:id="124"/>
      <w:bookmarkEnd w:id="125"/>
      <w:bookmarkEnd w:id="126"/>
      <w:bookmarkStart w:id="127" w:name="_Toc30293"/>
    </w:p>
    <w:p>
      <w:pPr>
        <w:spacing w:line="550" w:lineRule="exact"/>
        <w:ind w:firstLine="640" w:firstLineChars="200"/>
        <w:rPr>
          <w:rFonts w:eastAsia="方正仿宋_GBK"/>
          <w:color w:val="auto"/>
          <w:kern w:val="0"/>
          <w:sz w:val="32"/>
          <w:szCs w:val="32"/>
        </w:rPr>
      </w:pPr>
      <w:bookmarkStart w:id="128" w:name="_Toc24860"/>
      <w:bookmarkStart w:id="129" w:name="_Toc28009"/>
      <w:r>
        <w:rPr>
          <w:rFonts w:eastAsia="方正仿宋_GBK"/>
          <w:color w:val="auto"/>
          <w:kern w:val="0"/>
          <w:sz w:val="32"/>
          <w:szCs w:val="32"/>
        </w:rPr>
        <w:t>以习近平新时代中国特色社会主义思想为指导，深入贯彻党的二十大精神，全面落实省第十二次党代会精神，以推动农业绿色高质量发展为目标，坚持秸秆农用为主，以技术创新为动力，以产业化发展为方向，以制度建设为保障，全面实施秸秆综合利用行动，优化产业布局，持续推进秸秆肥料化、饲料化、燃料化和原料化利用，不断提高秸秆综合利用水平，持续改善农业农村环境，加快农业绿色低碳发展，着力促进美丽宜居乡村建设和农业现代化发展，打造高值化产业链，探索持续性收储运体系，带动农民增收，助推资源节约型、环境友好型社会建设，助力乡村振兴。</w:t>
      </w:r>
    </w:p>
    <w:p>
      <w:pPr>
        <w:spacing w:before="120" w:after="120"/>
        <w:ind w:firstLine="643" w:firstLineChars="200"/>
        <w:rPr>
          <w:rFonts w:eastAsia="方正楷体_GBK"/>
          <w:b/>
          <w:bCs/>
          <w:color w:val="auto"/>
          <w:sz w:val="32"/>
          <w:szCs w:val="32"/>
        </w:rPr>
      </w:pPr>
      <w:bookmarkStart w:id="130" w:name="_Toc11597"/>
      <w:bookmarkStart w:id="131" w:name="_Toc32668_WPSOffice_Level3"/>
      <w:bookmarkStart w:id="132" w:name="_Toc5066"/>
      <w:bookmarkStart w:id="133" w:name="_Toc102947448"/>
      <w:bookmarkStart w:id="134" w:name="_Toc27168_WPSOffice_Level3"/>
      <w:bookmarkStart w:id="135" w:name="_Toc25049"/>
      <w:bookmarkStart w:id="136" w:name="_Toc8527"/>
      <w:bookmarkStart w:id="137" w:name="_Toc23498"/>
      <w:bookmarkStart w:id="138" w:name="_Toc26692"/>
      <w:bookmarkStart w:id="139" w:name="_Toc18619"/>
      <w:bookmarkStart w:id="140" w:name="_Toc19766"/>
      <w:bookmarkStart w:id="141" w:name="_Toc26650"/>
      <w:bookmarkStart w:id="142" w:name="_Toc18224"/>
      <w:r>
        <w:rPr>
          <w:rFonts w:eastAsia="方正楷体_GBK"/>
          <w:b/>
          <w:bCs/>
          <w:color w:val="auto"/>
          <w:sz w:val="32"/>
          <w:szCs w:val="32"/>
        </w:rPr>
        <w:t>（二）</w:t>
      </w:r>
      <w:bookmarkEnd w:id="130"/>
      <w:bookmarkEnd w:id="131"/>
      <w:bookmarkEnd w:id="132"/>
      <w:bookmarkEnd w:id="133"/>
      <w:bookmarkEnd w:id="134"/>
      <w:bookmarkEnd w:id="135"/>
      <w:r>
        <w:rPr>
          <w:rFonts w:eastAsia="方正楷体_GBK"/>
          <w:b/>
          <w:bCs/>
          <w:color w:val="auto"/>
          <w:sz w:val="32"/>
          <w:szCs w:val="32"/>
        </w:rPr>
        <w:t>项目编制依据</w:t>
      </w:r>
      <w:bookmarkEnd w:id="136"/>
      <w:bookmarkEnd w:id="137"/>
      <w:bookmarkEnd w:id="138"/>
      <w:bookmarkEnd w:id="139"/>
      <w:bookmarkEnd w:id="140"/>
      <w:bookmarkEnd w:id="141"/>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1.《中共中央国务院关于做好2023年全面推进乡村振兴重点工作的意见》（中发〔2023〕1号）；</w:t>
      </w:r>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2.《农业农村部关于落实党中央、国务院2023年全面推进乡村振兴重点工作部署的实施意见》（农发〔2023〕1号）</w:t>
      </w:r>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3.《农业农村部办公厅关于做好2023年农作物秸秆综合利用工作的通知》（农办科〔2023〕13号）；</w:t>
      </w:r>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4.云南农业农村厅关于印发《云南省</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十四五</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农作物秸秆综合利用实施方案的通知》（云农环〔2022〕4号）；</w:t>
      </w:r>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5.《云南省财政厅关于下达2023年中央农业生态资源保护资金（第二批）的通知》（云财农〔2023〕81号）;</w:t>
      </w:r>
    </w:p>
    <w:p>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6.《云南省农业农村厅办公室关于印发&lt;云南省2022年农作物秸秆综合利用工作实施方案&gt;的通知》（云农办环〔2023〕16号）</w:t>
      </w:r>
    </w:p>
    <w:p>
      <w:pPr>
        <w:ind w:firstLine="640" w:firstLineChars="200"/>
        <w:rPr>
          <w:rFonts w:eastAsia="方正仿宋_GBK"/>
          <w:color w:val="auto"/>
          <w:kern w:val="0"/>
          <w:sz w:val="32"/>
          <w:szCs w:val="32"/>
        </w:rPr>
      </w:pPr>
      <w:r>
        <w:rPr>
          <w:rFonts w:hint="eastAsia" w:eastAsia="方正仿宋_GBK"/>
          <w:color w:val="auto"/>
          <w:kern w:val="0"/>
          <w:sz w:val="32"/>
          <w:szCs w:val="32"/>
          <w:lang w:val="en-US" w:eastAsia="zh-CN"/>
        </w:rPr>
        <w:t>7</w:t>
      </w:r>
      <w:r>
        <w:rPr>
          <w:rFonts w:eastAsia="方正仿宋_GBK"/>
          <w:color w:val="auto"/>
          <w:kern w:val="0"/>
          <w:sz w:val="32"/>
          <w:szCs w:val="32"/>
        </w:rPr>
        <w:t>.</w:t>
      </w:r>
      <w:r>
        <w:rPr>
          <w:rFonts w:eastAsia="方正仿宋_GBK"/>
          <w:color w:val="auto"/>
          <w:sz w:val="32"/>
          <w:szCs w:val="32"/>
        </w:rPr>
        <w:t>《云南省财政厅关于提前下达2023年中央农业资源及生态保护补助资金的通知》（云财农〔2022〕280号）</w:t>
      </w:r>
      <w:r>
        <w:rPr>
          <w:rFonts w:eastAsia="方正仿宋_GBK"/>
          <w:color w:val="auto"/>
          <w:kern w:val="0"/>
          <w:sz w:val="32"/>
          <w:szCs w:val="32"/>
        </w:rPr>
        <w:t>；</w:t>
      </w:r>
    </w:p>
    <w:p>
      <w:pPr>
        <w:pStyle w:val="5"/>
        <w:ind w:firstLine="640"/>
        <w:rPr>
          <w:rFonts w:eastAsia="方正仿宋_GBK"/>
          <w:color w:val="auto"/>
        </w:rPr>
      </w:pPr>
      <w:r>
        <w:rPr>
          <w:rFonts w:hint="eastAsia" w:eastAsia="方正仿宋_GBK"/>
          <w:color w:val="auto"/>
          <w:kern w:val="0"/>
          <w:sz w:val="32"/>
          <w:szCs w:val="32"/>
          <w:lang w:val="en-US" w:eastAsia="zh-CN"/>
        </w:rPr>
        <w:t>8</w:t>
      </w:r>
      <w:r>
        <w:rPr>
          <w:rFonts w:eastAsia="方正仿宋_GBK"/>
          <w:color w:val="auto"/>
          <w:kern w:val="0"/>
          <w:sz w:val="32"/>
          <w:szCs w:val="32"/>
        </w:rPr>
        <w:t>.《玉溪市农业农村局关于印发2022年全市农业农村工作要点的通知》（玉农发〔2022〕1号）。</w:t>
      </w:r>
    </w:p>
    <w:p>
      <w:pPr>
        <w:spacing w:before="120" w:after="120"/>
        <w:ind w:firstLine="643" w:firstLineChars="200"/>
        <w:rPr>
          <w:rFonts w:eastAsia="方正楷体_GBK"/>
          <w:b/>
          <w:bCs/>
          <w:color w:val="auto"/>
          <w:sz w:val="32"/>
          <w:szCs w:val="32"/>
        </w:rPr>
      </w:pPr>
      <w:bookmarkStart w:id="143" w:name="_Toc32509"/>
      <w:r>
        <w:rPr>
          <w:rFonts w:eastAsia="方正楷体_GBK"/>
          <w:b/>
          <w:bCs/>
          <w:color w:val="auto"/>
          <w:sz w:val="32"/>
          <w:szCs w:val="32"/>
        </w:rPr>
        <w:t>（三）基本原则</w:t>
      </w:r>
      <w:bookmarkEnd w:id="127"/>
      <w:bookmarkEnd w:id="128"/>
      <w:bookmarkEnd w:id="129"/>
      <w:bookmarkEnd w:id="142"/>
      <w:bookmarkEnd w:id="143"/>
    </w:p>
    <w:p>
      <w:pPr>
        <w:spacing w:line="550" w:lineRule="exact"/>
        <w:ind w:firstLine="643" w:firstLineChars="200"/>
        <w:rPr>
          <w:rFonts w:eastAsia="方正仿宋_GBK"/>
          <w:color w:val="auto"/>
          <w:kern w:val="0"/>
          <w:sz w:val="32"/>
          <w:szCs w:val="32"/>
        </w:rPr>
      </w:pPr>
      <w:r>
        <w:rPr>
          <w:rFonts w:eastAsia="方正仿宋_GBK"/>
          <w:b/>
          <w:bCs/>
          <w:color w:val="auto"/>
          <w:kern w:val="0"/>
          <w:sz w:val="32"/>
          <w:szCs w:val="32"/>
        </w:rPr>
        <w:t>1.机制完善，高效运行。</w:t>
      </w:r>
      <w:r>
        <w:rPr>
          <w:rFonts w:eastAsia="方正仿宋_GBK"/>
          <w:color w:val="auto"/>
          <w:kern w:val="0"/>
          <w:sz w:val="32"/>
          <w:szCs w:val="32"/>
        </w:rPr>
        <w:t>方案应充分体现出机制健全与完善的理念，将秸秆资源化利用工作建立成长期、稳定、高效的运行机制。</w:t>
      </w:r>
    </w:p>
    <w:p>
      <w:pPr>
        <w:spacing w:line="550" w:lineRule="exact"/>
        <w:ind w:firstLine="643" w:firstLineChars="200"/>
        <w:rPr>
          <w:rFonts w:eastAsia="方正仿宋_GBK"/>
          <w:color w:val="auto"/>
          <w:kern w:val="0"/>
          <w:sz w:val="32"/>
          <w:szCs w:val="32"/>
        </w:rPr>
      </w:pPr>
      <w:r>
        <w:rPr>
          <w:rFonts w:eastAsia="方正仿宋_GBK"/>
          <w:b/>
          <w:bCs/>
          <w:color w:val="auto"/>
          <w:kern w:val="0"/>
          <w:sz w:val="32"/>
          <w:szCs w:val="32"/>
        </w:rPr>
        <w:t>2.生态优先，因地制宜。</w:t>
      </w:r>
      <w:r>
        <w:rPr>
          <w:rFonts w:eastAsia="方正仿宋_GBK"/>
          <w:color w:val="auto"/>
          <w:kern w:val="0"/>
          <w:sz w:val="32"/>
          <w:szCs w:val="32"/>
        </w:rPr>
        <w:t>方案需结合红塔区地方实际和产业特色，推动秸秆综合利用规模化建设和实施，形成独特的</w:t>
      </w:r>
      <w:r>
        <w:rPr>
          <w:rFonts w:hint="eastAsia" w:eastAsia="方正仿宋_GBK"/>
          <w:color w:val="auto"/>
          <w:kern w:val="0"/>
          <w:sz w:val="32"/>
          <w:szCs w:val="32"/>
        </w:rPr>
        <w:t>“</w:t>
      </w:r>
      <w:r>
        <w:rPr>
          <w:rFonts w:eastAsia="方正仿宋_GBK"/>
          <w:color w:val="auto"/>
          <w:kern w:val="0"/>
          <w:sz w:val="32"/>
          <w:szCs w:val="32"/>
        </w:rPr>
        <w:t>红塔方案</w:t>
      </w:r>
      <w:r>
        <w:rPr>
          <w:rFonts w:hint="eastAsia" w:eastAsia="方正仿宋_GBK"/>
          <w:color w:val="auto"/>
          <w:kern w:val="0"/>
          <w:sz w:val="32"/>
          <w:szCs w:val="32"/>
        </w:rPr>
        <w:t>”</w:t>
      </w:r>
      <w:r>
        <w:rPr>
          <w:rFonts w:eastAsia="方正仿宋_GBK"/>
          <w:color w:val="auto"/>
          <w:kern w:val="0"/>
          <w:sz w:val="32"/>
          <w:szCs w:val="32"/>
        </w:rPr>
        <w:t>。</w:t>
      </w:r>
    </w:p>
    <w:p>
      <w:pPr>
        <w:spacing w:line="550" w:lineRule="exact"/>
        <w:ind w:firstLine="643" w:firstLineChars="200"/>
        <w:rPr>
          <w:rFonts w:eastAsia="方正仿宋_GBK"/>
          <w:color w:val="auto"/>
          <w:kern w:val="0"/>
          <w:sz w:val="32"/>
          <w:szCs w:val="32"/>
        </w:rPr>
      </w:pPr>
      <w:r>
        <w:rPr>
          <w:rFonts w:eastAsia="方正仿宋_GBK"/>
          <w:b/>
          <w:bCs/>
          <w:color w:val="auto"/>
          <w:kern w:val="0"/>
          <w:sz w:val="32"/>
          <w:szCs w:val="32"/>
        </w:rPr>
        <w:t>3.依托主体，产业驱动。</w:t>
      </w:r>
      <w:r>
        <w:rPr>
          <w:rFonts w:eastAsia="方正仿宋_GBK"/>
          <w:color w:val="auto"/>
          <w:kern w:val="0"/>
          <w:sz w:val="32"/>
          <w:szCs w:val="32"/>
        </w:rPr>
        <w:t>充分利用企业主体带动作用，以政府主导、企业主体带动，规划不同的秸秆收储运区域，共同推进。</w:t>
      </w:r>
    </w:p>
    <w:p>
      <w:pPr>
        <w:spacing w:line="550" w:lineRule="exact"/>
        <w:ind w:firstLine="643" w:firstLineChars="200"/>
        <w:rPr>
          <w:rFonts w:eastAsia="方正仿宋_GBK"/>
          <w:color w:val="auto"/>
          <w:kern w:val="0"/>
          <w:sz w:val="32"/>
          <w:szCs w:val="32"/>
        </w:rPr>
      </w:pPr>
      <w:r>
        <w:rPr>
          <w:rFonts w:eastAsia="方正仿宋_GBK"/>
          <w:b/>
          <w:bCs/>
          <w:color w:val="auto"/>
          <w:kern w:val="0"/>
          <w:sz w:val="32"/>
          <w:szCs w:val="32"/>
        </w:rPr>
        <w:t>4.多元利用，优化配置</w:t>
      </w:r>
      <w:r>
        <w:rPr>
          <w:rFonts w:eastAsia="方正仿宋_GBK"/>
          <w:color w:val="auto"/>
          <w:kern w:val="0"/>
          <w:sz w:val="32"/>
          <w:szCs w:val="32"/>
        </w:rPr>
        <w:t>。当前区域内肥料化、燃料化利用、原料化利用具有发展空间，相关企业发展水平不饱和，收储运体系建立迫切需要，完善体系建设。促进多元化利用，优化秸秆综合利用配置。</w:t>
      </w:r>
    </w:p>
    <w:p>
      <w:pPr>
        <w:spacing w:line="550" w:lineRule="exact"/>
        <w:ind w:firstLine="643" w:firstLineChars="200"/>
        <w:rPr>
          <w:rFonts w:eastAsia="方正仿宋_GBK"/>
          <w:color w:val="auto"/>
          <w:kern w:val="0"/>
          <w:sz w:val="32"/>
          <w:szCs w:val="32"/>
        </w:rPr>
      </w:pPr>
      <w:r>
        <w:rPr>
          <w:rFonts w:eastAsia="方正仿宋_GBK"/>
          <w:b/>
          <w:bCs/>
          <w:color w:val="auto"/>
          <w:kern w:val="0"/>
          <w:sz w:val="32"/>
          <w:szCs w:val="32"/>
        </w:rPr>
        <w:t>5.方案引领，科技支撑。</w:t>
      </w:r>
      <w:r>
        <w:rPr>
          <w:rFonts w:eastAsia="方正仿宋_GBK"/>
          <w:color w:val="auto"/>
          <w:kern w:val="0"/>
          <w:sz w:val="32"/>
          <w:szCs w:val="32"/>
        </w:rPr>
        <w:t>充分发挥实施方案的引领作用，加入科学研究支撑，提升秸秆资源化和高值化利用水平，提出具有竞争力的特色方案，打造省级示范。</w:t>
      </w:r>
    </w:p>
    <w:bookmarkEnd w:id="121"/>
    <w:p>
      <w:pPr>
        <w:spacing w:before="120" w:after="120"/>
        <w:ind w:firstLine="643" w:firstLineChars="200"/>
        <w:rPr>
          <w:rFonts w:eastAsia="方正楷体_GBK"/>
          <w:b/>
          <w:bCs/>
          <w:color w:val="auto"/>
          <w:sz w:val="32"/>
          <w:szCs w:val="32"/>
        </w:rPr>
      </w:pPr>
      <w:bookmarkStart w:id="144" w:name="_Toc29493"/>
      <w:bookmarkStart w:id="145" w:name="_Toc9476"/>
      <w:bookmarkStart w:id="146" w:name="_Toc3829"/>
      <w:bookmarkStart w:id="147" w:name="_Toc12949"/>
      <w:bookmarkStart w:id="148" w:name="_Toc22242"/>
      <w:bookmarkStart w:id="149" w:name="_Toc21467"/>
      <w:r>
        <w:rPr>
          <w:rFonts w:eastAsia="方正楷体_GBK"/>
          <w:b/>
          <w:bCs/>
          <w:color w:val="auto"/>
          <w:sz w:val="32"/>
          <w:szCs w:val="32"/>
        </w:rPr>
        <w:t>（四）任务目标</w:t>
      </w:r>
      <w:bookmarkEnd w:id="144"/>
      <w:bookmarkEnd w:id="145"/>
      <w:bookmarkEnd w:id="146"/>
      <w:bookmarkEnd w:id="147"/>
      <w:bookmarkEnd w:id="148"/>
    </w:p>
    <w:p>
      <w:pPr>
        <w:ind w:firstLine="640" w:firstLineChars="200"/>
        <w:rPr>
          <w:rFonts w:eastAsia="方正仿宋_GBK"/>
          <w:color w:val="auto"/>
          <w:sz w:val="32"/>
          <w:szCs w:val="32"/>
        </w:rPr>
      </w:pPr>
      <w:r>
        <w:rPr>
          <w:rFonts w:eastAsia="方正仿宋_GBK"/>
          <w:color w:val="auto"/>
          <w:sz w:val="32"/>
          <w:szCs w:val="32"/>
        </w:rPr>
        <w:t>1.</w:t>
      </w:r>
      <w:r>
        <w:rPr>
          <w:rFonts w:hint="eastAsia" w:eastAsia="方正仿宋_GBK"/>
          <w:color w:val="auto"/>
          <w:sz w:val="32"/>
          <w:szCs w:val="32"/>
        </w:rPr>
        <w:t>在全区</w:t>
      </w:r>
      <w:r>
        <w:rPr>
          <w:rFonts w:hint="eastAsia" w:eastAsia="方正仿宋_GBK"/>
          <w:color w:val="auto"/>
          <w:sz w:val="32"/>
          <w:szCs w:val="32"/>
          <w:lang w:val="en-US" w:eastAsia="zh-CN"/>
        </w:rPr>
        <w:t>11</w:t>
      </w:r>
      <w:r>
        <w:rPr>
          <w:rFonts w:hint="eastAsia" w:eastAsia="方正仿宋_GBK"/>
          <w:color w:val="auto"/>
          <w:sz w:val="32"/>
          <w:szCs w:val="32"/>
        </w:rPr>
        <w:t>个乡（街道）和所属重点村（社区）完善</w:t>
      </w:r>
      <w:r>
        <w:rPr>
          <w:rFonts w:hint="eastAsia" w:eastAsia="方正仿宋_GBK"/>
          <w:color w:val="auto"/>
          <w:sz w:val="32"/>
          <w:szCs w:val="32"/>
          <w:lang w:val="en-US" w:eastAsia="zh-CN"/>
        </w:rPr>
        <w:t>主要和特色</w:t>
      </w:r>
      <w:r>
        <w:rPr>
          <w:rFonts w:hint="eastAsia" w:eastAsia="方正仿宋_GBK"/>
          <w:color w:val="auto"/>
          <w:sz w:val="32"/>
          <w:szCs w:val="32"/>
        </w:rPr>
        <w:t>农作物秸秆综合利用收储运体系，建设</w:t>
      </w:r>
      <w:r>
        <w:rPr>
          <w:rFonts w:hint="eastAsia" w:eastAsia="方正仿宋_GBK"/>
          <w:color w:val="auto"/>
          <w:sz w:val="32"/>
          <w:szCs w:val="32"/>
          <w:lang w:val="en-US" w:eastAsia="zh-CN"/>
        </w:rPr>
        <w:t>多</w:t>
      </w:r>
      <w:r>
        <w:rPr>
          <w:rFonts w:hint="eastAsia" w:eastAsia="方正仿宋_GBK"/>
          <w:color w:val="auto"/>
          <w:sz w:val="32"/>
          <w:szCs w:val="32"/>
        </w:rPr>
        <w:t>个临时收储点，其中重点支持建设的示范收储点</w:t>
      </w:r>
      <w:r>
        <w:rPr>
          <w:rFonts w:hint="eastAsia" w:eastAsia="方正仿宋_GBK"/>
          <w:color w:val="auto"/>
          <w:sz w:val="32"/>
          <w:szCs w:val="32"/>
          <w:lang w:val="en-US" w:eastAsia="zh-CN"/>
        </w:rPr>
        <w:t>不少于5</w:t>
      </w:r>
      <w:r>
        <w:rPr>
          <w:rFonts w:hint="eastAsia" w:eastAsia="方正仿宋_GBK"/>
          <w:color w:val="auto"/>
          <w:sz w:val="32"/>
          <w:szCs w:val="32"/>
        </w:rPr>
        <w:t>个，形成“1+1+X”收储运模式，逐步完善红塔区农作物秸秆网格化管理体系。</w:t>
      </w:r>
    </w:p>
    <w:p>
      <w:pPr>
        <w:ind w:firstLine="640" w:firstLineChars="200"/>
        <w:rPr>
          <w:rFonts w:hint="eastAsia" w:eastAsia="方正仿宋_GBK"/>
          <w:color w:val="auto"/>
          <w:sz w:val="32"/>
          <w:szCs w:val="32"/>
          <w:lang w:val="en-US" w:eastAsia="zh-CN"/>
        </w:rPr>
      </w:pPr>
      <w:r>
        <w:rPr>
          <w:rFonts w:eastAsia="方正仿宋_GBK"/>
          <w:color w:val="auto"/>
          <w:sz w:val="32"/>
          <w:szCs w:val="32"/>
        </w:rPr>
        <w:t>2.</w:t>
      </w:r>
      <w:r>
        <w:rPr>
          <w:rFonts w:hint="eastAsia" w:eastAsia="方正仿宋_GBK"/>
          <w:color w:val="auto"/>
          <w:sz w:val="32"/>
          <w:szCs w:val="32"/>
        </w:rPr>
        <w:t>在建立“1+1+X”收储运模式的基础上，开展农作物秸秆腐熟还田肥料化利用（主要针对边远村零散农作物种植区域）；</w:t>
      </w:r>
      <w:r>
        <w:rPr>
          <w:rFonts w:hint="eastAsia" w:eastAsia="方正仿宋_GBK"/>
          <w:color w:val="auto"/>
          <w:sz w:val="32"/>
          <w:szCs w:val="32"/>
          <w:lang w:val="en-US" w:eastAsia="zh-CN"/>
        </w:rPr>
        <w:t>以沃土模式为重点，开展秸秆多元化利用，通过直接还田（≥120户）、过腹还田（≥3户）、有机肥加工后还田（≥1户）为主要措施，辅以颗粒燃料化、花卉蔬菜基料化、工业辅助产品原料化加工（每种应用主体≥1户），实现主要和特色</w:t>
      </w:r>
      <w:r>
        <w:rPr>
          <w:rFonts w:hint="eastAsia" w:eastAsia="方正仿宋_GBK"/>
          <w:color w:val="auto"/>
          <w:sz w:val="32"/>
          <w:szCs w:val="32"/>
        </w:rPr>
        <w:t>农作物秸秆</w:t>
      </w:r>
      <w:r>
        <w:rPr>
          <w:rFonts w:hint="eastAsia" w:eastAsia="方正仿宋_GBK"/>
          <w:color w:val="auto"/>
          <w:sz w:val="32"/>
          <w:szCs w:val="32"/>
          <w:lang w:val="en-US" w:eastAsia="zh-CN"/>
        </w:rPr>
        <w:t>高值化利用。</w:t>
      </w:r>
    </w:p>
    <w:p>
      <w:pPr>
        <w:ind w:firstLine="640" w:firstLineChars="200"/>
        <w:rPr>
          <w:rFonts w:hint="eastAsia" w:eastAsia="方正仿宋_GBK"/>
          <w:bCs/>
          <w:color w:val="auto"/>
          <w:sz w:val="32"/>
          <w:szCs w:val="32"/>
        </w:rPr>
      </w:pPr>
      <w:r>
        <w:rPr>
          <w:rFonts w:hint="eastAsia" w:eastAsia="方正仿宋_GBK"/>
          <w:color w:val="auto"/>
          <w:sz w:val="32"/>
          <w:szCs w:val="32"/>
          <w:lang w:val="en-US" w:eastAsia="zh-CN"/>
        </w:rPr>
        <w:t>3</w:t>
      </w:r>
      <w:r>
        <w:rPr>
          <w:rFonts w:eastAsia="方正仿宋_GBK"/>
          <w:color w:val="auto"/>
          <w:sz w:val="32"/>
          <w:szCs w:val="32"/>
        </w:rPr>
        <w:t>.</w:t>
      </w:r>
      <w:r>
        <w:rPr>
          <w:rFonts w:hint="eastAsia" w:eastAsia="方正仿宋_GBK"/>
          <w:color w:val="auto"/>
          <w:sz w:val="32"/>
          <w:szCs w:val="32"/>
        </w:rPr>
        <w:t>开展农作物秸秆综合利用技术研发、试验示范及科技成果转化</w:t>
      </w:r>
      <w:r>
        <w:rPr>
          <w:rFonts w:hint="eastAsia" w:eastAsia="方正仿宋_GBK"/>
          <w:color w:val="auto"/>
          <w:sz w:val="32"/>
          <w:szCs w:val="32"/>
          <w:lang w:eastAsia="zh-CN"/>
        </w:rPr>
        <w:t>。</w:t>
      </w:r>
      <w:r>
        <w:rPr>
          <w:rFonts w:hint="eastAsia" w:eastAsia="方正仿宋_GBK"/>
          <w:color w:val="auto"/>
          <w:sz w:val="32"/>
          <w:szCs w:val="32"/>
          <w:lang w:val="en-US" w:eastAsia="zh-CN"/>
        </w:rPr>
        <w:t>实施主要农作物草谷比测算以及</w:t>
      </w:r>
      <w:r>
        <w:rPr>
          <w:rFonts w:eastAsia="方正仿宋_GBK"/>
          <w:color w:val="auto"/>
          <w:sz w:val="32"/>
          <w:szCs w:val="32"/>
        </w:rPr>
        <w:t>还田</w:t>
      </w:r>
      <w:r>
        <w:rPr>
          <w:rFonts w:hint="eastAsia" w:eastAsia="方正仿宋_GBK"/>
          <w:color w:val="auto"/>
          <w:sz w:val="32"/>
          <w:szCs w:val="32"/>
          <w:lang w:val="en-US" w:eastAsia="zh-CN"/>
        </w:rPr>
        <w:t>效益</w:t>
      </w:r>
      <w:r>
        <w:rPr>
          <w:rFonts w:eastAsia="方正仿宋_GBK"/>
          <w:color w:val="auto"/>
          <w:sz w:val="32"/>
          <w:szCs w:val="32"/>
        </w:rPr>
        <w:t>监测</w:t>
      </w:r>
      <w:r>
        <w:rPr>
          <w:rFonts w:hint="eastAsia" w:eastAsia="方正仿宋_GBK"/>
          <w:color w:val="auto"/>
          <w:sz w:val="32"/>
          <w:szCs w:val="32"/>
          <w:lang w:eastAsia="zh-CN"/>
        </w:rPr>
        <w:t>，</w:t>
      </w:r>
      <w:r>
        <w:rPr>
          <w:rFonts w:hint="eastAsia" w:eastAsia="方正仿宋_GBK"/>
          <w:color w:val="auto"/>
          <w:sz w:val="32"/>
          <w:szCs w:val="32"/>
        </w:rPr>
        <w:t>完成烟秆高值燃料化</w:t>
      </w:r>
      <w:r>
        <w:rPr>
          <w:rFonts w:hint="eastAsia" w:eastAsia="方正仿宋_GBK"/>
          <w:color w:val="auto"/>
          <w:sz w:val="32"/>
          <w:szCs w:val="32"/>
          <w:lang w:val="en-US" w:eastAsia="zh-CN"/>
        </w:rPr>
        <w:t>和肥料化</w:t>
      </w:r>
      <w:r>
        <w:rPr>
          <w:rFonts w:hint="eastAsia" w:eastAsia="方正仿宋_GBK"/>
          <w:color w:val="auto"/>
          <w:sz w:val="32"/>
          <w:szCs w:val="32"/>
        </w:rPr>
        <w:t>关键技术研发及科技成果转化</w:t>
      </w:r>
      <w:r>
        <w:rPr>
          <w:rFonts w:hint="eastAsia" w:eastAsia="方正仿宋_GBK"/>
          <w:color w:val="auto"/>
          <w:sz w:val="32"/>
          <w:szCs w:val="32"/>
          <w:lang w:eastAsia="zh-CN"/>
        </w:rPr>
        <w:t>；</w:t>
      </w:r>
      <w:r>
        <w:rPr>
          <w:rFonts w:hint="eastAsia" w:eastAsia="方正仿宋_GBK"/>
          <w:color w:val="auto"/>
          <w:sz w:val="32"/>
          <w:szCs w:val="32"/>
        </w:rPr>
        <w:t>开展农作物秸秆综合</w:t>
      </w:r>
      <w:r>
        <w:rPr>
          <w:rFonts w:hint="eastAsia" w:eastAsia="方正仿宋_GBK"/>
          <w:bCs/>
          <w:color w:val="auto"/>
          <w:sz w:val="32"/>
          <w:szCs w:val="32"/>
        </w:rPr>
        <w:t>利用技术及农业面源污染防治宣传、培训。</w:t>
      </w:r>
    </w:p>
    <w:p>
      <w:pPr>
        <w:ind w:firstLine="640" w:firstLineChars="200"/>
        <w:rPr>
          <w:rFonts w:eastAsia="方正仿宋_GBK"/>
          <w:bCs/>
          <w:color w:val="auto"/>
          <w:sz w:val="32"/>
          <w:szCs w:val="32"/>
        </w:rPr>
      </w:pPr>
      <w:r>
        <w:rPr>
          <w:rFonts w:hint="eastAsia" w:eastAsia="方正仿宋_GBK"/>
          <w:bCs/>
          <w:color w:val="auto"/>
          <w:sz w:val="32"/>
          <w:szCs w:val="32"/>
        </w:rPr>
        <w:t>通过项目实施，提高红塔区农作物秸秆利用量。</w:t>
      </w:r>
      <w:r>
        <w:rPr>
          <w:rFonts w:hint="eastAsia" w:eastAsia="方正仿宋_GBK"/>
          <w:bCs/>
          <w:color w:val="auto"/>
          <w:sz w:val="32"/>
          <w:szCs w:val="32"/>
          <w:lang w:val="en-US" w:eastAsia="zh-CN"/>
        </w:rPr>
        <w:t>预计</w:t>
      </w:r>
      <w:r>
        <w:rPr>
          <w:rFonts w:hint="eastAsia" w:eastAsia="方正仿宋_GBK"/>
          <w:bCs/>
          <w:color w:val="auto"/>
          <w:sz w:val="32"/>
          <w:szCs w:val="32"/>
        </w:rPr>
        <w:t>完成肥料化利用29000吨，饲料化利用18000吨</w:t>
      </w:r>
      <w:r>
        <w:rPr>
          <w:rFonts w:hint="eastAsia" w:eastAsia="方正仿宋_GBK"/>
          <w:bCs/>
          <w:color w:val="auto"/>
          <w:sz w:val="32"/>
          <w:szCs w:val="32"/>
          <w:lang w:eastAsia="zh-CN"/>
        </w:rPr>
        <w:t>，</w:t>
      </w:r>
      <w:r>
        <w:rPr>
          <w:rFonts w:hint="eastAsia" w:eastAsia="方正仿宋_GBK"/>
          <w:bCs/>
          <w:color w:val="auto"/>
          <w:sz w:val="32"/>
          <w:szCs w:val="32"/>
        </w:rPr>
        <w:t>燃料化利用10000吨，原料化</w:t>
      </w:r>
      <w:r>
        <w:rPr>
          <w:rFonts w:hint="eastAsia" w:eastAsia="方正仿宋_GBK"/>
          <w:bCs/>
          <w:color w:val="auto"/>
          <w:sz w:val="32"/>
          <w:szCs w:val="32"/>
          <w:lang w:val="en-US" w:eastAsia="zh-CN"/>
        </w:rPr>
        <w:t>利用</w:t>
      </w:r>
      <w:r>
        <w:rPr>
          <w:rFonts w:hint="eastAsia" w:eastAsia="方正仿宋_GBK"/>
          <w:bCs/>
          <w:color w:val="auto"/>
          <w:sz w:val="32"/>
          <w:szCs w:val="32"/>
        </w:rPr>
        <w:t>23000吨（秸秆包含红塔区内以及周边</w:t>
      </w:r>
      <w:r>
        <w:rPr>
          <w:rFonts w:hint="eastAsia" w:eastAsia="方正仿宋_GBK"/>
          <w:bCs/>
          <w:color w:val="auto"/>
          <w:sz w:val="32"/>
          <w:szCs w:val="32"/>
          <w:lang w:val="en-US" w:eastAsia="zh-CN"/>
        </w:rPr>
        <w:t>区域</w:t>
      </w:r>
      <w:r>
        <w:rPr>
          <w:rFonts w:hint="eastAsia" w:eastAsia="方正仿宋_GBK"/>
          <w:bCs/>
          <w:color w:val="auto"/>
          <w:sz w:val="32"/>
          <w:szCs w:val="32"/>
        </w:rPr>
        <w:t>农作物秸秆），实现全区秸秆综合利用率超92%。同时，形成可复制推广的农作物秸秆综合利用示范——“红塔样板”，获</w:t>
      </w:r>
      <w:r>
        <w:rPr>
          <w:rFonts w:hint="eastAsia" w:eastAsia="方正仿宋_GBK"/>
          <w:bCs/>
          <w:color w:val="auto"/>
          <w:sz w:val="32"/>
          <w:szCs w:val="32"/>
          <w:lang w:val="en-US" w:eastAsia="zh-CN"/>
        </w:rPr>
        <w:t>1-3</w:t>
      </w:r>
      <w:r>
        <w:rPr>
          <w:rFonts w:hint="eastAsia" w:eastAsia="方正仿宋_GBK"/>
          <w:bCs/>
          <w:color w:val="auto"/>
          <w:sz w:val="32"/>
          <w:szCs w:val="32"/>
        </w:rPr>
        <w:t>项成果</w:t>
      </w:r>
      <w:r>
        <w:rPr>
          <w:rFonts w:hint="eastAsia" w:eastAsia="方正仿宋_GBK"/>
          <w:bCs/>
          <w:color w:val="auto"/>
          <w:sz w:val="32"/>
          <w:szCs w:val="32"/>
          <w:lang w:eastAsia="zh-CN"/>
        </w:rPr>
        <w:t>（</w:t>
      </w:r>
      <w:r>
        <w:rPr>
          <w:rFonts w:hint="eastAsia" w:eastAsia="方正仿宋_GBK"/>
          <w:bCs/>
          <w:color w:val="auto"/>
          <w:sz w:val="32"/>
          <w:szCs w:val="32"/>
          <w:lang w:val="en-US" w:eastAsia="zh-CN"/>
        </w:rPr>
        <w:t>奖励</w:t>
      </w:r>
      <w:r>
        <w:rPr>
          <w:rFonts w:hint="eastAsia" w:eastAsia="方正仿宋_GBK"/>
          <w:bCs/>
          <w:color w:val="auto"/>
          <w:sz w:val="32"/>
          <w:szCs w:val="32"/>
          <w:lang w:eastAsia="zh-CN"/>
        </w:rPr>
        <w:t>）</w:t>
      </w:r>
      <w:r>
        <w:rPr>
          <w:rFonts w:hint="eastAsia" w:eastAsia="方正仿宋_GBK"/>
          <w:bCs/>
          <w:color w:val="auto"/>
          <w:sz w:val="32"/>
          <w:szCs w:val="32"/>
        </w:rPr>
        <w:t>。</w:t>
      </w:r>
    </w:p>
    <w:p>
      <w:pPr>
        <w:tabs>
          <w:tab w:val="left" w:pos="3103"/>
        </w:tabs>
        <w:spacing w:before="156" w:beforeLines="50" w:after="156" w:afterLines="50"/>
        <w:jc w:val="left"/>
        <w:rPr>
          <w:rFonts w:eastAsia="方正黑体_GBK"/>
          <w:color w:val="auto"/>
          <w:sz w:val="32"/>
          <w:szCs w:val="32"/>
        </w:rPr>
      </w:pPr>
      <w:bookmarkStart w:id="150" w:name="_Toc30096"/>
      <w:bookmarkStart w:id="151" w:name="_Toc26378"/>
      <w:r>
        <w:rPr>
          <w:rFonts w:eastAsia="方正黑体_GBK"/>
          <w:color w:val="auto"/>
          <w:sz w:val="32"/>
          <w:szCs w:val="32"/>
        </w:rPr>
        <w:t>三、项目建设单位概况</w:t>
      </w:r>
      <w:bookmarkEnd w:id="150"/>
      <w:bookmarkEnd w:id="151"/>
    </w:p>
    <w:p>
      <w:pPr>
        <w:spacing w:before="120" w:after="120"/>
        <w:ind w:firstLine="643" w:firstLineChars="200"/>
        <w:rPr>
          <w:rFonts w:eastAsia="方正楷体_GBK"/>
          <w:b/>
          <w:bCs/>
          <w:color w:val="auto"/>
          <w:sz w:val="32"/>
          <w:szCs w:val="32"/>
        </w:rPr>
      </w:pPr>
      <w:bookmarkStart w:id="152" w:name="_Toc18018"/>
      <w:bookmarkStart w:id="153" w:name="_Toc7648"/>
      <w:bookmarkStart w:id="154" w:name="_Toc431"/>
      <w:bookmarkStart w:id="155" w:name="_Toc10876"/>
      <w:bookmarkStart w:id="156" w:name="_Toc20379"/>
      <w:bookmarkStart w:id="157" w:name="_Toc31287"/>
      <w:bookmarkStart w:id="158" w:name="_Toc14062"/>
      <w:bookmarkStart w:id="159" w:name="_Toc16947"/>
      <w:bookmarkStart w:id="160" w:name="_Toc30952"/>
      <w:bookmarkStart w:id="161" w:name="_Toc4322"/>
      <w:bookmarkStart w:id="162" w:name="_Toc9027"/>
      <w:bookmarkStart w:id="163" w:name="_Toc18589"/>
      <w:bookmarkStart w:id="164" w:name="_Toc12885"/>
      <w:bookmarkStart w:id="165" w:name="_Toc12079"/>
      <w:bookmarkStart w:id="166" w:name="_Toc1936"/>
      <w:r>
        <w:rPr>
          <w:rFonts w:eastAsia="方正楷体_GBK"/>
          <w:b/>
          <w:bCs/>
          <w:color w:val="auto"/>
          <w:sz w:val="32"/>
          <w:szCs w:val="32"/>
        </w:rPr>
        <w:t>（一）项目管理单位基本情况</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ind w:firstLine="640" w:firstLineChars="200"/>
        <w:rPr>
          <w:rFonts w:eastAsia="方正仿宋_GBK"/>
          <w:color w:val="auto"/>
          <w:kern w:val="0"/>
          <w:sz w:val="32"/>
          <w:szCs w:val="32"/>
        </w:rPr>
      </w:pPr>
      <w:r>
        <w:rPr>
          <w:rFonts w:eastAsia="方正仿宋_GBK"/>
          <w:bCs/>
          <w:color w:val="auto"/>
          <w:sz w:val="32"/>
          <w:szCs w:val="32"/>
        </w:rPr>
        <w:t>项目</w:t>
      </w:r>
      <w:r>
        <w:rPr>
          <w:rFonts w:hint="eastAsia" w:eastAsia="方正仿宋_GBK"/>
          <w:bCs/>
          <w:color w:val="auto"/>
          <w:sz w:val="32"/>
          <w:szCs w:val="32"/>
          <w:lang w:val="en-US" w:eastAsia="zh-CN"/>
        </w:rPr>
        <w:t>实施</w:t>
      </w:r>
      <w:r>
        <w:rPr>
          <w:rFonts w:eastAsia="方正仿宋_GBK"/>
          <w:bCs/>
          <w:color w:val="auto"/>
          <w:sz w:val="32"/>
          <w:szCs w:val="32"/>
        </w:rPr>
        <w:t>单位为玉溪市红塔区农业农村局，现有下辖7个事业单位（区农业农村综合开发服务中心、区种植发展服务中心、区畜牧渔业发展服务中心、区动物卫生监督所、区农村改革与经济管理服务中心、区农产品质量安全检测站、区农村综合执法大队（玉溪市红塔区农业机械监督管理站））。事业编制130人，实有120人，其中专业技术人员109人（正高15人，副高44人，中级36人，初级12人、未定级3人），工勤人员10人（技师1人，高工9人）。</w:t>
      </w:r>
      <w:r>
        <w:rPr>
          <w:rFonts w:eastAsia="方正仿宋_GBK"/>
          <w:color w:val="auto"/>
          <w:kern w:val="0"/>
          <w:sz w:val="32"/>
          <w:szCs w:val="32"/>
        </w:rPr>
        <w:t>主要职责为</w:t>
      </w:r>
      <w:r>
        <w:rPr>
          <w:rFonts w:eastAsia="方正仿宋_GBK"/>
          <w:bCs/>
          <w:color w:val="auto"/>
          <w:sz w:val="32"/>
          <w:szCs w:val="32"/>
        </w:rPr>
        <w:t>负责统筹实施乡村振兴战略，深化农业供给侧结构性改革，提升农业发展质量，扎实推进美丽乡村建设，推动农业全面升级、农村全面进步、农民全面发展，加快实现农业农村现代化</w:t>
      </w:r>
      <w:r>
        <w:rPr>
          <w:rFonts w:eastAsia="方正仿宋_GBK"/>
          <w:color w:val="auto"/>
          <w:kern w:val="0"/>
          <w:sz w:val="32"/>
          <w:szCs w:val="32"/>
        </w:rPr>
        <w:t>等16个方面职能。区委农村工作领导小组办公室、区防治重大动物疫病防控指挥办公室、区农村人居环境整治领导小组办公室等重要议事机构均设立在区农业农村局。</w:t>
      </w:r>
    </w:p>
    <w:p>
      <w:pPr>
        <w:ind w:firstLine="640" w:firstLineChars="200"/>
        <w:rPr>
          <w:rFonts w:eastAsia="方正仿宋_GBK"/>
          <w:color w:val="auto"/>
          <w:sz w:val="32"/>
          <w:szCs w:val="32"/>
        </w:rPr>
      </w:pPr>
      <w:r>
        <w:rPr>
          <w:rFonts w:eastAsia="方正仿宋_GBK"/>
          <w:bCs/>
          <w:color w:val="auto"/>
          <w:sz w:val="32"/>
          <w:szCs w:val="32"/>
        </w:rPr>
        <w:t>项目</w:t>
      </w:r>
      <w:r>
        <w:rPr>
          <w:rFonts w:hint="eastAsia" w:eastAsia="方正仿宋_GBK"/>
          <w:bCs/>
          <w:color w:val="auto"/>
          <w:sz w:val="32"/>
          <w:szCs w:val="32"/>
          <w:lang w:val="en-US" w:eastAsia="zh-CN"/>
        </w:rPr>
        <w:t>由</w:t>
      </w:r>
      <w:r>
        <w:rPr>
          <w:rFonts w:eastAsia="方正仿宋_GBK"/>
          <w:bCs/>
          <w:color w:val="auto"/>
          <w:sz w:val="32"/>
          <w:szCs w:val="32"/>
        </w:rPr>
        <w:t>玉溪市红塔区农业农村综合开发服务中心</w:t>
      </w:r>
      <w:r>
        <w:rPr>
          <w:rFonts w:hint="eastAsia" w:eastAsia="方正仿宋_GBK"/>
          <w:bCs/>
          <w:color w:val="auto"/>
          <w:sz w:val="32"/>
          <w:szCs w:val="32"/>
          <w:lang w:val="en-US" w:eastAsia="zh-CN"/>
        </w:rPr>
        <w:t>组织</w:t>
      </w:r>
      <w:r>
        <w:rPr>
          <w:rFonts w:hint="eastAsia" w:eastAsia="方正仿宋_GBK"/>
          <w:bCs/>
          <w:color w:val="auto"/>
          <w:sz w:val="32"/>
          <w:szCs w:val="32"/>
        </w:rPr>
        <w:t>实施</w:t>
      </w:r>
      <w:r>
        <w:rPr>
          <w:rFonts w:eastAsia="方正仿宋_GBK"/>
          <w:bCs/>
          <w:color w:val="auto"/>
          <w:sz w:val="32"/>
          <w:szCs w:val="32"/>
        </w:rPr>
        <w:t>。现有在职在编人员25人，其中正高级职称3人，副高级职称10人，中级职称4人，初级职称5人，高级技工2人，技术员1人。主要工作职责为：农业农村综合工程项目建设，乡村特色产业和农业产业化发展，农业面源污染防治、农业农村环境保护和质量监测、土壤重金属污染治理、农业废弃物资源化利用、农业环保先进技术和农村能源技术推广、沼气池管理、绿色有机食品的生产指导服务、农村社会事业发展、公共服务体系和基础设施建设指导、农业农村信息化服务。</w:t>
      </w:r>
    </w:p>
    <w:bookmarkEnd w:id="166"/>
    <w:p>
      <w:pPr>
        <w:spacing w:before="120" w:after="120"/>
        <w:ind w:firstLine="643" w:firstLineChars="200"/>
        <w:rPr>
          <w:rFonts w:eastAsia="方正楷体_GBK"/>
          <w:b/>
          <w:bCs/>
          <w:color w:val="auto"/>
          <w:sz w:val="32"/>
          <w:szCs w:val="32"/>
        </w:rPr>
      </w:pPr>
      <w:bookmarkStart w:id="167" w:name="_Toc12441"/>
      <w:bookmarkStart w:id="168" w:name="_Toc5238"/>
      <w:bookmarkStart w:id="169" w:name="_Toc31309"/>
      <w:bookmarkStart w:id="170" w:name="_Toc26007"/>
      <w:bookmarkStart w:id="171" w:name="_Toc6491"/>
      <w:bookmarkStart w:id="172" w:name="_Toc6439"/>
      <w:bookmarkStart w:id="173" w:name="_Toc23521"/>
      <w:bookmarkStart w:id="174" w:name="_Toc20005"/>
      <w:bookmarkStart w:id="175" w:name="_Toc30404"/>
      <w:bookmarkStart w:id="176" w:name="_Toc8221"/>
      <w:bookmarkStart w:id="177" w:name="_Toc26048"/>
      <w:bookmarkStart w:id="178" w:name="_Toc21902"/>
      <w:bookmarkStart w:id="179" w:name="_Toc2529"/>
      <w:bookmarkStart w:id="180" w:name="_Toc6502"/>
      <w:r>
        <w:rPr>
          <w:rFonts w:eastAsia="方正楷体_GBK"/>
          <w:b/>
          <w:bCs/>
          <w:color w:val="auto"/>
          <w:sz w:val="32"/>
          <w:szCs w:val="32"/>
        </w:rPr>
        <w:t>（二）项目技术指导单位基本情况</w:t>
      </w:r>
      <w:bookmarkEnd w:id="167"/>
      <w:bookmarkEnd w:id="168"/>
      <w:bookmarkEnd w:id="169"/>
      <w:bookmarkEnd w:id="170"/>
      <w:bookmarkEnd w:id="171"/>
      <w:bookmarkEnd w:id="172"/>
      <w:bookmarkEnd w:id="173"/>
      <w:bookmarkEnd w:id="174"/>
      <w:bookmarkEnd w:id="175"/>
      <w:bookmarkEnd w:id="176"/>
      <w:bookmarkEnd w:id="177"/>
      <w:bookmarkEnd w:id="178"/>
      <w:bookmarkEnd w:id="179"/>
    </w:p>
    <w:p>
      <w:pPr>
        <w:ind w:firstLine="640" w:firstLineChars="200"/>
        <w:rPr>
          <w:rFonts w:eastAsia="方正仿宋_GBK"/>
          <w:color w:val="auto"/>
          <w:kern w:val="0"/>
          <w:sz w:val="32"/>
          <w:szCs w:val="32"/>
        </w:rPr>
      </w:pPr>
      <w:r>
        <w:rPr>
          <w:rFonts w:eastAsia="方正仿宋_GBK"/>
          <w:color w:val="auto"/>
          <w:kern w:val="0"/>
          <w:sz w:val="32"/>
          <w:szCs w:val="32"/>
        </w:rPr>
        <w:t>云南师范大学能源与环境科学学院，主要从事农业生物环境与农村能源方面的应用技术研发与推广应用方面的科研、教学及人才培养工作，</w:t>
      </w:r>
      <w:r>
        <w:rPr>
          <w:rFonts w:hint="eastAsia" w:eastAsia="方正仿宋_GBK"/>
          <w:color w:val="auto"/>
          <w:kern w:val="0"/>
          <w:sz w:val="32"/>
          <w:szCs w:val="32"/>
        </w:rPr>
        <w:t>“</w:t>
      </w:r>
      <w:r>
        <w:rPr>
          <w:rFonts w:eastAsia="方正仿宋_GBK"/>
          <w:color w:val="auto"/>
          <w:kern w:val="0"/>
          <w:sz w:val="32"/>
          <w:szCs w:val="32"/>
        </w:rPr>
        <w:t>农业工程博士学位点</w:t>
      </w:r>
      <w:r>
        <w:rPr>
          <w:rFonts w:hint="eastAsia" w:eastAsia="方正仿宋_GBK"/>
          <w:color w:val="auto"/>
          <w:kern w:val="0"/>
          <w:sz w:val="32"/>
          <w:szCs w:val="32"/>
        </w:rPr>
        <w:t>”</w:t>
      </w:r>
      <w:r>
        <w:rPr>
          <w:rFonts w:eastAsia="方正仿宋_GBK"/>
          <w:color w:val="auto"/>
          <w:kern w:val="0"/>
          <w:sz w:val="32"/>
          <w:szCs w:val="32"/>
        </w:rPr>
        <w:t>学位授予单位，具有国内外先进的分析检测设备。先后承担了国际合作项目、科技部、云南省农业农村厅、省科技厅及地方资金项目</w:t>
      </w:r>
      <w:bookmarkStart w:id="674" w:name="_GoBack"/>
      <w:bookmarkEnd w:id="674"/>
      <w:r>
        <w:rPr>
          <w:rFonts w:eastAsia="方正仿宋_GBK"/>
          <w:color w:val="auto"/>
          <w:kern w:val="0"/>
          <w:sz w:val="32"/>
          <w:szCs w:val="32"/>
        </w:rPr>
        <w:t>100余项。近5年，本学科获得云南省科技进步一等奖1项、云南省自然科学一等奖2项、云南省科技进步二等奖1项、云南省科技进步三等奖1项。</w:t>
      </w:r>
    </w:p>
    <w:p>
      <w:pPr>
        <w:ind w:firstLine="640" w:firstLineChars="200"/>
        <w:rPr>
          <w:rFonts w:eastAsia="方正仿宋_GBK"/>
          <w:color w:val="auto"/>
          <w:kern w:val="0"/>
          <w:sz w:val="32"/>
          <w:szCs w:val="32"/>
        </w:rPr>
      </w:pPr>
      <w:r>
        <w:rPr>
          <w:rFonts w:eastAsia="方正仿宋_GBK"/>
          <w:color w:val="auto"/>
          <w:kern w:val="0"/>
          <w:sz w:val="32"/>
          <w:szCs w:val="32"/>
        </w:rPr>
        <w:t>学院师资队伍实力雄厚，教职工72人，其中：教授、研究员23人，副教授、副研究员22人，博士49人，博士生导师30人，获全国先进工作者1人、全国优秀教师1人、全国模范教师1人、全国</w:t>
      </w:r>
      <w:r>
        <w:rPr>
          <w:rFonts w:hint="eastAsia" w:eastAsia="方正仿宋_GBK"/>
          <w:color w:val="auto"/>
          <w:kern w:val="0"/>
          <w:sz w:val="32"/>
          <w:szCs w:val="32"/>
        </w:rPr>
        <w:t>“</w:t>
      </w:r>
      <w:r>
        <w:rPr>
          <w:rFonts w:eastAsia="方正仿宋_GBK"/>
          <w:color w:val="auto"/>
          <w:kern w:val="0"/>
          <w:sz w:val="32"/>
          <w:szCs w:val="32"/>
        </w:rPr>
        <w:t>五一劳动奖章</w:t>
      </w:r>
      <w:r>
        <w:rPr>
          <w:rFonts w:hint="eastAsia" w:eastAsia="方正仿宋_GBK"/>
          <w:color w:val="auto"/>
          <w:kern w:val="0"/>
          <w:sz w:val="32"/>
          <w:szCs w:val="32"/>
        </w:rPr>
        <w:t>”</w:t>
      </w:r>
      <w:r>
        <w:rPr>
          <w:rFonts w:eastAsia="方正仿宋_GBK"/>
          <w:color w:val="auto"/>
          <w:kern w:val="0"/>
          <w:sz w:val="32"/>
          <w:szCs w:val="32"/>
        </w:rPr>
        <w:t>获得者1人，云岭教学名师1人，被国家人事部、教育部授予</w:t>
      </w:r>
      <w:r>
        <w:rPr>
          <w:rFonts w:hint="eastAsia" w:eastAsia="方正仿宋_GBK"/>
          <w:color w:val="auto"/>
          <w:kern w:val="0"/>
          <w:sz w:val="32"/>
          <w:szCs w:val="32"/>
        </w:rPr>
        <w:t>“</w:t>
      </w:r>
      <w:r>
        <w:rPr>
          <w:rFonts w:eastAsia="方正仿宋_GBK"/>
          <w:color w:val="auto"/>
          <w:kern w:val="0"/>
          <w:sz w:val="32"/>
          <w:szCs w:val="32"/>
        </w:rPr>
        <w:t>全国教育系统先进集体</w:t>
      </w:r>
      <w:r>
        <w:rPr>
          <w:rFonts w:hint="eastAsia" w:eastAsia="方正仿宋_GBK"/>
          <w:color w:val="auto"/>
          <w:kern w:val="0"/>
          <w:sz w:val="32"/>
          <w:szCs w:val="32"/>
        </w:rPr>
        <w:t>”</w:t>
      </w:r>
      <w:r>
        <w:rPr>
          <w:rFonts w:eastAsia="方正仿宋_GBK"/>
          <w:color w:val="auto"/>
          <w:kern w:val="0"/>
          <w:sz w:val="32"/>
          <w:szCs w:val="32"/>
        </w:rPr>
        <w:t>，被住建部授予</w:t>
      </w:r>
      <w:r>
        <w:rPr>
          <w:rFonts w:hint="eastAsia" w:eastAsia="方正仿宋_GBK"/>
          <w:color w:val="auto"/>
          <w:kern w:val="0"/>
          <w:sz w:val="32"/>
          <w:szCs w:val="32"/>
        </w:rPr>
        <w:t>“</w:t>
      </w:r>
      <w:r>
        <w:rPr>
          <w:rFonts w:eastAsia="方正仿宋_GBK"/>
          <w:color w:val="auto"/>
          <w:kern w:val="0"/>
          <w:sz w:val="32"/>
          <w:szCs w:val="32"/>
        </w:rPr>
        <w:t>建筑节能先进集体</w:t>
      </w:r>
      <w:r>
        <w:rPr>
          <w:rFonts w:hint="eastAsia" w:eastAsia="方正仿宋_GBK"/>
          <w:color w:val="auto"/>
          <w:kern w:val="0"/>
          <w:sz w:val="32"/>
          <w:szCs w:val="32"/>
        </w:rPr>
        <w:t>”</w:t>
      </w:r>
      <w:r>
        <w:rPr>
          <w:rFonts w:eastAsia="方正仿宋_GBK"/>
          <w:color w:val="auto"/>
          <w:kern w:val="0"/>
          <w:sz w:val="32"/>
          <w:szCs w:val="32"/>
        </w:rPr>
        <w:t>称号。学院拥有2.4万平方米的科研及实验教学大楼，具备雄厚的教学科研条件。</w:t>
      </w:r>
    </w:p>
    <w:bookmarkEnd w:id="180"/>
    <w:p>
      <w:pPr>
        <w:tabs>
          <w:tab w:val="left" w:pos="3103"/>
        </w:tabs>
        <w:spacing w:before="156" w:beforeLines="50" w:after="156" w:afterLines="50"/>
        <w:jc w:val="left"/>
        <w:rPr>
          <w:rFonts w:eastAsia="方正黑体_GBK"/>
          <w:color w:val="auto"/>
          <w:sz w:val="32"/>
          <w:szCs w:val="32"/>
        </w:rPr>
      </w:pPr>
      <w:bookmarkStart w:id="181" w:name="_Toc7036"/>
      <w:bookmarkStart w:id="182" w:name="_Toc3337"/>
      <w:bookmarkStart w:id="183" w:name="_Toc30042"/>
      <w:r>
        <w:rPr>
          <w:rFonts w:eastAsia="方正黑体_GBK"/>
          <w:color w:val="auto"/>
          <w:sz w:val="32"/>
          <w:szCs w:val="32"/>
        </w:rPr>
        <w:t>四、项目建设内容</w:t>
      </w:r>
      <w:bookmarkEnd w:id="181"/>
      <w:bookmarkEnd w:id="182"/>
      <w:bookmarkEnd w:id="183"/>
      <w:bookmarkStart w:id="184" w:name="_Toc12924"/>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针对红塔区农业秸秆利用的实际问题，项目提出：科技支撑-政策激励-</w:t>
      </w:r>
      <w:r>
        <w:rPr>
          <w:rFonts w:hint="eastAsia" w:eastAsia="方正仿宋_GBK"/>
          <w:color w:val="auto"/>
          <w:kern w:val="0"/>
          <w:sz w:val="32"/>
          <w:szCs w:val="32"/>
        </w:rPr>
        <w:t>“</w:t>
      </w:r>
      <w:r>
        <w:rPr>
          <w:rFonts w:eastAsia="方正仿宋_GBK"/>
          <w:color w:val="auto"/>
          <w:kern w:val="0"/>
          <w:sz w:val="32"/>
          <w:szCs w:val="32"/>
        </w:rPr>
        <w:t>1+1+X</w:t>
      </w:r>
      <w:r>
        <w:rPr>
          <w:rFonts w:hint="eastAsia" w:eastAsia="方正仿宋_GBK"/>
          <w:color w:val="auto"/>
          <w:kern w:val="0"/>
          <w:sz w:val="32"/>
          <w:szCs w:val="32"/>
        </w:rPr>
        <w:t>”</w:t>
      </w:r>
      <w:r>
        <w:rPr>
          <w:rFonts w:eastAsia="方正仿宋_GBK"/>
          <w:color w:val="auto"/>
          <w:kern w:val="0"/>
          <w:sz w:val="32"/>
          <w:szCs w:val="32"/>
        </w:rPr>
        <w:t>收储运模式-产业化生产的红塔方案。通过烟秆制备有机肥关键菌剂和高值燃料颗粒工艺参数优化及深加工关键技术研究，以关键核心技术难题研发为支撑，引领烟秆资源化利用行业发展；通过制定鼓励政策及相应补贴，秸秆经纪人将秸秆收集-运送至企业售卖，打通秸秆高值化利用的堵点；利用垃圾运输车等市政运输工具协同运输秸秆至企业进行集约化加工，解决秸秆运输难的问题；秸秆制备草支垫、草绳、竹门挡等产品用于公路、铁路部门货物的包装运输，运输云南货物至</w:t>
      </w:r>
      <w:r>
        <w:rPr>
          <w:rFonts w:hint="eastAsia" w:eastAsia="方正仿宋_GBK"/>
          <w:color w:val="auto"/>
          <w:kern w:val="0"/>
          <w:sz w:val="32"/>
          <w:szCs w:val="32"/>
        </w:rPr>
        <w:t>“</w:t>
      </w:r>
      <w:r>
        <w:rPr>
          <w:rFonts w:eastAsia="方正仿宋_GBK"/>
          <w:color w:val="auto"/>
          <w:kern w:val="0"/>
          <w:sz w:val="32"/>
          <w:szCs w:val="32"/>
        </w:rPr>
        <w:t>一带一路</w:t>
      </w:r>
      <w:r>
        <w:rPr>
          <w:rFonts w:hint="eastAsia" w:eastAsia="方正仿宋_GBK"/>
          <w:color w:val="auto"/>
          <w:kern w:val="0"/>
          <w:sz w:val="32"/>
          <w:szCs w:val="32"/>
        </w:rPr>
        <w:t>”</w:t>
      </w:r>
      <w:r>
        <w:rPr>
          <w:rFonts w:eastAsia="方正仿宋_GBK"/>
          <w:color w:val="auto"/>
          <w:kern w:val="0"/>
          <w:sz w:val="32"/>
          <w:szCs w:val="32"/>
        </w:rPr>
        <w:t>沿线国家。</w:t>
      </w:r>
    </w:p>
    <w:p>
      <w:pPr>
        <w:pStyle w:val="2"/>
        <w:ind w:firstLine="640" w:firstLineChars="200"/>
        <w:rPr>
          <w:rFonts w:eastAsia="方正仿宋_GBK"/>
          <w:color w:val="auto"/>
          <w:kern w:val="0"/>
          <w:sz w:val="32"/>
          <w:szCs w:val="32"/>
        </w:rPr>
      </w:pPr>
      <w:r>
        <w:rPr>
          <w:rFonts w:eastAsia="方正仿宋_GBK"/>
          <w:color w:val="auto"/>
          <w:kern w:val="0"/>
          <w:sz w:val="32"/>
          <w:szCs w:val="32"/>
        </w:rPr>
        <w:t>主要包括以下内容：</w:t>
      </w:r>
      <w:r>
        <w:rPr>
          <w:rFonts w:hint="eastAsia" w:eastAsia="方正仿宋_GBK"/>
          <w:color w:val="auto"/>
          <w:kern w:val="0"/>
          <w:sz w:val="32"/>
          <w:szCs w:val="32"/>
        </w:rPr>
        <w:t>“</w:t>
      </w:r>
      <w:r>
        <w:rPr>
          <w:rFonts w:eastAsia="方正仿宋_GBK"/>
          <w:color w:val="auto"/>
          <w:kern w:val="0"/>
          <w:sz w:val="32"/>
          <w:szCs w:val="32"/>
        </w:rPr>
        <w:t>1+1+X</w:t>
      </w:r>
      <w:r>
        <w:rPr>
          <w:rFonts w:hint="eastAsia" w:eastAsia="方正仿宋_GBK"/>
          <w:color w:val="auto"/>
          <w:kern w:val="0"/>
          <w:sz w:val="32"/>
          <w:szCs w:val="32"/>
        </w:rPr>
        <w:t>”</w:t>
      </w:r>
      <w:r>
        <w:rPr>
          <w:rFonts w:eastAsia="方正仿宋_GBK"/>
          <w:color w:val="auto"/>
          <w:kern w:val="0"/>
          <w:sz w:val="32"/>
          <w:szCs w:val="32"/>
        </w:rPr>
        <w:t>收储运模式建设，保持秸秆综合利用率在92%以上高位运行；秸秆肥料化、饲料化</w:t>
      </w:r>
      <w:r>
        <w:rPr>
          <w:rFonts w:hint="eastAsia" w:eastAsia="方正仿宋_GBK"/>
          <w:color w:val="auto"/>
          <w:kern w:val="0"/>
          <w:sz w:val="32"/>
          <w:szCs w:val="32"/>
          <w:lang w:eastAsia="zh-CN"/>
        </w:rPr>
        <w:t>、</w:t>
      </w:r>
      <w:r>
        <w:rPr>
          <w:rFonts w:eastAsia="方正仿宋_GBK"/>
          <w:color w:val="auto"/>
          <w:kern w:val="0"/>
          <w:sz w:val="32"/>
          <w:szCs w:val="32"/>
        </w:rPr>
        <w:t>燃料化利用关键技术难题研发及示范点建立，建立原料化利用示范点，形成秸秆综合利用三角示范区；秸秆还田后评价体系建设；宣传展示及教育培训等相关内容。具体内容如下：</w:t>
      </w:r>
    </w:p>
    <w:bookmarkEnd w:id="184"/>
    <w:p>
      <w:pPr>
        <w:spacing w:before="120" w:after="120"/>
        <w:ind w:firstLine="643" w:firstLineChars="200"/>
        <w:rPr>
          <w:rFonts w:eastAsia="方正楷体_GBK"/>
          <w:b/>
          <w:bCs/>
          <w:color w:val="auto"/>
          <w:sz w:val="32"/>
          <w:szCs w:val="32"/>
        </w:rPr>
      </w:pPr>
      <w:bookmarkStart w:id="185" w:name="_Toc470"/>
      <w:r>
        <w:rPr>
          <w:rFonts w:eastAsia="方正楷体_GBK"/>
          <w:b/>
          <w:bCs/>
          <w:color w:val="auto"/>
          <w:sz w:val="32"/>
          <w:szCs w:val="32"/>
        </w:rPr>
        <w:t>（一）</w:t>
      </w:r>
      <w:r>
        <w:rPr>
          <w:rFonts w:hint="eastAsia" w:eastAsia="方正楷体_GBK"/>
          <w:b/>
          <w:bCs/>
          <w:color w:val="auto"/>
          <w:sz w:val="32"/>
          <w:szCs w:val="32"/>
        </w:rPr>
        <w:t>“</w:t>
      </w:r>
      <w:r>
        <w:rPr>
          <w:rFonts w:eastAsia="方正楷体_GBK"/>
          <w:b/>
          <w:bCs/>
          <w:color w:val="auto"/>
          <w:sz w:val="32"/>
          <w:szCs w:val="32"/>
        </w:rPr>
        <w:t>1+1+X</w:t>
      </w:r>
      <w:r>
        <w:rPr>
          <w:rFonts w:hint="eastAsia" w:eastAsia="方正楷体_GBK"/>
          <w:b/>
          <w:bCs/>
          <w:color w:val="auto"/>
          <w:sz w:val="32"/>
          <w:szCs w:val="32"/>
        </w:rPr>
        <w:t>”</w:t>
      </w:r>
      <w:r>
        <w:rPr>
          <w:rFonts w:eastAsia="方正楷体_GBK"/>
          <w:b/>
          <w:bCs/>
          <w:color w:val="auto"/>
          <w:sz w:val="32"/>
          <w:szCs w:val="32"/>
        </w:rPr>
        <w:t>收储运模式建设</w:t>
      </w:r>
      <w:bookmarkEnd w:id="185"/>
    </w:p>
    <w:p>
      <w:pPr>
        <w:spacing w:line="550" w:lineRule="exact"/>
        <w:ind w:firstLine="640" w:firstLineChars="200"/>
        <w:rPr>
          <w:rFonts w:eastAsia="方正仿宋_GBK"/>
          <w:color w:val="auto"/>
          <w:kern w:val="0"/>
          <w:sz w:val="32"/>
          <w:szCs w:val="32"/>
        </w:rPr>
      </w:pPr>
      <w:r>
        <w:rPr>
          <w:rFonts w:eastAsia="方正仿宋_GBK"/>
          <w:color w:val="auto"/>
          <w:kern w:val="0"/>
          <w:sz w:val="32"/>
          <w:szCs w:val="32"/>
        </w:rPr>
        <w:t>1.</w:t>
      </w:r>
      <w:r>
        <w:rPr>
          <w:rFonts w:hint="eastAsia" w:eastAsia="方正仿宋_GBK"/>
          <w:color w:val="auto"/>
          <w:kern w:val="0"/>
          <w:sz w:val="32"/>
          <w:szCs w:val="32"/>
        </w:rPr>
        <w:t>“</w:t>
      </w:r>
      <w:r>
        <w:rPr>
          <w:rFonts w:eastAsia="方正仿宋_GBK"/>
          <w:color w:val="auto"/>
          <w:kern w:val="0"/>
          <w:sz w:val="32"/>
          <w:szCs w:val="32"/>
        </w:rPr>
        <w:t>1+1+X</w:t>
      </w:r>
      <w:r>
        <w:rPr>
          <w:rFonts w:hint="eastAsia" w:eastAsia="方正仿宋_GBK"/>
          <w:color w:val="auto"/>
          <w:kern w:val="0"/>
          <w:sz w:val="32"/>
          <w:szCs w:val="32"/>
        </w:rPr>
        <w:t>”</w:t>
      </w:r>
      <w:r>
        <w:rPr>
          <w:rFonts w:eastAsia="方正仿宋_GBK"/>
          <w:color w:val="auto"/>
          <w:kern w:val="0"/>
          <w:sz w:val="32"/>
          <w:szCs w:val="32"/>
        </w:rPr>
        <w:t>收储运模式建设</w:t>
      </w:r>
    </w:p>
    <w:p>
      <w:pPr>
        <w:pStyle w:val="2"/>
        <w:numPr>
          <w:ilvl w:val="255"/>
          <w:numId w:val="0"/>
        </w:numPr>
        <w:spacing w:after="0"/>
        <w:ind w:firstLine="640" w:firstLineChars="200"/>
        <w:rPr>
          <w:rFonts w:eastAsia="方正仿宋_GBK"/>
          <w:color w:val="auto"/>
          <w:kern w:val="0"/>
          <w:sz w:val="32"/>
          <w:szCs w:val="32"/>
        </w:rPr>
      </w:pPr>
      <w:r>
        <w:rPr>
          <w:rFonts w:hint="eastAsia" w:eastAsia="方正仿宋_GBK"/>
          <w:color w:val="auto"/>
          <w:kern w:val="0"/>
          <w:sz w:val="32"/>
          <w:szCs w:val="32"/>
        </w:rPr>
        <w:t>“</w:t>
      </w:r>
      <w:r>
        <w:rPr>
          <w:rFonts w:eastAsia="方正仿宋_GBK"/>
          <w:color w:val="auto"/>
          <w:kern w:val="0"/>
          <w:sz w:val="32"/>
          <w:szCs w:val="32"/>
        </w:rPr>
        <w:t>1+1+X</w:t>
      </w:r>
      <w:r>
        <w:rPr>
          <w:rFonts w:hint="eastAsia" w:eastAsia="方正仿宋_GBK"/>
          <w:color w:val="auto"/>
          <w:kern w:val="0"/>
          <w:sz w:val="32"/>
          <w:szCs w:val="32"/>
        </w:rPr>
        <w:t>”</w:t>
      </w:r>
      <w:r>
        <w:rPr>
          <w:rFonts w:eastAsia="方正仿宋_GBK"/>
          <w:color w:val="auto"/>
          <w:kern w:val="0"/>
          <w:sz w:val="32"/>
          <w:szCs w:val="32"/>
        </w:rPr>
        <w:t>收储运（第一个</w:t>
      </w:r>
      <w:r>
        <w:rPr>
          <w:rFonts w:hint="eastAsia" w:eastAsia="方正仿宋_GBK"/>
          <w:color w:val="auto"/>
          <w:kern w:val="0"/>
          <w:sz w:val="32"/>
          <w:szCs w:val="32"/>
        </w:rPr>
        <w:t>“</w:t>
      </w:r>
      <w:r>
        <w:rPr>
          <w:rFonts w:eastAsia="方正仿宋_GBK"/>
          <w:color w:val="auto"/>
          <w:kern w:val="0"/>
          <w:sz w:val="32"/>
          <w:szCs w:val="32"/>
        </w:rPr>
        <w:t>1</w:t>
      </w:r>
      <w:r>
        <w:rPr>
          <w:rFonts w:hint="eastAsia" w:eastAsia="方正仿宋_GBK"/>
          <w:color w:val="auto"/>
          <w:kern w:val="0"/>
          <w:sz w:val="32"/>
          <w:szCs w:val="32"/>
        </w:rPr>
        <w:t>”</w:t>
      </w:r>
      <w:r>
        <w:rPr>
          <w:rFonts w:eastAsia="方正仿宋_GBK"/>
          <w:color w:val="auto"/>
          <w:kern w:val="0"/>
          <w:sz w:val="32"/>
          <w:szCs w:val="32"/>
        </w:rPr>
        <w:t>为1个</w:t>
      </w:r>
      <w:r>
        <w:rPr>
          <w:rFonts w:hint="eastAsia" w:eastAsia="方正仿宋_GBK"/>
          <w:color w:val="auto"/>
          <w:kern w:val="0"/>
          <w:sz w:val="32"/>
          <w:szCs w:val="32"/>
          <w:lang w:val="en-US" w:eastAsia="zh-CN"/>
        </w:rPr>
        <w:t>乡（街道）</w:t>
      </w:r>
      <w:r>
        <w:rPr>
          <w:rFonts w:eastAsia="方正仿宋_GBK"/>
          <w:color w:val="auto"/>
          <w:kern w:val="0"/>
          <w:sz w:val="32"/>
          <w:szCs w:val="32"/>
        </w:rPr>
        <w:t>级集中区域，第二个</w:t>
      </w:r>
      <w:r>
        <w:rPr>
          <w:rFonts w:hint="eastAsia" w:eastAsia="方正仿宋_GBK"/>
          <w:color w:val="auto"/>
          <w:kern w:val="0"/>
          <w:sz w:val="32"/>
          <w:szCs w:val="32"/>
        </w:rPr>
        <w:t>“</w:t>
      </w:r>
      <w:r>
        <w:rPr>
          <w:rFonts w:eastAsia="方正仿宋_GBK"/>
          <w:color w:val="auto"/>
          <w:kern w:val="0"/>
          <w:sz w:val="32"/>
          <w:szCs w:val="32"/>
        </w:rPr>
        <w:t>1</w:t>
      </w:r>
      <w:r>
        <w:rPr>
          <w:rFonts w:hint="eastAsia" w:eastAsia="方正仿宋_GBK"/>
          <w:color w:val="auto"/>
          <w:kern w:val="0"/>
          <w:sz w:val="32"/>
          <w:szCs w:val="32"/>
        </w:rPr>
        <w:t>”</w:t>
      </w:r>
      <w:r>
        <w:rPr>
          <w:rFonts w:eastAsia="方正仿宋_GBK"/>
          <w:color w:val="auto"/>
          <w:kern w:val="0"/>
          <w:sz w:val="32"/>
          <w:szCs w:val="32"/>
        </w:rPr>
        <w:t>为1名专门负责的秸秆经纪人（区域负责人），其中</w:t>
      </w:r>
      <w:r>
        <w:rPr>
          <w:rFonts w:hint="eastAsia" w:eastAsia="方正仿宋_GBK"/>
          <w:color w:val="auto"/>
          <w:kern w:val="0"/>
          <w:sz w:val="32"/>
          <w:szCs w:val="32"/>
        </w:rPr>
        <w:t>“</w:t>
      </w:r>
      <w:r>
        <w:rPr>
          <w:rFonts w:eastAsia="方正仿宋_GBK"/>
          <w:color w:val="auto"/>
          <w:kern w:val="0"/>
          <w:sz w:val="32"/>
          <w:szCs w:val="32"/>
        </w:rPr>
        <w:t>X</w:t>
      </w:r>
      <w:r>
        <w:rPr>
          <w:rFonts w:hint="eastAsia" w:eastAsia="方正仿宋_GBK"/>
          <w:color w:val="auto"/>
          <w:kern w:val="0"/>
          <w:sz w:val="32"/>
          <w:szCs w:val="32"/>
        </w:rPr>
        <w:t>”</w:t>
      </w:r>
      <w:r>
        <w:rPr>
          <w:rFonts w:eastAsia="方正仿宋_GBK"/>
          <w:color w:val="auto"/>
          <w:kern w:val="0"/>
          <w:sz w:val="32"/>
          <w:szCs w:val="32"/>
        </w:rPr>
        <w:t>为区域内许多村庄的田间地头）。该模式将乡</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街道</w:t>
      </w:r>
      <w:r>
        <w:rPr>
          <w:rFonts w:hint="eastAsia" w:eastAsia="方正仿宋_GBK"/>
          <w:color w:val="auto"/>
          <w:kern w:val="0"/>
          <w:sz w:val="32"/>
          <w:szCs w:val="32"/>
          <w:lang w:eastAsia="zh-CN"/>
        </w:rPr>
        <w:t>）</w:t>
      </w:r>
      <w:r>
        <w:rPr>
          <w:rFonts w:eastAsia="方正仿宋_GBK"/>
          <w:color w:val="auto"/>
          <w:kern w:val="0"/>
          <w:sz w:val="32"/>
          <w:szCs w:val="32"/>
        </w:rPr>
        <w:t>或企业作为一个中心点，</w:t>
      </w:r>
      <w:r>
        <w:rPr>
          <w:rFonts w:hint="eastAsia" w:eastAsia="方正仿宋_GBK"/>
          <w:color w:val="auto"/>
          <w:kern w:val="0"/>
          <w:sz w:val="32"/>
          <w:szCs w:val="32"/>
        </w:rPr>
        <w:t>由乡（街道）根据每年产生的秸秆量建设</w:t>
      </w:r>
      <w:r>
        <w:rPr>
          <w:rFonts w:hint="eastAsia" w:eastAsia="方正仿宋_GBK"/>
          <w:color w:val="auto"/>
          <w:kern w:val="0"/>
          <w:sz w:val="32"/>
          <w:szCs w:val="32"/>
          <w:lang w:val="en-US" w:eastAsia="zh-CN"/>
        </w:rPr>
        <w:t>收储</w:t>
      </w:r>
      <w:r>
        <w:rPr>
          <w:rFonts w:hint="eastAsia" w:eastAsia="方正仿宋_GBK"/>
          <w:color w:val="auto"/>
          <w:kern w:val="0"/>
          <w:sz w:val="32"/>
          <w:szCs w:val="32"/>
        </w:rPr>
        <w:t>点，并指定一个专职或兼职秸秆经纪人对多个村（社区）田地附近的秸秆进行收集，</w:t>
      </w:r>
      <w:r>
        <w:rPr>
          <w:rFonts w:eastAsia="方正仿宋_GBK"/>
          <w:color w:val="auto"/>
          <w:kern w:val="0"/>
          <w:sz w:val="32"/>
          <w:szCs w:val="32"/>
        </w:rPr>
        <w:t>统一运送到企业以市场价出售。在此过程中，村集体只需要协调农户将秸秆放在田间地头，秸秆经纪人适时粉碎打包收集，</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以用促禁”</w:t>
      </w:r>
      <w:r>
        <w:rPr>
          <w:rFonts w:eastAsia="方正仿宋_GBK"/>
          <w:color w:val="auto"/>
          <w:kern w:val="0"/>
          <w:sz w:val="32"/>
          <w:szCs w:val="32"/>
        </w:rPr>
        <w:t>，达到秸秆被有效收集处理的目的。</w:t>
      </w:r>
    </w:p>
    <w:p>
      <w:pPr>
        <w:ind w:firstLine="640" w:firstLineChars="200"/>
        <w:rPr>
          <w:rFonts w:eastAsia="方正仿宋_GBK"/>
          <w:color w:val="auto"/>
          <w:kern w:val="0"/>
          <w:sz w:val="32"/>
          <w:szCs w:val="32"/>
        </w:rPr>
      </w:pPr>
      <w:r>
        <w:rPr>
          <w:rFonts w:hint="eastAsia" w:eastAsia="方正仿宋_GBK"/>
          <w:color w:val="auto"/>
          <w:kern w:val="0"/>
          <w:sz w:val="32"/>
          <w:szCs w:val="32"/>
          <w:lang w:val="en-US" w:eastAsia="zh-CN"/>
        </w:rPr>
        <w:t>实行秸秆经纪人模式，构建市场化运行机制。</w:t>
      </w:r>
      <w:r>
        <w:rPr>
          <w:rFonts w:eastAsia="方正仿宋_GBK"/>
          <w:color w:val="auto"/>
          <w:kern w:val="0"/>
          <w:sz w:val="32"/>
          <w:szCs w:val="32"/>
        </w:rPr>
        <w:t>结合红塔区实际情况，通过村推荐、乡</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街道</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审核、农业农村局</w:t>
      </w:r>
      <w:r>
        <w:rPr>
          <w:rFonts w:eastAsia="方正仿宋_GBK"/>
          <w:color w:val="auto"/>
          <w:kern w:val="0"/>
          <w:sz w:val="32"/>
          <w:szCs w:val="32"/>
        </w:rPr>
        <w:t>审批等方式进行</w:t>
      </w:r>
      <w:r>
        <w:rPr>
          <w:rFonts w:hint="eastAsia" w:eastAsia="方正仿宋_GBK"/>
          <w:color w:val="auto"/>
          <w:kern w:val="0"/>
          <w:sz w:val="32"/>
          <w:szCs w:val="32"/>
          <w:lang w:val="en-US" w:eastAsia="zh-CN"/>
        </w:rPr>
        <w:t>遴选</w:t>
      </w:r>
      <w:r>
        <w:rPr>
          <w:rFonts w:eastAsia="方正仿宋_GBK"/>
          <w:color w:val="auto"/>
          <w:kern w:val="0"/>
          <w:sz w:val="32"/>
          <w:szCs w:val="32"/>
        </w:rPr>
        <w:t>秸秆经纪人，秸秆经纪人可通过组织员工或自行收集的方式进行秸秆收集，专人专管，打造网格化管理模式，让秸秆收集工作在乡</w:t>
      </w:r>
      <w:r>
        <w:rPr>
          <w:rFonts w:hint="eastAsia" w:eastAsia="方正仿宋_GBK"/>
          <w:color w:val="auto"/>
          <w:kern w:val="0"/>
          <w:sz w:val="32"/>
          <w:szCs w:val="32"/>
          <w:lang w:eastAsia="zh-CN"/>
        </w:rPr>
        <w:t>（</w:t>
      </w:r>
      <w:r>
        <w:rPr>
          <w:rFonts w:eastAsia="方正仿宋_GBK"/>
          <w:color w:val="auto"/>
          <w:kern w:val="0"/>
          <w:sz w:val="32"/>
          <w:szCs w:val="32"/>
        </w:rPr>
        <w:t>街道</w:t>
      </w:r>
      <w:r>
        <w:rPr>
          <w:rFonts w:hint="eastAsia" w:eastAsia="方正仿宋_GBK"/>
          <w:color w:val="auto"/>
          <w:kern w:val="0"/>
          <w:sz w:val="32"/>
          <w:szCs w:val="32"/>
          <w:lang w:eastAsia="zh-CN"/>
        </w:rPr>
        <w:t>）</w:t>
      </w:r>
      <w:r>
        <w:rPr>
          <w:rFonts w:eastAsia="方正仿宋_GBK"/>
          <w:color w:val="auto"/>
          <w:kern w:val="0"/>
          <w:sz w:val="32"/>
          <w:szCs w:val="32"/>
        </w:rPr>
        <w:t>形成体系实现长效机制。</w:t>
      </w:r>
      <w:r>
        <w:rPr>
          <w:rFonts w:hint="eastAsia" w:eastAsia="方正仿宋_GBK"/>
          <w:color w:val="auto"/>
          <w:kern w:val="0"/>
          <w:sz w:val="32"/>
          <w:szCs w:val="32"/>
          <w:lang w:val="en-US" w:eastAsia="zh-CN"/>
        </w:rPr>
        <w:t>项目资金支持对象主要是承担秸秆“五料化”利用的辖区内企业、合作社、社会化服务组织、家庭农场、村集体以及农民等新型农业经营主体</w:t>
      </w:r>
      <w:r>
        <w:rPr>
          <w:rFonts w:hint="eastAsia" w:eastAsia="方正仿宋_GBK"/>
          <w:color w:val="auto"/>
          <w:kern w:val="0"/>
          <w:sz w:val="32"/>
          <w:szCs w:val="32"/>
        </w:rPr>
        <w:t>，</w:t>
      </w:r>
      <w:r>
        <w:rPr>
          <w:rFonts w:hint="eastAsia" w:eastAsia="方正仿宋_GBK"/>
          <w:color w:val="auto"/>
          <w:kern w:val="0"/>
          <w:sz w:val="32"/>
          <w:szCs w:val="32"/>
          <w:lang w:val="en-US" w:eastAsia="zh-CN"/>
        </w:rPr>
        <w:t>鼓励</w:t>
      </w:r>
      <w:r>
        <w:rPr>
          <w:rFonts w:eastAsia="方正仿宋_GBK"/>
          <w:color w:val="auto"/>
          <w:kern w:val="0"/>
          <w:sz w:val="32"/>
          <w:szCs w:val="32"/>
        </w:rPr>
        <w:t>秸秆经纪人</w:t>
      </w:r>
      <w:r>
        <w:rPr>
          <w:rFonts w:hint="eastAsia" w:eastAsia="方正仿宋_GBK"/>
          <w:color w:val="auto"/>
          <w:kern w:val="0"/>
          <w:sz w:val="32"/>
          <w:szCs w:val="32"/>
          <w:lang w:val="en-US" w:eastAsia="zh-CN"/>
        </w:rPr>
        <w:t>作为特定的农业经营主体在获得相应扶持的基础上，积极开拓市场</w:t>
      </w:r>
      <w:r>
        <w:rPr>
          <w:rFonts w:eastAsia="方正仿宋_GBK"/>
          <w:color w:val="auto"/>
          <w:kern w:val="0"/>
          <w:sz w:val="32"/>
          <w:szCs w:val="32"/>
        </w:rPr>
        <w:t>。</w:t>
      </w:r>
    </w:p>
    <w:p>
      <w:pPr>
        <w:ind w:firstLine="640" w:firstLineChars="200"/>
        <w:rPr>
          <w:color w:val="auto"/>
        </w:rPr>
      </w:pPr>
      <w:r>
        <w:rPr>
          <w:rFonts w:eastAsia="方正仿宋_GBK"/>
          <w:color w:val="auto"/>
          <w:kern w:val="0"/>
          <w:sz w:val="32"/>
          <w:szCs w:val="32"/>
        </w:rPr>
        <w:t>2.长效运维机制建立</w:t>
      </w:r>
    </w:p>
    <w:p>
      <w:pPr>
        <w:ind w:firstLine="640" w:firstLineChars="200"/>
        <w:rPr>
          <w:rFonts w:eastAsia="方正仿宋_GBK"/>
          <w:color w:val="auto"/>
          <w:kern w:val="0"/>
          <w:sz w:val="32"/>
          <w:szCs w:val="32"/>
        </w:rPr>
      </w:pPr>
      <w:r>
        <w:rPr>
          <w:rFonts w:eastAsia="方正仿宋_GBK"/>
          <w:color w:val="auto"/>
          <w:kern w:val="0"/>
          <w:sz w:val="32"/>
          <w:szCs w:val="32"/>
        </w:rPr>
        <w:t>针对红塔区实际情况划分南北区域对农户进行种植-收储补贴、技术指导、腐熟剂等菌剂购买等方式的建设以及培训，并通过微信等新媒体推送、示范点宣传等多种途径，提高农户秸秆资源化利用的意识和积极性；将秸秆资源化利用等相关实施效果纳入各级政绩考核，促使各级部门主动提高秸秆资源化利用效率；项目实施单位督促企业做好秸秆收储及设施设备购置台账记录，项目进度及台账资料作为分批次拨付建设经费的依据，并对生产企业进行技术帮扶、设置设备补贴、人员培训等各种手段支持，按照市场化运行的原则，促进企业挖掘市场潜力和自身动力，增强市场竞争力，实现可持续发展。如图6所示。</w:t>
      </w:r>
    </w:p>
    <w:p>
      <w:pPr>
        <w:jc w:val="center"/>
        <w:rPr>
          <w:rFonts w:eastAsiaTheme="minorEastAsia"/>
          <w:color w:val="auto"/>
        </w:rPr>
      </w:pPr>
      <w:r>
        <w:rPr>
          <w:color w:val="auto"/>
        </w:rPr>
        <w:drawing>
          <wp:inline distT="0" distB="0" distL="114300" distR="114300">
            <wp:extent cx="5269230" cy="4382770"/>
            <wp:effectExtent l="0" t="0" r="381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rcRect t="11899"/>
                    <a:stretch>
                      <a:fillRect/>
                    </a:stretch>
                  </pic:blipFill>
                  <pic:spPr>
                    <a:xfrm>
                      <a:off x="0" y="0"/>
                      <a:ext cx="5273675" cy="4386606"/>
                    </a:xfrm>
                    <a:prstGeom prst="rect">
                      <a:avLst/>
                    </a:prstGeom>
                    <a:noFill/>
                    <a:ln>
                      <a:noFill/>
                    </a:ln>
                  </pic:spPr>
                </pic:pic>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 xml:space="preserve">图6 </w:t>
      </w:r>
      <w:r>
        <w:rPr>
          <w:rFonts w:hint="eastAsia" w:ascii="Times New Roman" w:hAnsi="Times New Roman" w:cs="Times New Roman"/>
          <w:color w:val="auto"/>
          <w:kern w:val="2"/>
          <w:sz w:val="18"/>
          <w:szCs w:val="18"/>
          <w:lang w:bidi="ar"/>
        </w:rPr>
        <w:t>“</w:t>
      </w:r>
      <w:r>
        <w:rPr>
          <w:rFonts w:ascii="Times New Roman" w:hAnsi="Times New Roman" w:cs="Times New Roman"/>
          <w:color w:val="auto"/>
          <w:kern w:val="2"/>
          <w:sz w:val="18"/>
          <w:szCs w:val="18"/>
          <w:lang w:bidi="ar"/>
        </w:rPr>
        <w:t>红塔方案</w:t>
      </w:r>
      <w:r>
        <w:rPr>
          <w:rFonts w:hint="eastAsia" w:ascii="Times New Roman" w:hAnsi="Times New Roman" w:cs="Times New Roman"/>
          <w:color w:val="auto"/>
          <w:kern w:val="2"/>
          <w:sz w:val="18"/>
          <w:szCs w:val="18"/>
          <w:lang w:bidi="ar"/>
        </w:rPr>
        <w:t>”</w:t>
      </w:r>
      <w:r>
        <w:rPr>
          <w:rFonts w:ascii="Times New Roman" w:hAnsi="Times New Roman" w:cs="Times New Roman"/>
          <w:color w:val="auto"/>
          <w:kern w:val="2"/>
          <w:sz w:val="18"/>
          <w:szCs w:val="18"/>
          <w:lang w:bidi="ar"/>
        </w:rPr>
        <w:t>分区示意图</w:t>
      </w:r>
    </w:p>
    <w:p>
      <w:pPr>
        <w:spacing w:before="120" w:after="120"/>
        <w:ind w:firstLine="643" w:firstLineChars="200"/>
        <w:rPr>
          <w:rFonts w:eastAsia="方正楷体_GBK"/>
          <w:b/>
          <w:bCs/>
          <w:color w:val="auto"/>
          <w:sz w:val="32"/>
          <w:szCs w:val="32"/>
        </w:rPr>
      </w:pPr>
      <w:bookmarkStart w:id="186" w:name="_Toc774"/>
      <w:r>
        <w:rPr>
          <w:rFonts w:eastAsia="方正楷体_GBK"/>
          <w:b/>
          <w:bCs/>
          <w:color w:val="auto"/>
          <w:sz w:val="32"/>
          <w:szCs w:val="32"/>
        </w:rPr>
        <w:t>（二）肥料化利用</w:t>
      </w:r>
    </w:p>
    <w:p>
      <w:pPr>
        <w:pStyle w:val="13"/>
        <w:ind w:firstLine="640"/>
        <w:rPr>
          <w:rFonts w:eastAsia="方正仿宋_GBK"/>
          <w:color w:val="auto"/>
          <w:kern w:val="0"/>
          <w:sz w:val="32"/>
          <w:szCs w:val="32"/>
        </w:rPr>
      </w:pPr>
      <w:r>
        <w:rPr>
          <w:rFonts w:eastAsia="方正仿宋_GBK"/>
          <w:color w:val="auto"/>
          <w:kern w:val="0"/>
          <w:sz w:val="32"/>
          <w:szCs w:val="32"/>
        </w:rPr>
        <w:t>1.</w:t>
      </w:r>
      <w:r>
        <w:rPr>
          <w:rFonts w:eastAsia="方正仿宋_GBK"/>
          <w:bCs/>
          <w:color w:val="auto"/>
          <w:kern w:val="0"/>
          <w:sz w:val="32"/>
          <w:szCs w:val="32"/>
        </w:rPr>
        <w:t>有机肥加工：</w:t>
      </w:r>
      <w:r>
        <w:rPr>
          <w:rFonts w:eastAsia="方正仿宋_GBK"/>
          <w:color w:val="auto"/>
          <w:kern w:val="0"/>
          <w:sz w:val="32"/>
          <w:szCs w:val="32"/>
        </w:rPr>
        <w:t>设置主体企业，</w:t>
      </w:r>
      <w:r>
        <w:rPr>
          <w:rFonts w:hint="eastAsia" w:eastAsia="方正仿宋_GBK"/>
          <w:color w:val="auto"/>
          <w:kern w:val="0"/>
          <w:sz w:val="32"/>
          <w:szCs w:val="32"/>
          <w:lang w:val="en-US" w:eastAsia="zh-CN"/>
        </w:rPr>
        <w:t>在</w:t>
      </w:r>
      <w:r>
        <w:rPr>
          <w:rFonts w:eastAsia="方正仿宋_GBK"/>
          <w:color w:val="auto"/>
          <w:kern w:val="0"/>
          <w:sz w:val="32"/>
          <w:szCs w:val="32"/>
        </w:rPr>
        <w:t>南部片区</w:t>
      </w:r>
      <w:r>
        <w:rPr>
          <w:rFonts w:hint="eastAsia" w:eastAsia="方正仿宋_GBK"/>
          <w:color w:val="auto"/>
          <w:kern w:val="0"/>
          <w:sz w:val="32"/>
          <w:szCs w:val="32"/>
          <w:lang w:val="en-US" w:eastAsia="zh-CN"/>
        </w:rPr>
        <w:t>遴选</w:t>
      </w:r>
      <w:r>
        <w:rPr>
          <w:rFonts w:eastAsia="方正仿宋_GBK"/>
          <w:color w:val="auto"/>
          <w:kern w:val="0"/>
          <w:sz w:val="32"/>
          <w:szCs w:val="32"/>
        </w:rPr>
        <w:t>有</w:t>
      </w:r>
      <w:r>
        <w:rPr>
          <w:rFonts w:hint="eastAsia" w:eastAsia="方正仿宋_GBK"/>
          <w:color w:val="auto"/>
          <w:kern w:val="0"/>
          <w:sz w:val="32"/>
          <w:szCs w:val="32"/>
          <w:lang w:val="en-US" w:eastAsia="zh-CN"/>
        </w:rPr>
        <w:t>相应有</w:t>
      </w:r>
      <w:r>
        <w:rPr>
          <w:rFonts w:eastAsia="方正仿宋_GBK"/>
          <w:color w:val="auto"/>
          <w:kern w:val="0"/>
          <w:sz w:val="32"/>
          <w:szCs w:val="32"/>
        </w:rPr>
        <w:t>机肥加工</w:t>
      </w:r>
      <w:r>
        <w:rPr>
          <w:rFonts w:hint="eastAsia" w:eastAsia="方正仿宋_GBK"/>
          <w:color w:val="auto"/>
          <w:kern w:val="0"/>
          <w:sz w:val="32"/>
          <w:szCs w:val="32"/>
          <w:lang w:val="en-US" w:eastAsia="zh-CN"/>
        </w:rPr>
        <w:t>能力的企业</w:t>
      </w:r>
      <w:r>
        <w:rPr>
          <w:rFonts w:hint="eastAsia" w:eastAsia="方正仿宋_GBK"/>
          <w:color w:val="auto"/>
          <w:kern w:val="0"/>
          <w:sz w:val="32"/>
          <w:szCs w:val="32"/>
        </w:rPr>
        <w:t>，</w:t>
      </w:r>
      <w:r>
        <w:rPr>
          <w:rFonts w:eastAsia="方正仿宋_GBK"/>
          <w:color w:val="auto"/>
          <w:kern w:val="0"/>
          <w:sz w:val="32"/>
          <w:szCs w:val="32"/>
        </w:rPr>
        <w:t>依托市政垃圾收储运体系协同</w:t>
      </w:r>
      <w:r>
        <w:rPr>
          <w:rFonts w:hint="eastAsia" w:eastAsia="方正仿宋_GBK"/>
          <w:color w:val="auto"/>
          <w:kern w:val="0"/>
          <w:sz w:val="32"/>
          <w:szCs w:val="32"/>
          <w:lang w:val="en-US" w:eastAsia="zh-CN"/>
        </w:rPr>
        <w:t>开展秸秆肥料化利用</w:t>
      </w:r>
      <w:r>
        <w:rPr>
          <w:rFonts w:eastAsia="方正仿宋_GBK"/>
          <w:color w:val="auto"/>
          <w:kern w:val="0"/>
          <w:sz w:val="32"/>
          <w:szCs w:val="32"/>
        </w:rPr>
        <w:t>。</w:t>
      </w:r>
      <w:r>
        <w:rPr>
          <w:rFonts w:hint="eastAsia" w:eastAsia="方正仿宋_GBK"/>
          <w:color w:val="auto"/>
          <w:kern w:val="0"/>
          <w:sz w:val="32"/>
          <w:szCs w:val="32"/>
          <w:lang w:val="en-US" w:eastAsia="zh-CN"/>
        </w:rPr>
        <w:t>鼓励</w:t>
      </w:r>
      <w:r>
        <w:rPr>
          <w:rFonts w:hint="eastAsia" w:eastAsia="方正仿宋_GBK"/>
          <w:color w:val="auto"/>
          <w:kern w:val="0"/>
          <w:sz w:val="32"/>
          <w:szCs w:val="32"/>
        </w:rPr>
        <w:t>“</w:t>
      </w:r>
      <w:r>
        <w:rPr>
          <w:rFonts w:eastAsia="方正仿宋_GBK"/>
          <w:color w:val="auto"/>
          <w:kern w:val="0"/>
          <w:sz w:val="32"/>
          <w:szCs w:val="32"/>
        </w:rPr>
        <w:t>以物置物，补助农户</w:t>
      </w:r>
      <w:r>
        <w:rPr>
          <w:rFonts w:hint="eastAsia" w:eastAsia="方正仿宋_GBK"/>
          <w:color w:val="auto"/>
          <w:kern w:val="0"/>
          <w:sz w:val="32"/>
          <w:szCs w:val="32"/>
        </w:rPr>
        <w:t>”</w:t>
      </w:r>
      <w:r>
        <w:rPr>
          <w:rFonts w:hint="eastAsia" w:eastAsia="方正仿宋_GBK"/>
          <w:color w:val="auto"/>
          <w:kern w:val="0"/>
          <w:sz w:val="32"/>
          <w:szCs w:val="32"/>
          <w:lang w:val="en-US" w:eastAsia="zh-CN"/>
        </w:rPr>
        <w:t>等</w:t>
      </w:r>
      <w:r>
        <w:rPr>
          <w:rFonts w:eastAsia="方正仿宋_GBK"/>
          <w:color w:val="auto"/>
          <w:kern w:val="0"/>
          <w:sz w:val="32"/>
          <w:szCs w:val="32"/>
        </w:rPr>
        <w:t>方式等价交换有机肥，到企业进行统一的收集现场兑换肥料。</w:t>
      </w:r>
    </w:p>
    <w:p>
      <w:pPr>
        <w:ind w:firstLine="640" w:firstLineChars="200"/>
        <w:rPr>
          <w:rFonts w:eastAsia="方正仿宋_GBK"/>
          <w:bCs/>
          <w:color w:val="auto"/>
          <w:kern w:val="0"/>
          <w:sz w:val="32"/>
          <w:szCs w:val="32"/>
        </w:rPr>
      </w:pPr>
      <w:r>
        <w:rPr>
          <w:rFonts w:eastAsia="方正仿宋_GBK"/>
          <w:bCs/>
          <w:color w:val="auto"/>
          <w:kern w:val="0"/>
          <w:sz w:val="32"/>
          <w:szCs w:val="32"/>
        </w:rPr>
        <w:t>2.</w:t>
      </w:r>
      <w:r>
        <w:rPr>
          <w:rFonts w:eastAsia="方正仿宋_GBK"/>
          <w:color w:val="auto"/>
          <w:kern w:val="0"/>
          <w:sz w:val="32"/>
          <w:szCs w:val="32"/>
        </w:rPr>
        <w:t>腐熟还田：主要针对北部秸秆不易直接收集的偏远</w:t>
      </w:r>
      <w:r>
        <w:rPr>
          <w:rFonts w:hint="eastAsia" w:eastAsia="方正仿宋_GBK"/>
          <w:color w:val="auto"/>
          <w:kern w:val="0"/>
          <w:sz w:val="32"/>
          <w:szCs w:val="32"/>
          <w:lang w:val="en-US" w:eastAsia="zh-CN"/>
        </w:rPr>
        <w:t>村（社区）</w:t>
      </w:r>
      <w:r>
        <w:rPr>
          <w:rFonts w:eastAsia="方正仿宋_GBK"/>
          <w:color w:val="auto"/>
          <w:kern w:val="0"/>
          <w:sz w:val="32"/>
          <w:szCs w:val="32"/>
        </w:rPr>
        <w:t>，由第三方科研机构指导，农户自身将秸秆通过腐熟剂处理作为肥料直接还田。补助部分主要是通过对村集体、种植大户（农户）发放腐熟剂和小型秸秆粉碎机来实现，预计还田秸秆14000吨。</w:t>
      </w:r>
    </w:p>
    <w:p>
      <w:pPr>
        <w:pStyle w:val="13"/>
        <w:numPr>
          <w:ilvl w:val="255"/>
          <w:numId w:val="0"/>
        </w:numPr>
        <w:ind w:firstLine="640" w:firstLineChars="200"/>
        <w:rPr>
          <w:rFonts w:eastAsia="方正仿宋_GBK"/>
          <w:color w:val="auto"/>
          <w:kern w:val="0"/>
          <w:sz w:val="32"/>
          <w:szCs w:val="32"/>
        </w:rPr>
      </w:pPr>
      <w:r>
        <w:rPr>
          <w:rFonts w:hint="eastAsia" w:eastAsia="方正仿宋_GBK"/>
          <w:bCs/>
          <w:color w:val="auto"/>
          <w:kern w:val="0"/>
          <w:sz w:val="32"/>
          <w:szCs w:val="32"/>
        </w:rPr>
        <w:t>3</w:t>
      </w:r>
      <w:r>
        <w:rPr>
          <w:rFonts w:eastAsia="方正仿宋_GBK"/>
          <w:bCs/>
          <w:color w:val="auto"/>
          <w:kern w:val="0"/>
          <w:sz w:val="32"/>
          <w:szCs w:val="32"/>
        </w:rPr>
        <w:t>.烟秆制备有机肥关键技术</w:t>
      </w:r>
      <w:r>
        <w:rPr>
          <w:rFonts w:hint="eastAsia" w:eastAsia="方正仿宋_GBK"/>
          <w:bCs/>
          <w:color w:val="auto"/>
          <w:kern w:val="0"/>
          <w:sz w:val="32"/>
          <w:szCs w:val="32"/>
        </w:rPr>
        <w:t>支持</w:t>
      </w:r>
    </w:p>
    <w:p>
      <w:pPr>
        <w:pStyle w:val="13"/>
        <w:ind w:firstLine="640"/>
        <w:rPr>
          <w:rFonts w:eastAsia="方正仿宋_GBK"/>
          <w:color w:val="auto"/>
          <w:kern w:val="0"/>
          <w:sz w:val="32"/>
          <w:szCs w:val="32"/>
        </w:rPr>
      </w:pPr>
      <w:r>
        <w:rPr>
          <w:rFonts w:eastAsia="方正仿宋_GBK"/>
          <w:color w:val="auto"/>
          <w:kern w:val="0"/>
          <w:sz w:val="32"/>
          <w:szCs w:val="32"/>
        </w:rPr>
        <w:t>烟秆中的烟碱可有效抑制灭杀秸秆中的虫卵等病虫害，是制作有机肥的良好原料，主要研究高效降解木质纤维素生物质微生物的筛选、鉴定及驯化，优化研究菌群（腐熟菌剂）的配伍、发酵条件等，重点研究腐熟菌剂在堆肥中的应用以及烟秆生物有机肥施用对烟草农艺性状、烟田理化性质与微生物区系的影响，开发烟草秸秆堆肥的高效腐熟菌剂，获得肥效好、安全绿色的烟秆生物有机肥，并实现成果转化，提升</w:t>
      </w:r>
      <w:r>
        <w:rPr>
          <w:rFonts w:hint="eastAsia" w:eastAsia="方正仿宋_GBK"/>
          <w:color w:val="auto"/>
          <w:kern w:val="0"/>
          <w:sz w:val="32"/>
          <w:szCs w:val="32"/>
          <w:lang w:val="en-US" w:eastAsia="zh-CN"/>
        </w:rPr>
        <w:t>相关</w:t>
      </w:r>
      <w:r>
        <w:rPr>
          <w:rFonts w:eastAsia="方正仿宋_GBK"/>
          <w:color w:val="auto"/>
          <w:kern w:val="0"/>
          <w:sz w:val="32"/>
          <w:szCs w:val="32"/>
        </w:rPr>
        <w:t>企业的技术水平，对于烟秆的规模化、资源化利用具有重要的指导意义，详见附件</w:t>
      </w:r>
      <w:r>
        <w:rPr>
          <w:rFonts w:hint="eastAsia" w:eastAsia="方正仿宋_GBK"/>
          <w:color w:val="auto"/>
          <w:kern w:val="0"/>
          <w:sz w:val="32"/>
          <w:szCs w:val="32"/>
        </w:rPr>
        <w:t>5</w:t>
      </w:r>
      <w:r>
        <w:rPr>
          <w:rFonts w:eastAsia="方正仿宋_GBK"/>
          <w:color w:val="auto"/>
          <w:kern w:val="0"/>
          <w:sz w:val="32"/>
          <w:szCs w:val="32"/>
        </w:rPr>
        <w:t>。</w:t>
      </w:r>
    </w:p>
    <w:p>
      <w:pPr>
        <w:widowControl/>
        <w:ind w:firstLine="620" w:firstLineChars="200"/>
        <w:jc w:val="left"/>
        <w:rPr>
          <w:rFonts w:eastAsia="方正仿宋_GBK"/>
          <w:color w:val="auto"/>
          <w:kern w:val="0"/>
          <w:sz w:val="32"/>
          <w:szCs w:val="32"/>
        </w:rPr>
      </w:pPr>
      <w:r>
        <w:rPr>
          <w:rFonts w:eastAsia="方正仿宋_GBK"/>
          <w:color w:val="auto"/>
          <w:kern w:val="0"/>
          <w:sz w:val="31"/>
          <w:szCs w:val="31"/>
          <w:lang w:bidi="ar"/>
        </w:rPr>
        <w:t>项目通过烟秆制备有机肥关键菌剂研发为抓手，通过产学研相结合，</w:t>
      </w:r>
      <w:r>
        <w:rPr>
          <w:rFonts w:hint="eastAsia" w:eastAsia="方正仿宋_GBK"/>
          <w:color w:val="auto"/>
          <w:kern w:val="0"/>
          <w:sz w:val="31"/>
          <w:szCs w:val="31"/>
          <w:lang w:val="en-US" w:eastAsia="zh-CN" w:bidi="ar"/>
        </w:rPr>
        <w:t>对相应企业</w:t>
      </w:r>
      <w:r>
        <w:rPr>
          <w:rFonts w:eastAsia="方正仿宋_GBK"/>
          <w:color w:val="auto"/>
          <w:kern w:val="0"/>
          <w:sz w:val="31"/>
          <w:szCs w:val="31"/>
          <w:lang w:bidi="ar"/>
        </w:rPr>
        <w:t>进行技术升级，提高红塔区秸秆肥料化利用，促进有机肥生产还田，改善土壤条件，提高种植收入。2023年计划收集处理秸秆15000吨以上，秸秆包</w:t>
      </w:r>
      <w:r>
        <w:rPr>
          <w:rFonts w:eastAsia="方正仿宋_GBK"/>
          <w:color w:val="auto"/>
          <w:kern w:val="0"/>
          <w:sz w:val="32"/>
          <w:szCs w:val="32"/>
        </w:rPr>
        <w:t>含红塔周边县区农作物秸秆</w:t>
      </w:r>
      <w:r>
        <w:rPr>
          <w:rFonts w:eastAsia="方正仿宋_GBK"/>
          <w:color w:val="auto"/>
          <w:kern w:val="0"/>
          <w:sz w:val="31"/>
          <w:szCs w:val="31"/>
          <w:lang w:bidi="ar"/>
        </w:rPr>
        <w:t>。</w:t>
      </w:r>
    </w:p>
    <w:p>
      <w:pPr>
        <w:widowControl/>
        <w:ind w:firstLine="643" w:firstLineChars="200"/>
        <w:jc w:val="left"/>
        <w:rPr>
          <w:rFonts w:eastAsia="方正楷体_GBK"/>
          <w:b/>
          <w:bCs/>
          <w:color w:val="auto"/>
          <w:sz w:val="32"/>
          <w:szCs w:val="32"/>
        </w:rPr>
      </w:pPr>
      <w:bookmarkStart w:id="187" w:name="_Toc13166"/>
      <w:r>
        <w:rPr>
          <w:rFonts w:eastAsia="方正楷体_GBK"/>
          <w:b/>
          <w:bCs/>
          <w:color w:val="auto"/>
          <w:sz w:val="32"/>
          <w:szCs w:val="32"/>
        </w:rPr>
        <w:t>（三）</w:t>
      </w:r>
      <w:bookmarkEnd w:id="187"/>
      <w:r>
        <w:rPr>
          <w:rFonts w:eastAsia="方正楷体_GBK"/>
          <w:b/>
          <w:bCs/>
          <w:color w:val="auto"/>
          <w:sz w:val="32"/>
          <w:szCs w:val="32"/>
        </w:rPr>
        <w:t>燃料化利用</w:t>
      </w:r>
      <w:bookmarkEnd w:id="186"/>
    </w:p>
    <w:p>
      <w:pPr>
        <w:ind w:firstLine="640" w:firstLineChars="200"/>
        <w:rPr>
          <w:rFonts w:eastAsia="方正仿宋_GBK"/>
          <w:color w:val="auto"/>
          <w:kern w:val="0"/>
          <w:sz w:val="32"/>
          <w:szCs w:val="32"/>
        </w:rPr>
      </w:pPr>
      <w:r>
        <w:rPr>
          <w:rFonts w:eastAsia="方正仿宋_GBK"/>
          <w:color w:val="auto"/>
          <w:kern w:val="0"/>
          <w:sz w:val="32"/>
          <w:szCs w:val="32"/>
        </w:rPr>
        <w:t>1.</w:t>
      </w:r>
      <w:r>
        <w:rPr>
          <w:rFonts w:hint="eastAsia" w:eastAsia="方正仿宋_GBK"/>
          <w:color w:val="auto"/>
          <w:kern w:val="0"/>
          <w:sz w:val="32"/>
          <w:szCs w:val="32"/>
        </w:rPr>
        <w:t>秸秆燃料化利用示范工程建设</w:t>
      </w:r>
    </w:p>
    <w:p>
      <w:pPr>
        <w:widowControl/>
        <w:ind w:firstLine="640" w:firstLineChars="200"/>
        <w:rPr>
          <w:rFonts w:eastAsia="方正仿宋_GBK"/>
          <w:color w:val="auto"/>
          <w:kern w:val="0"/>
          <w:sz w:val="32"/>
          <w:szCs w:val="32"/>
        </w:rPr>
      </w:pPr>
      <w:r>
        <w:rPr>
          <w:rFonts w:eastAsia="方正仿宋_GBK"/>
          <w:color w:val="auto"/>
          <w:kern w:val="0"/>
          <w:sz w:val="32"/>
          <w:szCs w:val="32"/>
        </w:rPr>
        <w:t>在燃料化方面热值最佳颗粒燃料为林业、农业废弃物协同处理，但目前全区燃料化企业主要以林业废弃物为主要加工材料，在农作物秸秆使用上具有一定的提升空间，拟采用补助主体企业、引进技术支持等方式促进农作物秸秆的高值</w:t>
      </w:r>
      <w:r>
        <w:rPr>
          <w:rFonts w:hint="eastAsia" w:eastAsia="方正仿宋_GBK"/>
          <w:color w:val="auto"/>
          <w:kern w:val="0"/>
          <w:sz w:val="32"/>
          <w:szCs w:val="32"/>
          <w:lang w:val="en-US" w:eastAsia="zh-CN"/>
        </w:rPr>
        <w:t>燃料化</w:t>
      </w:r>
      <w:r>
        <w:rPr>
          <w:rFonts w:eastAsia="方正仿宋_GBK"/>
          <w:color w:val="auto"/>
          <w:kern w:val="0"/>
          <w:sz w:val="32"/>
          <w:szCs w:val="32"/>
        </w:rPr>
        <w:t>利用。计划2023年消化量为10000吨，</w:t>
      </w:r>
      <w:r>
        <w:rPr>
          <w:rFonts w:hint="eastAsia" w:eastAsia="方正仿宋_GBK"/>
          <w:color w:val="auto"/>
          <w:kern w:val="0"/>
          <w:sz w:val="32"/>
          <w:szCs w:val="32"/>
          <w:lang w:val="en-US" w:eastAsia="zh-CN"/>
        </w:rPr>
        <w:t>针对主要和特色农作物秸秆</w:t>
      </w:r>
      <w:r>
        <w:rPr>
          <w:rFonts w:eastAsia="方正仿宋_GBK"/>
          <w:color w:val="auto"/>
          <w:kern w:val="0"/>
          <w:sz w:val="32"/>
          <w:szCs w:val="32"/>
        </w:rPr>
        <w:t>进行处理。</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2.烟秆高值燃料化利用关键技术研发及应用</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针对用户普遍反映的烟秆颗粒燃料发热量低、烟碱量大、易粉碎等问题，以烟秆为研究对象，研究烟秆压制压力、压制温度、压制时间及碳化温度等因素</w:t>
      </w:r>
      <w:r>
        <w:rPr>
          <w:rFonts w:hint="eastAsia" w:eastAsia="方正仿宋_GBK"/>
          <w:color w:val="auto"/>
          <w:kern w:val="0"/>
          <w:sz w:val="32"/>
          <w:szCs w:val="32"/>
        </w:rPr>
        <w:t>对</w:t>
      </w:r>
      <w:r>
        <w:rPr>
          <w:rFonts w:eastAsia="方正仿宋_GBK"/>
          <w:color w:val="auto"/>
          <w:kern w:val="0"/>
          <w:sz w:val="32"/>
          <w:szCs w:val="32"/>
        </w:rPr>
        <w:t>颗粒燃料性能的相互影响关系，尤其是烟碱的分布走向和影响，实现烟碱的降解，获得烟秆燃料化利用最佳工艺技术参数；开发新型粘结剂，解决烟秆颗粒燃料易粉碎的难题，形成烟秆制备高值燃料的关键核心技术，为</w:t>
      </w:r>
      <w:r>
        <w:rPr>
          <w:rFonts w:hint="eastAsia" w:eastAsia="方正仿宋_GBK"/>
          <w:color w:val="auto"/>
          <w:kern w:val="0"/>
          <w:sz w:val="32"/>
          <w:szCs w:val="32"/>
          <w:lang w:val="en-US" w:eastAsia="zh-CN"/>
        </w:rPr>
        <w:t>相应企业</w:t>
      </w:r>
      <w:r>
        <w:rPr>
          <w:rFonts w:eastAsia="方正仿宋_GBK"/>
          <w:color w:val="auto"/>
          <w:kern w:val="0"/>
          <w:sz w:val="32"/>
          <w:szCs w:val="32"/>
        </w:rPr>
        <w:t>技术升级提供支持，解决烟秆规模化、高值化制备颗料燃料的难题，详见附件</w:t>
      </w:r>
      <w:r>
        <w:rPr>
          <w:rFonts w:hint="eastAsia" w:eastAsia="方正仿宋_GBK"/>
          <w:color w:val="auto"/>
          <w:kern w:val="0"/>
          <w:sz w:val="32"/>
          <w:szCs w:val="32"/>
        </w:rPr>
        <w:t>5</w:t>
      </w:r>
      <w:r>
        <w:rPr>
          <w:rFonts w:eastAsia="方正仿宋_GBK"/>
          <w:color w:val="auto"/>
          <w:kern w:val="0"/>
          <w:sz w:val="32"/>
          <w:szCs w:val="32"/>
        </w:rPr>
        <w:t>。</w:t>
      </w:r>
    </w:p>
    <w:p>
      <w:pPr>
        <w:spacing w:before="0" w:after="0"/>
        <w:ind w:firstLine="643" w:firstLineChars="200"/>
        <w:rPr>
          <w:rFonts w:eastAsia="方正楷体_GBK"/>
          <w:b/>
          <w:bCs/>
          <w:color w:val="auto"/>
          <w:sz w:val="32"/>
          <w:szCs w:val="32"/>
        </w:rPr>
      </w:pPr>
      <w:bookmarkStart w:id="188" w:name="_Toc21558"/>
      <w:r>
        <w:rPr>
          <w:rFonts w:eastAsia="方正楷体_GBK"/>
          <w:b/>
          <w:bCs/>
          <w:color w:val="auto"/>
          <w:sz w:val="32"/>
          <w:szCs w:val="32"/>
        </w:rPr>
        <w:t>（四）饲料化利用</w:t>
      </w:r>
      <w:bookmarkEnd w:id="188"/>
    </w:p>
    <w:p>
      <w:pPr>
        <w:pStyle w:val="13"/>
        <w:ind w:firstLine="640"/>
        <w:rPr>
          <w:rFonts w:eastAsia="方正仿宋_GBK"/>
          <w:color w:val="auto"/>
          <w:kern w:val="0"/>
          <w:sz w:val="32"/>
          <w:szCs w:val="32"/>
        </w:rPr>
      </w:pPr>
      <w:r>
        <w:rPr>
          <w:rFonts w:hint="eastAsia" w:eastAsia="方正仿宋_GBK"/>
          <w:color w:val="auto"/>
          <w:kern w:val="0"/>
          <w:sz w:val="32"/>
          <w:szCs w:val="32"/>
          <w:lang w:val="en-US" w:eastAsia="zh-CN"/>
        </w:rPr>
        <w:t>通过秸秆过腹还田，作为沃土模式的重要支撑。</w:t>
      </w:r>
      <w:r>
        <w:rPr>
          <w:rFonts w:eastAsia="方正仿宋_GBK"/>
          <w:color w:val="auto"/>
          <w:kern w:val="0"/>
          <w:sz w:val="32"/>
          <w:szCs w:val="32"/>
        </w:rPr>
        <w:t>遴选符合条件（</w:t>
      </w:r>
      <w:r>
        <w:rPr>
          <w:rFonts w:hint="eastAsia" w:eastAsia="方正仿宋_GBK"/>
          <w:color w:val="auto"/>
          <w:kern w:val="0"/>
          <w:sz w:val="32"/>
          <w:szCs w:val="32"/>
          <w:lang w:val="en-US" w:eastAsia="zh-CN"/>
        </w:rPr>
        <w:t>牛存栏</w:t>
      </w:r>
      <w:r>
        <w:rPr>
          <w:rFonts w:eastAsia="方正仿宋_GBK"/>
          <w:color w:val="auto"/>
          <w:kern w:val="0"/>
          <w:sz w:val="32"/>
          <w:szCs w:val="32"/>
        </w:rPr>
        <w:t>50头以上）的</w:t>
      </w:r>
      <w:r>
        <w:rPr>
          <w:rFonts w:hint="eastAsia" w:eastAsia="方正仿宋_GBK"/>
          <w:color w:val="auto"/>
          <w:kern w:val="0"/>
          <w:sz w:val="32"/>
          <w:szCs w:val="32"/>
          <w:lang w:val="en-US" w:eastAsia="zh-CN"/>
        </w:rPr>
        <w:t>市场主体</w:t>
      </w:r>
      <w:r>
        <w:rPr>
          <w:rFonts w:eastAsia="方正仿宋_GBK"/>
          <w:color w:val="auto"/>
          <w:kern w:val="0"/>
          <w:sz w:val="32"/>
          <w:szCs w:val="32"/>
        </w:rPr>
        <w:t>进行资金支持</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建设</w:t>
      </w:r>
      <w:r>
        <w:rPr>
          <w:rFonts w:eastAsia="方正仿宋_GBK"/>
          <w:color w:val="auto"/>
          <w:kern w:val="0"/>
          <w:sz w:val="32"/>
          <w:szCs w:val="32"/>
        </w:rPr>
        <w:t>青</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黄</w:t>
      </w:r>
      <w:r>
        <w:rPr>
          <w:rFonts w:hint="eastAsia" w:eastAsia="方正仿宋_GBK"/>
          <w:color w:val="auto"/>
          <w:kern w:val="0"/>
          <w:sz w:val="32"/>
          <w:szCs w:val="32"/>
          <w:lang w:eastAsia="zh-CN"/>
        </w:rPr>
        <w:t>）</w:t>
      </w:r>
      <w:r>
        <w:rPr>
          <w:rFonts w:eastAsia="方正仿宋_GBK"/>
          <w:color w:val="auto"/>
          <w:kern w:val="0"/>
          <w:sz w:val="32"/>
          <w:szCs w:val="32"/>
        </w:rPr>
        <w:t>储</w:t>
      </w:r>
      <w:r>
        <w:rPr>
          <w:rFonts w:hint="eastAsia" w:eastAsia="方正仿宋_GBK"/>
          <w:color w:val="auto"/>
          <w:kern w:val="0"/>
          <w:sz w:val="32"/>
          <w:szCs w:val="32"/>
          <w:lang w:val="en-US" w:eastAsia="zh-CN"/>
        </w:rPr>
        <w:t>存</w:t>
      </w:r>
      <w:r>
        <w:rPr>
          <w:rFonts w:eastAsia="方正仿宋_GBK"/>
          <w:color w:val="auto"/>
          <w:kern w:val="0"/>
          <w:sz w:val="32"/>
          <w:szCs w:val="32"/>
        </w:rPr>
        <w:t>池</w:t>
      </w:r>
      <w:r>
        <w:rPr>
          <w:rFonts w:hint="eastAsia" w:eastAsia="方正仿宋_GBK"/>
          <w:color w:val="auto"/>
          <w:kern w:val="0"/>
          <w:sz w:val="32"/>
          <w:szCs w:val="32"/>
          <w:lang w:val="en-US" w:eastAsia="zh-CN"/>
        </w:rPr>
        <w:t>和购买饲料加工设备</w:t>
      </w:r>
      <w:r>
        <w:rPr>
          <w:rFonts w:eastAsia="方正仿宋_GBK"/>
          <w:color w:val="auto"/>
          <w:kern w:val="0"/>
          <w:sz w:val="32"/>
          <w:szCs w:val="32"/>
        </w:rPr>
        <w:t>，解决养殖企业秸秆不够用与农户秸秆难处理的突出问题。</w:t>
      </w:r>
      <w:r>
        <w:rPr>
          <w:rFonts w:hint="eastAsia" w:eastAsia="方正仿宋_GBK"/>
          <w:color w:val="auto"/>
          <w:kern w:val="0"/>
          <w:sz w:val="32"/>
          <w:szCs w:val="32"/>
          <w:lang w:val="en-US" w:eastAsia="zh-CN"/>
        </w:rPr>
        <w:t>通</w:t>
      </w:r>
      <w:r>
        <w:rPr>
          <w:rFonts w:eastAsia="方正仿宋_GBK"/>
          <w:color w:val="auto"/>
          <w:kern w:val="0"/>
          <w:sz w:val="32"/>
          <w:szCs w:val="32"/>
        </w:rPr>
        <w:t>过</w:t>
      </w:r>
      <w:r>
        <w:rPr>
          <w:rFonts w:hint="eastAsia" w:eastAsia="方正仿宋_GBK"/>
          <w:color w:val="auto"/>
          <w:kern w:val="0"/>
          <w:sz w:val="32"/>
          <w:szCs w:val="32"/>
          <w:lang w:val="en-US" w:eastAsia="zh-CN"/>
        </w:rPr>
        <w:t>项目</w:t>
      </w:r>
      <w:r>
        <w:rPr>
          <w:rFonts w:eastAsia="方正仿宋_GBK"/>
          <w:color w:val="auto"/>
          <w:kern w:val="0"/>
          <w:sz w:val="32"/>
          <w:szCs w:val="32"/>
        </w:rPr>
        <w:t>实施，</w:t>
      </w:r>
      <w:r>
        <w:rPr>
          <w:rFonts w:hint="eastAsia" w:eastAsia="方正仿宋_GBK"/>
          <w:color w:val="auto"/>
          <w:kern w:val="0"/>
          <w:sz w:val="32"/>
          <w:szCs w:val="32"/>
          <w:lang w:val="en-US" w:eastAsia="zh-CN"/>
        </w:rPr>
        <w:t>预计</w:t>
      </w:r>
      <w:r>
        <w:rPr>
          <w:rFonts w:eastAsia="方正仿宋_GBK"/>
          <w:color w:val="auto"/>
          <w:kern w:val="0"/>
          <w:sz w:val="32"/>
          <w:szCs w:val="32"/>
        </w:rPr>
        <w:t>2023年农作物秸秆</w:t>
      </w:r>
      <w:r>
        <w:rPr>
          <w:rFonts w:hint="eastAsia" w:eastAsia="方正仿宋_GBK"/>
          <w:color w:val="auto"/>
          <w:kern w:val="0"/>
          <w:sz w:val="32"/>
          <w:szCs w:val="32"/>
          <w:lang w:val="en-US" w:eastAsia="zh-CN"/>
        </w:rPr>
        <w:t>饲料化</w:t>
      </w:r>
      <w:r>
        <w:rPr>
          <w:rFonts w:eastAsia="方正仿宋_GBK"/>
          <w:color w:val="auto"/>
          <w:kern w:val="0"/>
          <w:sz w:val="32"/>
          <w:szCs w:val="32"/>
        </w:rPr>
        <w:t>利用量</w:t>
      </w:r>
      <w:r>
        <w:rPr>
          <w:rFonts w:hint="eastAsia" w:eastAsia="方正仿宋_GBK"/>
          <w:color w:val="auto"/>
          <w:kern w:val="0"/>
          <w:sz w:val="32"/>
          <w:szCs w:val="32"/>
          <w:lang w:val="en-US" w:eastAsia="zh-CN"/>
        </w:rPr>
        <w:t>达18000</w:t>
      </w:r>
      <w:r>
        <w:rPr>
          <w:rFonts w:eastAsia="方正仿宋_GBK"/>
          <w:color w:val="auto"/>
          <w:kern w:val="0"/>
          <w:sz w:val="32"/>
          <w:szCs w:val="32"/>
        </w:rPr>
        <w:t>吨，详见附件</w:t>
      </w:r>
      <w:r>
        <w:rPr>
          <w:rFonts w:hint="eastAsia" w:eastAsia="方正仿宋_GBK"/>
          <w:color w:val="auto"/>
          <w:kern w:val="0"/>
          <w:sz w:val="32"/>
          <w:szCs w:val="32"/>
        </w:rPr>
        <w:t>6</w:t>
      </w:r>
      <w:r>
        <w:rPr>
          <w:rFonts w:eastAsia="方正仿宋_GBK"/>
          <w:color w:val="auto"/>
          <w:kern w:val="0"/>
          <w:sz w:val="32"/>
          <w:szCs w:val="32"/>
        </w:rPr>
        <w:t>。</w:t>
      </w:r>
    </w:p>
    <w:p>
      <w:pPr>
        <w:spacing w:before="120" w:after="120"/>
        <w:ind w:firstLine="643" w:firstLineChars="200"/>
        <w:rPr>
          <w:rFonts w:eastAsia="方正楷体_GBK"/>
          <w:b/>
          <w:bCs/>
          <w:color w:val="auto"/>
          <w:sz w:val="32"/>
          <w:szCs w:val="32"/>
        </w:rPr>
      </w:pPr>
      <w:bookmarkStart w:id="189" w:name="_Toc12816"/>
      <w:r>
        <w:rPr>
          <w:rFonts w:eastAsia="方正楷体_GBK"/>
          <w:b/>
          <w:bCs/>
          <w:color w:val="auto"/>
          <w:sz w:val="32"/>
          <w:szCs w:val="32"/>
        </w:rPr>
        <w:t>（五）原料化利用</w:t>
      </w:r>
      <w:bookmarkEnd w:id="189"/>
    </w:p>
    <w:p>
      <w:pPr>
        <w:pStyle w:val="13"/>
        <w:ind w:firstLine="640" w:firstLineChars="200"/>
        <w:outlineLvl w:val="2"/>
        <w:rPr>
          <w:rFonts w:eastAsia="方正仿宋_GBK"/>
          <w:color w:val="auto"/>
          <w:kern w:val="0"/>
          <w:sz w:val="32"/>
          <w:szCs w:val="32"/>
        </w:rPr>
      </w:pPr>
      <w:r>
        <w:rPr>
          <w:rFonts w:hint="eastAsia" w:eastAsia="方正仿宋_GBK"/>
          <w:color w:val="auto"/>
          <w:kern w:val="0"/>
          <w:sz w:val="32"/>
          <w:szCs w:val="32"/>
          <w:lang w:val="en-US" w:eastAsia="zh-CN"/>
        </w:rPr>
        <w:t>鼓励实施秸秆代木，生产净化功能材料、有机化工和秸秆编织等高值化利用企业积极参与原料化利用。</w:t>
      </w:r>
      <w:r>
        <w:rPr>
          <w:rFonts w:eastAsia="方正仿宋_GBK"/>
          <w:color w:val="auto"/>
          <w:kern w:val="0"/>
          <w:sz w:val="32"/>
          <w:szCs w:val="32"/>
        </w:rPr>
        <w:t>遴选符合条件的</w:t>
      </w:r>
      <w:r>
        <w:rPr>
          <w:rFonts w:hint="eastAsia" w:eastAsia="方正仿宋_GBK"/>
          <w:color w:val="auto"/>
          <w:kern w:val="0"/>
          <w:sz w:val="32"/>
          <w:szCs w:val="32"/>
          <w:lang w:val="en-US" w:eastAsia="zh-CN"/>
        </w:rPr>
        <w:t>市场主体</w:t>
      </w:r>
      <w:r>
        <w:rPr>
          <w:rFonts w:eastAsia="方正仿宋_GBK"/>
          <w:color w:val="auto"/>
          <w:kern w:val="0"/>
          <w:sz w:val="32"/>
          <w:szCs w:val="32"/>
        </w:rPr>
        <w:t>进行资金支持</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资金主要支持秸秆利用环节的粉碎、打捆等加工设备和储草棚等设施建设。</w:t>
      </w:r>
      <w:r>
        <w:rPr>
          <w:rFonts w:eastAsia="方正仿宋_GBK"/>
          <w:color w:val="auto"/>
          <w:kern w:val="0"/>
          <w:sz w:val="32"/>
          <w:szCs w:val="32"/>
        </w:rPr>
        <w:t>2023年计划</w:t>
      </w:r>
      <w:r>
        <w:rPr>
          <w:rFonts w:hint="eastAsia" w:eastAsia="方正仿宋_GBK"/>
          <w:color w:val="auto"/>
          <w:kern w:val="0"/>
          <w:sz w:val="32"/>
          <w:szCs w:val="32"/>
          <w:lang w:val="en-US" w:eastAsia="zh-CN"/>
        </w:rPr>
        <w:t>实现红塔区内水稻秸秆收集全覆盖，预计总消耗量不低于</w:t>
      </w:r>
      <w:r>
        <w:rPr>
          <w:rFonts w:eastAsia="方正仿宋_GBK"/>
          <w:color w:val="auto"/>
          <w:kern w:val="0"/>
          <w:sz w:val="32"/>
          <w:szCs w:val="32"/>
        </w:rPr>
        <w:t>23000吨</w:t>
      </w:r>
      <w:r>
        <w:rPr>
          <w:rFonts w:hint="eastAsia" w:eastAsia="方正仿宋_GBK"/>
          <w:color w:val="auto"/>
          <w:kern w:val="0"/>
          <w:sz w:val="32"/>
          <w:szCs w:val="32"/>
          <w:lang w:eastAsia="zh-CN"/>
        </w:rPr>
        <w:t>（</w:t>
      </w:r>
      <w:r>
        <w:rPr>
          <w:rFonts w:eastAsia="方正仿宋_GBK"/>
          <w:color w:val="auto"/>
          <w:kern w:val="0"/>
          <w:sz w:val="32"/>
          <w:szCs w:val="32"/>
        </w:rPr>
        <w:t>秸秆包含红塔区内以及</w:t>
      </w:r>
      <w:r>
        <w:rPr>
          <w:rFonts w:hint="eastAsia" w:eastAsia="方正仿宋_GBK"/>
          <w:color w:val="auto"/>
          <w:kern w:val="0"/>
          <w:sz w:val="32"/>
          <w:szCs w:val="32"/>
          <w:lang w:val="en-US" w:eastAsia="zh-CN"/>
        </w:rPr>
        <w:t>其他</w:t>
      </w:r>
      <w:r>
        <w:rPr>
          <w:rFonts w:eastAsia="方正仿宋_GBK"/>
          <w:color w:val="auto"/>
          <w:kern w:val="0"/>
          <w:sz w:val="32"/>
          <w:szCs w:val="32"/>
        </w:rPr>
        <w:t>县区农作物秸秆</w:t>
      </w:r>
      <w:r>
        <w:rPr>
          <w:rFonts w:hint="eastAsia" w:eastAsia="方正仿宋_GBK"/>
          <w:color w:val="auto"/>
          <w:kern w:val="0"/>
          <w:sz w:val="32"/>
          <w:szCs w:val="32"/>
          <w:lang w:eastAsia="zh-CN"/>
        </w:rPr>
        <w:t>）</w:t>
      </w:r>
      <w:r>
        <w:rPr>
          <w:rFonts w:eastAsia="方正仿宋_GBK"/>
          <w:color w:val="auto"/>
          <w:kern w:val="0"/>
          <w:sz w:val="32"/>
          <w:szCs w:val="32"/>
        </w:rPr>
        <w:t>。</w:t>
      </w:r>
    </w:p>
    <w:p>
      <w:pPr>
        <w:spacing w:before="120" w:after="120"/>
        <w:ind w:firstLine="643" w:firstLineChars="200"/>
        <w:rPr>
          <w:rFonts w:eastAsia="方正楷体_GBK"/>
          <w:b/>
          <w:bCs/>
          <w:color w:val="auto"/>
          <w:sz w:val="32"/>
          <w:szCs w:val="32"/>
        </w:rPr>
      </w:pPr>
      <w:bookmarkStart w:id="190" w:name="_Toc5474"/>
      <w:bookmarkStart w:id="191" w:name="_Toc15090"/>
      <w:bookmarkStart w:id="192" w:name="_Toc16446"/>
      <w:r>
        <w:rPr>
          <w:rFonts w:eastAsia="方正楷体_GBK"/>
          <w:b/>
          <w:bCs/>
          <w:color w:val="auto"/>
          <w:sz w:val="32"/>
          <w:szCs w:val="32"/>
        </w:rPr>
        <w:t>（六）还田监测及相关数据测算</w:t>
      </w:r>
      <w:bookmarkEnd w:id="190"/>
    </w:p>
    <w:p>
      <w:pPr>
        <w:ind w:firstLine="640" w:firstLineChars="200"/>
        <w:rPr>
          <w:rFonts w:eastAsia="方正仿宋_GBK"/>
          <w:color w:val="auto"/>
          <w:kern w:val="0"/>
          <w:sz w:val="32"/>
          <w:szCs w:val="32"/>
        </w:rPr>
      </w:pPr>
      <w:bookmarkStart w:id="193" w:name="_Toc32762"/>
      <w:bookmarkStart w:id="194" w:name="_Toc27127"/>
      <w:bookmarkStart w:id="195" w:name="_Toc6895"/>
      <w:bookmarkStart w:id="196" w:name="_Toc29006"/>
      <w:bookmarkStart w:id="197" w:name="_Toc8437"/>
      <w:r>
        <w:rPr>
          <w:rFonts w:hint="eastAsia" w:eastAsia="方正仿宋_GBK"/>
          <w:color w:val="auto"/>
          <w:kern w:val="0"/>
          <w:sz w:val="32"/>
          <w:szCs w:val="32"/>
          <w:lang w:val="en-US" w:eastAsia="zh-CN"/>
        </w:rPr>
        <w:t>根据</w:t>
      </w:r>
      <w:r>
        <w:rPr>
          <w:rFonts w:eastAsia="方正仿宋_GBK"/>
          <w:color w:val="auto"/>
          <w:kern w:val="0"/>
          <w:sz w:val="32"/>
          <w:szCs w:val="32"/>
        </w:rPr>
        <w:t>《农业农村部办公厅关于做好2022年农作物秸秆综合利用工作的通知》（农办科〔2022〕12号）</w:t>
      </w:r>
      <w:r>
        <w:rPr>
          <w:rFonts w:hint="eastAsia" w:eastAsia="方正仿宋_GBK"/>
          <w:color w:val="auto"/>
          <w:kern w:val="0"/>
          <w:sz w:val="32"/>
          <w:szCs w:val="32"/>
          <w:lang w:eastAsia="zh-CN"/>
        </w:rPr>
        <w:t>、</w:t>
      </w:r>
      <w:r>
        <w:rPr>
          <w:rFonts w:eastAsia="方正仿宋_GBK"/>
          <w:color w:val="auto"/>
          <w:kern w:val="0"/>
          <w:sz w:val="32"/>
          <w:szCs w:val="32"/>
        </w:rPr>
        <w:t>云南农业农村厅关于印发《云南省</w:t>
      </w:r>
      <w:r>
        <w:rPr>
          <w:rFonts w:hint="eastAsia" w:eastAsia="方正仿宋_GBK"/>
          <w:color w:val="auto"/>
          <w:kern w:val="0"/>
          <w:sz w:val="32"/>
          <w:szCs w:val="32"/>
        </w:rPr>
        <w:t>“</w:t>
      </w:r>
      <w:r>
        <w:rPr>
          <w:rFonts w:eastAsia="方正仿宋_GBK"/>
          <w:color w:val="auto"/>
          <w:kern w:val="0"/>
          <w:sz w:val="32"/>
          <w:szCs w:val="32"/>
        </w:rPr>
        <w:t>十四五</w:t>
      </w:r>
      <w:r>
        <w:rPr>
          <w:rFonts w:hint="eastAsia" w:eastAsia="方正仿宋_GBK"/>
          <w:color w:val="auto"/>
          <w:kern w:val="0"/>
          <w:sz w:val="32"/>
          <w:szCs w:val="32"/>
        </w:rPr>
        <w:t>”</w:t>
      </w:r>
      <w:r>
        <w:rPr>
          <w:rFonts w:eastAsia="方正仿宋_GBK"/>
          <w:color w:val="auto"/>
          <w:kern w:val="0"/>
          <w:sz w:val="32"/>
          <w:szCs w:val="32"/>
        </w:rPr>
        <w:t>农作物秸秆综合利用实施方案的通知》（云农环〔2022〕4号）</w:t>
      </w:r>
      <w:r>
        <w:rPr>
          <w:rFonts w:hint="eastAsia" w:eastAsia="方正仿宋_GBK"/>
          <w:color w:val="auto"/>
          <w:kern w:val="0"/>
          <w:sz w:val="32"/>
          <w:szCs w:val="32"/>
          <w:lang w:eastAsia="zh-CN"/>
        </w:rPr>
        <w:t>、</w:t>
      </w:r>
      <w:r>
        <w:rPr>
          <w:rFonts w:eastAsia="方正仿宋_GBK"/>
          <w:color w:val="auto"/>
          <w:kern w:val="0"/>
          <w:sz w:val="32"/>
          <w:szCs w:val="32"/>
        </w:rPr>
        <w:t>云南省农业农村厅办公室关于印发《云南省202</w:t>
      </w:r>
      <w:r>
        <w:rPr>
          <w:rFonts w:hint="eastAsia" w:eastAsia="方正仿宋_GBK"/>
          <w:color w:val="auto"/>
          <w:kern w:val="0"/>
          <w:sz w:val="32"/>
          <w:szCs w:val="32"/>
          <w:lang w:val="en-US" w:eastAsia="zh-CN"/>
        </w:rPr>
        <w:t>3</w:t>
      </w:r>
      <w:r>
        <w:rPr>
          <w:rFonts w:eastAsia="方正仿宋_GBK"/>
          <w:color w:val="auto"/>
          <w:kern w:val="0"/>
          <w:sz w:val="32"/>
          <w:szCs w:val="32"/>
        </w:rPr>
        <w:t>年农作物秸秆综合利用工作实施方案的通知》（云农办环〔202</w:t>
      </w:r>
      <w:r>
        <w:rPr>
          <w:rFonts w:hint="eastAsia" w:eastAsia="方正仿宋_GBK"/>
          <w:color w:val="auto"/>
          <w:kern w:val="0"/>
          <w:sz w:val="32"/>
          <w:szCs w:val="32"/>
          <w:lang w:val="en-US" w:eastAsia="zh-CN"/>
        </w:rPr>
        <w:t>3</w:t>
      </w:r>
      <w:r>
        <w:rPr>
          <w:rFonts w:eastAsia="方正仿宋_GBK"/>
          <w:color w:val="auto"/>
          <w:kern w:val="0"/>
          <w:sz w:val="32"/>
          <w:szCs w:val="32"/>
        </w:rPr>
        <w:t>〕</w:t>
      </w:r>
      <w:r>
        <w:rPr>
          <w:rFonts w:hint="eastAsia" w:eastAsia="方正仿宋_GBK"/>
          <w:color w:val="auto"/>
          <w:kern w:val="0"/>
          <w:sz w:val="32"/>
          <w:szCs w:val="32"/>
          <w:lang w:val="en-US" w:eastAsia="zh-CN"/>
        </w:rPr>
        <w:t>16</w:t>
      </w:r>
      <w:r>
        <w:rPr>
          <w:rFonts w:eastAsia="方正仿宋_GBK"/>
          <w:color w:val="auto"/>
          <w:kern w:val="0"/>
          <w:sz w:val="32"/>
          <w:szCs w:val="32"/>
        </w:rPr>
        <w:t>号）</w:t>
      </w:r>
      <w:r>
        <w:rPr>
          <w:rFonts w:hint="eastAsia" w:eastAsia="方正仿宋_GBK"/>
          <w:color w:val="auto"/>
          <w:kern w:val="0"/>
          <w:sz w:val="32"/>
          <w:szCs w:val="32"/>
          <w:lang w:val="en-US" w:eastAsia="zh-CN"/>
        </w:rPr>
        <w:t>等相关</w:t>
      </w:r>
      <w:r>
        <w:rPr>
          <w:rFonts w:eastAsia="方正仿宋_GBK"/>
          <w:color w:val="auto"/>
          <w:kern w:val="0"/>
          <w:sz w:val="32"/>
          <w:szCs w:val="32"/>
        </w:rPr>
        <w:t>文件</w:t>
      </w:r>
      <w:r>
        <w:rPr>
          <w:rFonts w:hint="eastAsia" w:eastAsia="方正仿宋_GBK"/>
          <w:color w:val="auto"/>
          <w:kern w:val="0"/>
          <w:sz w:val="32"/>
          <w:szCs w:val="32"/>
          <w:lang w:val="en-US" w:eastAsia="zh-CN"/>
        </w:rPr>
        <w:t>要求，</w:t>
      </w:r>
      <w:r>
        <w:rPr>
          <w:rFonts w:eastAsia="方正仿宋_GBK"/>
          <w:color w:val="auto"/>
          <w:kern w:val="0"/>
          <w:sz w:val="32"/>
          <w:szCs w:val="32"/>
        </w:rPr>
        <w:t>进行还田监测及草谷比测算。</w:t>
      </w:r>
    </w:p>
    <w:p>
      <w:pPr>
        <w:ind w:firstLine="640" w:firstLineChars="200"/>
        <w:rPr>
          <w:rFonts w:eastAsia="方正仿宋_GBK"/>
          <w:color w:val="auto"/>
          <w:kern w:val="0"/>
          <w:sz w:val="32"/>
          <w:szCs w:val="32"/>
        </w:rPr>
      </w:pPr>
      <w:r>
        <w:rPr>
          <w:rFonts w:eastAsia="方正仿宋_GBK"/>
          <w:color w:val="auto"/>
          <w:kern w:val="0"/>
          <w:sz w:val="32"/>
          <w:szCs w:val="32"/>
        </w:rPr>
        <w:t>1.草谷比与可收集系数测算</w:t>
      </w:r>
      <w:bookmarkEnd w:id="191"/>
      <w:bookmarkEnd w:id="192"/>
      <w:bookmarkEnd w:id="193"/>
      <w:bookmarkEnd w:id="194"/>
      <w:bookmarkEnd w:id="195"/>
      <w:bookmarkEnd w:id="196"/>
      <w:bookmarkEnd w:id="197"/>
    </w:p>
    <w:p>
      <w:pPr>
        <w:pStyle w:val="5"/>
        <w:ind w:firstLine="640"/>
        <w:rPr>
          <w:rFonts w:eastAsia="方正仿宋_GBK"/>
          <w:color w:val="auto"/>
          <w:kern w:val="0"/>
          <w:sz w:val="32"/>
          <w:szCs w:val="32"/>
        </w:rPr>
      </w:pPr>
      <w:r>
        <w:rPr>
          <w:rFonts w:eastAsia="方正仿宋_GBK"/>
          <w:color w:val="auto"/>
          <w:kern w:val="0"/>
          <w:sz w:val="32"/>
          <w:szCs w:val="32"/>
        </w:rPr>
        <w:t>（1）基本概念</w:t>
      </w:r>
    </w:p>
    <w:p>
      <w:pPr>
        <w:pStyle w:val="5"/>
        <w:ind w:firstLine="640"/>
        <w:rPr>
          <w:rFonts w:eastAsia="方正仿宋_GBK"/>
          <w:color w:val="auto"/>
          <w:kern w:val="0"/>
          <w:sz w:val="32"/>
          <w:szCs w:val="32"/>
        </w:rPr>
      </w:pPr>
      <w:r>
        <w:rPr>
          <w:rFonts w:eastAsia="方正仿宋_GBK"/>
          <w:color w:val="auto"/>
          <w:kern w:val="0"/>
          <w:sz w:val="32"/>
          <w:szCs w:val="32"/>
        </w:rPr>
        <w:t>草谷比：某农作物单位面积秸秆产量与籽粒产量的比值。</w:t>
      </w:r>
    </w:p>
    <w:p>
      <w:pPr>
        <w:pStyle w:val="5"/>
        <w:ind w:firstLine="640"/>
        <w:rPr>
          <w:rFonts w:eastAsia="方正仿宋_GBK"/>
          <w:color w:val="auto"/>
          <w:kern w:val="0"/>
          <w:sz w:val="32"/>
          <w:szCs w:val="32"/>
        </w:rPr>
      </w:pPr>
      <w:r>
        <w:rPr>
          <w:rFonts w:eastAsia="方正仿宋_GBK"/>
          <w:color w:val="auto"/>
          <w:kern w:val="0"/>
          <w:sz w:val="32"/>
          <w:szCs w:val="32"/>
        </w:rPr>
        <w:t>可收集利用系数：某种农作物单位面积可收集的秸秆重量与产生量的比值。</w:t>
      </w:r>
    </w:p>
    <w:p>
      <w:pPr>
        <w:pStyle w:val="5"/>
        <w:ind w:firstLine="640"/>
        <w:rPr>
          <w:rFonts w:eastAsia="方正仿宋_GBK"/>
          <w:color w:val="auto"/>
          <w:kern w:val="0"/>
          <w:sz w:val="32"/>
          <w:szCs w:val="32"/>
        </w:rPr>
      </w:pPr>
      <w:r>
        <w:rPr>
          <w:rFonts w:eastAsia="方正仿宋_GBK"/>
          <w:color w:val="auto"/>
          <w:kern w:val="0"/>
          <w:sz w:val="32"/>
          <w:szCs w:val="32"/>
        </w:rPr>
        <w:t>（2）实施内容</w:t>
      </w:r>
    </w:p>
    <w:p>
      <w:pPr>
        <w:pStyle w:val="5"/>
        <w:ind w:firstLine="640"/>
        <w:rPr>
          <w:rFonts w:eastAsia="方正仿宋_GBK"/>
          <w:color w:val="auto"/>
          <w:kern w:val="0"/>
          <w:sz w:val="32"/>
          <w:szCs w:val="32"/>
        </w:rPr>
      </w:pPr>
      <w:r>
        <w:rPr>
          <w:rFonts w:eastAsia="方正仿宋_GBK"/>
          <w:color w:val="auto"/>
          <w:kern w:val="0"/>
          <w:sz w:val="32"/>
          <w:szCs w:val="32"/>
        </w:rPr>
        <w:t>根据前期分析，</w:t>
      </w:r>
      <w:r>
        <w:rPr>
          <w:rFonts w:hint="eastAsia" w:eastAsia="方正仿宋_GBK"/>
          <w:color w:val="auto"/>
          <w:kern w:val="0"/>
          <w:sz w:val="32"/>
          <w:szCs w:val="32"/>
          <w:lang w:val="en-US" w:eastAsia="zh-CN"/>
        </w:rPr>
        <w:t>在</w:t>
      </w:r>
      <w:r>
        <w:rPr>
          <w:rFonts w:eastAsia="方正仿宋_GBK"/>
          <w:color w:val="auto"/>
          <w:kern w:val="0"/>
          <w:sz w:val="32"/>
          <w:szCs w:val="32"/>
        </w:rPr>
        <w:t>红塔区北部</w:t>
      </w:r>
      <w:r>
        <w:rPr>
          <w:rFonts w:hint="eastAsia" w:eastAsia="方正仿宋_GBK"/>
          <w:color w:val="auto"/>
          <w:kern w:val="0"/>
          <w:sz w:val="32"/>
          <w:szCs w:val="32"/>
          <w:lang w:val="en-US" w:eastAsia="zh-CN"/>
        </w:rPr>
        <w:t>和</w:t>
      </w:r>
      <w:r>
        <w:rPr>
          <w:rFonts w:eastAsia="方正仿宋_GBK"/>
          <w:color w:val="auto"/>
          <w:kern w:val="0"/>
          <w:sz w:val="32"/>
          <w:szCs w:val="32"/>
        </w:rPr>
        <w:t>南部两个片区（如图6所示）</w:t>
      </w:r>
      <w:r>
        <w:rPr>
          <w:rFonts w:hint="eastAsia" w:eastAsia="方正仿宋_GBK"/>
          <w:color w:val="auto"/>
          <w:kern w:val="0"/>
          <w:sz w:val="32"/>
          <w:szCs w:val="32"/>
          <w:lang w:val="en-US" w:eastAsia="zh-CN"/>
        </w:rPr>
        <w:t>共</w:t>
      </w:r>
      <w:r>
        <w:rPr>
          <w:rFonts w:eastAsia="方正仿宋_GBK"/>
          <w:color w:val="auto"/>
          <w:kern w:val="0"/>
          <w:sz w:val="32"/>
          <w:szCs w:val="32"/>
        </w:rPr>
        <w:t>选取</w:t>
      </w:r>
      <w:r>
        <w:rPr>
          <w:rFonts w:hint="eastAsia" w:eastAsia="方正仿宋_GBK"/>
          <w:color w:val="auto"/>
          <w:kern w:val="0"/>
          <w:sz w:val="32"/>
          <w:szCs w:val="32"/>
          <w:lang w:val="en-US" w:eastAsia="zh-CN"/>
        </w:rPr>
        <w:t>2</w:t>
      </w:r>
      <w:r>
        <w:rPr>
          <w:rFonts w:eastAsia="方正仿宋_GBK"/>
          <w:color w:val="auto"/>
          <w:kern w:val="0"/>
          <w:sz w:val="32"/>
          <w:szCs w:val="32"/>
        </w:rPr>
        <w:t>个</w:t>
      </w:r>
      <w:r>
        <w:rPr>
          <w:rFonts w:hint="eastAsia" w:eastAsia="方正仿宋_GBK"/>
          <w:color w:val="auto"/>
          <w:kern w:val="0"/>
          <w:sz w:val="32"/>
          <w:szCs w:val="32"/>
          <w:lang w:val="en-US" w:eastAsia="zh-CN"/>
        </w:rPr>
        <w:t>监测点</w:t>
      </w:r>
      <w:r>
        <w:rPr>
          <w:rFonts w:eastAsia="方正仿宋_GBK"/>
          <w:color w:val="auto"/>
          <w:kern w:val="0"/>
          <w:sz w:val="32"/>
          <w:szCs w:val="32"/>
        </w:rPr>
        <w:t>。具体子方案见附件</w:t>
      </w:r>
      <w:r>
        <w:rPr>
          <w:rFonts w:hint="eastAsia" w:eastAsia="方正仿宋_GBK"/>
          <w:color w:val="auto"/>
          <w:kern w:val="0"/>
          <w:sz w:val="32"/>
          <w:szCs w:val="32"/>
          <w:lang w:val="en-US" w:eastAsia="zh-CN"/>
        </w:rPr>
        <w:t>3</w:t>
      </w:r>
      <w:r>
        <w:rPr>
          <w:rFonts w:eastAsia="方正仿宋_GBK"/>
          <w:color w:val="auto"/>
          <w:kern w:val="0"/>
          <w:sz w:val="32"/>
          <w:szCs w:val="32"/>
        </w:rPr>
        <w:t>。</w:t>
      </w:r>
    </w:p>
    <w:p>
      <w:pPr>
        <w:pStyle w:val="5"/>
        <w:ind w:firstLine="640"/>
        <w:rPr>
          <w:rFonts w:eastAsia="方正仿宋_GBK"/>
          <w:color w:val="auto"/>
          <w:kern w:val="0"/>
          <w:sz w:val="32"/>
          <w:szCs w:val="32"/>
        </w:rPr>
      </w:pP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3</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成果集成</w:t>
      </w:r>
    </w:p>
    <w:p>
      <w:pPr>
        <w:pStyle w:val="5"/>
        <w:ind w:firstLine="640"/>
        <w:rPr>
          <w:rFonts w:hint="default" w:eastAsia="方正仿宋_GBK"/>
          <w:color w:val="auto"/>
          <w:kern w:val="0"/>
          <w:sz w:val="32"/>
          <w:szCs w:val="32"/>
          <w:lang w:val="en-US" w:eastAsia="zh-CN"/>
        </w:rPr>
      </w:pPr>
      <w:r>
        <w:rPr>
          <w:rFonts w:hint="eastAsia" w:eastAsia="方正仿宋_GBK"/>
          <w:color w:val="auto"/>
          <w:kern w:val="0"/>
          <w:sz w:val="32"/>
          <w:szCs w:val="32"/>
          <w:lang w:val="en-US" w:eastAsia="zh-CN"/>
        </w:rPr>
        <w:t>准确获得当地主要农作物草谷比及可收集系数测算结果。</w:t>
      </w:r>
    </w:p>
    <w:p>
      <w:pPr>
        <w:ind w:firstLine="640" w:firstLineChars="200"/>
        <w:rPr>
          <w:rFonts w:eastAsia="方正楷体_GBK"/>
          <w:color w:val="auto"/>
          <w:sz w:val="32"/>
          <w:szCs w:val="32"/>
        </w:rPr>
      </w:pPr>
      <w:bookmarkStart w:id="198" w:name="_Toc24972"/>
      <w:bookmarkStart w:id="199" w:name="_Toc23652"/>
      <w:bookmarkStart w:id="200" w:name="_Toc31613"/>
      <w:bookmarkStart w:id="201" w:name="_Toc23343"/>
      <w:bookmarkStart w:id="202" w:name="_Toc18658"/>
      <w:bookmarkStart w:id="203" w:name="_Toc8157"/>
      <w:bookmarkStart w:id="204" w:name="_Toc234"/>
      <w:r>
        <w:rPr>
          <w:rFonts w:eastAsia="方正楷体_GBK"/>
          <w:color w:val="auto"/>
          <w:sz w:val="32"/>
          <w:szCs w:val="32"/>
        </w:rPr>
        <w:t>2.秸秆还田生态效益监测</w:t>
      </w:r>
      <w:bookmarkEnd w:id="198"/>
      <w:bookmarkEnd w:id="199"/>
      <w:bookmarkEnd w:id="200"/>
      <w:bookmarkEnd w:id="201"/>
      <w:bookmarkEnd w:id="202"/>
      <w:bookmarkEnd w:id="203"/>
      <w:bookmarkEnd w:id="204"/>
    </w:p>
    <w:p>
      <w:pPr>
        <w:pStyle w:val="5"/>
        <w:ind w:firstLine="640"/>
        <w:rPr>
          <w:rFonts w:eastAsia="方正仿宋_GBK"/>
          <w:color w:val="auto"/>
          <w:kern w:val="0"/>
          <w:sz w:val="32"/>
          <w:szCs w:val="32"/>
        </w:rPr>
      </w:pPr>
      <w:r>
        <w:rPr>
          <w:rFonts w:eastAsia="方正仿宋_GBK"/>
          <w:color w:val="auto"/>
          <w:kern w:val="0"/>
          <w:sz w:val="32"/>
          <w:szCs w:val="32"/>
        </w:rPr>
        <w:t>（1）基本概念</w:t>
      </w:r>
    </w:p>
    <w:p>
      <w:pPr>
        <w:pStyle w:val="5"/>
        <w:ind w:firstLine="640"/>
        <w:rPr>
          <w:rFonts w:eastAsia="方正仿宋_GBK"/>
          <w:color w:val="auto"/>
          <w:kern w:val="0"/>
          <w:sz w:val="32"/>
          <w:szCs w:val="32"/>
        </w:rPr>
      </w:pPr>
      <w:r>
        <w:rPr>
          <w:rFonts w:eastAsia="方正仿宋_GBK"/>
          <w:color w:val="auto"/>
          <w:kern w:val="0"/>
          <w:sz w:val="32"/>
          <w:szCs w:val="32"/>
        </w:rPr>
        <w:t>建立红塔区</w:t>
      </w:r>
      <w:r>
        <w:rPr>
          <w:rFonts w:hint="eastAsia" w:eastAsia="方正仿宋_GBK"/>
          <w:color w:val="auto"/>
          <w:kern w:val="0"/>
          <w:sz w:val="32"/>
          <w:szCs w:val="32"/>
          <w:lang w:val="en-US" w:eastAsia="zh-CN"/>
        </w:rPr>
        <w:t>主要和</w:t>
      </w:r>
      <w:r>
        <w:rPr>
          <w:rFonts w:eastAsia="方正仿宋_GBK"/>
          <w:color w:val="auto"/>
          <w:kern w:val="0"/>
          <w:sz w:val="32"/>
          <w:szCs w:val="32"/>
        </w:rPr>
        <w:t>特色</w:t>
      </w:r>
      <w:r>
        <w:rPr>
          <w:rFonts w:hint="eastAsia" w:eastAsia="方正仿宋_GBK"/>
          <w:color w:val="auto"/>
          <w:kern w:val="0"/>
          <w:sz w:val="32"/>
          <w:szCs w:val="32"/>
          <w:lang w:val="en-US" w:eastAsia="zh-CN"/>
        </w:rPr>
        <w:t>农</w:t>
      </w:r>
      <w:r>
        <w:rPr>
          <w:rFonts w:eastAsia="方正仿宋_GBK"/>
          <w:color w:val="auto"/>
          <w:kern w:val="0"/>
          <w:sz w:val="32"/>
          <w:szCs w:val="32"/>
        </w:rPr>
        <w:t>作物还田示范，同时，评估大尺度下秸秆还田对农业生态环境的影响，科学评估秸秆还田的生态效益，规避秸秆还田的潜在生态风险，在各主要粮食生产区逐步建立秸秆还田生态效益监测点位。为指导秸秆还田生产实际、优化秸秆还田技术模式、辅助秸秆还田等有关决策提供充分的科学理论依据。</w:t>
      </w:r>
    </w:p>
    <w:p>
      <w:pPr>
        <w:pStyle w:val="5"/>
        <w:ind w:firstLine="640"/>
        <w:rPr>
          <w:rFonts w:eastAsia="方正仿宋_GBK"/>
          <w:color w:val="auto"/>
          <w:kern w:val="0"/>
          <w:sz w:val="32"/>
          <w:szCs w:val="32"/>
        </w:rPr>
      </w:pPr>
      <w:r>
        <w:rPr>
          <w:rFonts w:eastAsia="方正仿宋_GBK"/>
          <w:color w:val="auto"/>
          <w:kern w:val="0"/>
          <w:sz w:val="32"/>
          <w:szCs w:val="32"/>
        </w:rPr>
        <w:t>（2）实施内容</w:t>
      </w:r>
    </w:p>
    <w:p>
      <w:pPr>
        <w:pStyle w:val="5"/>
        <w:ind w:firstLine="640"/>
        <w:rPr>
          <w:rFonts w:eastAsia="方正仿宋_GBK"/>
          <w:color w:val="auto"/>
          <w:kern w:val="0"/>
          <w:sz w:val="32"/>
          <w:szCs w:val="32"/>
        </w:rPr>
      </w:pPr>
      <w:r>
        <w:rPr>
          <w:rFonts w:eastAsia="方正仿宋_GBK"/>
          <w:color w:val="auto"/>
          <w:kern w:val="0"/>
          <w:sz w:val="32"/>
          <w:szCs w:val="32"/>
        </w:rPr>
        <w:t>根据前期分析，</w:t>
      </w:r>
      <w:r>
        <w:rPr>
          <w:rFonts w:hint="eastAsia" w:eastAsia="方正仿宋_GBK"/>
          <w:color w:val="auto"/>
          <w:kern w:val="0"/>
          <w:sz w:val="32"/>
          <w:szCs w:val="32"/>
          <w:lang w:val="en-US" w:eastAsia="zh-CN"/>
        </w:rPr>
        <w:t>在</w:t>
      </w:r>
      <w:r>
        <w:rPr>
          <w:rFonts w:eastAsia="方正仿宋_GBK"/>
          <w:color w:val="auto"/>
          <w:kern w:val="0"/>
          <w:sz w:val="32"/>
          <w:szCs w:val="32"/>
        </w:rPr>
        <w:t>红塔区南部片区（如图6所示）选取</w:t>
      </w:r>
      <w:r>
        <w:rPr>
          <w:rFonts w:hint="eastAsia" w:eastAsia="方正仿宋_GBK"/>
          <w:color w:val="auto"/>
          <w:kern w:val="0"/>
          <w:sz w:val="32"/>
          <w:szCs w:val="32"/>
          <w:lang w:val="en-US" w:eastAsia="zh-CN"/>
        </w:rPr>
        <w:t>1</w:t>
      </w:r>
      <w:r>
        <w:rPr>
          <w:rFonts w:eastAsia="方正仿宋_GBK"/>
          <w:color w:val="auto"/>
          <w:kern w:val="0"/>
          <w:sz w:val="32"/>
          <w:szCs w:val="32"/>
        </w:rPr>
        <w:t>个</w:t>
      </w:r>
      <w:r>
        <w:rPr>
          <w:rFonts w:hint="eastAsia" w:eastAsia="方正仿宋_GBK"/>
          <w:color w:val="auto"/>
          <w:kern w:val="0"/>
          <w:sz w:val="32"/>
          <w:szCs w:val="32"/>
          <w:lang w:val="en-US" w:eastAsia="zh-CN"/>
        </w:rPr>
        <w:t>监测点</w:t>
      </w:r>
      <w:r>
        <w:rPr>
          <w:rFonts w:eastAsia="方正仿宋_GBK"/>
          <w:color w:val="auto"/>
          <w:kern w:val="0"/>
          <w:sz w:val="32"/>
          <w:szCs w:val="32"/>
        </w:rPr>
        <w:t>。具体子方案见附件</w:t>
      </w:r>
      <w:r>
        <w:rPr>
          <w:rFonts w:hint="eastAsia" w:eastAsia="方正仿宋_GBK"/>
          <w:color w:val="auto"/>
          <w:kern w:val="0"/>
          <w:sz w:val="32"/>
          <w:szCs w:val="32"/>
          <w:lang w:val="en-US" w:eastAsia="zh-CN"/>
        </w:rPr>
        <w:t>4</w:t>
      </w:r>
      <w:r>
        <w:rPr>
          <w:rFonts w:eastAsia="方正仿宋_GBK"/>
          <w:color w:val="auto"/>
          <w:kern w:val="0"/>
          <w:sz w:val="32"/>
          <w:szCs w:val="32"/>
        </w:rPr>
        <w:t>。</w:t>
      </w:r>
    </w:p>
    <w:p>
      <w:pPr>
        <w:pStyle w:val="5"/>
        <w:ind w:firstLine="640"/>
        <w:rPr>
          <w:rFonts w:eastAsia="方正仿宋_GBK"/>
          <w:color w:val="auto"/>
          <w:kern w:val="0"/>
          <w:sz w:val="32"/>
          <w:szCs w:val="32"/>
        </w:rPr>
      </w:pP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3</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成果集成</w:t>
      </w:r>
    </w:p>
    <w:p>
      <w:pPr>
        <w:pStyle w:val="5"/>
        <w:ind w:firstLine="640"/>
        <w:rPr>
          <w:rFonts w:hint="default" w:eastAsia="方正仿宋_GBK"/>
          <w:color w:val="auto"/>
          <w:kern w:val="0"/>
          <w:sz w:val="32"/>
          <w:szCs w:val="32"/>
          <w:lang w:val="en-US" w:eastAsia="zh-CN"/>
        </w:rPr>
      </w:pPr>
      <w:r>
        <w:rPr>
          <w:rFonts w:hint="eastAsia" w:eastAsia="方正仿宋_GBK"/>
          <w:color w:val="auto"/>
          <w:kern w:val="0"/>
          <w:sz w:val="32"/>
          <w:szCs w:val="32"/>
          <w:lang w:val="en-US" w:eastAsia="zh-CN"/>
        </w:rPr>
        <w:t>准确获得当地主要农作物还田效益监测评估数据，为沃土模式提供重要支撑。</w:t>
      </w:r>
    </w:p>
    <w:p>
      <w:pPr>
        <w:spacing w:before="120" w:after="120"/>
        <w:ind w:firstLine="643" w:firstLineChars="200"/>
        <w:rPr>
          <w:rFonts w:eastAsia="方正楷体_GBK"/>
          <w:b/>
          <w:bCs/>
          <w:color w:val="auto"/>
          <w:sz w:val="32"/>
          <w:szCs w:val="32"/>
        </w:rPr>
      </w:pPr>
      <w:bookmarkStart w:id="205" w:name="_Toc31873"/>
      <w:bookmarkStart w:id="206" w:name="_Toc5699"/>
      <w:r>
        <w:rPr>
          <w:rFonts w:eastAsia="方正楷体_GBK"/>
          <w:b/>
          <w:bCs/>
          <w:color w:val="auto"/>
          <w:sz w:val="32"/>
          <w:szCs w:val="32"/>
        </w:rPr>
        <w:t>（七）技术及宣传服务</w:t>
      </w:r>
      <w:bookmarkEnd w:id="205"/>
      <w:bookmarkEnd w:id="206"/>
    </w:p>
    <w:p>
      <w:pPr>
        <w:pStyle w:val="5"/>
        <w:ind w:firstLine="640"/>
        <w:rPr>
          <w:rFonts w:eastAsia="方正仿宋_GBK"/>
          <w:color w:val="auto"/>
          <w:kern w:val="0"/>
          <w:sz w:val="32"/>
          <w:szCs w:val="32"/>
        </w:rPr>
      </w:pPr>
      <w:r>
        <w:rPr>
          <w:rFonts w:eastAsia="方正仿宋_GBK"/>
          <w:color w:val="auto"/>
          <w:kern w:val="0"/>
          <w:sz w:val="32"/>
          <w:szCs w:val="32"/>
        </w:rPr>
        <w:t>委托第三方机构指导秸秆综合利用技术研究、综合利用方案编制、宣传培训、视频制作、媒体报道等。开展项目调研、完成项目秸秆还田利用核心示范区及对比试验组技术方案的制定。</w:t>
      </w:r>
    </w:p>
    <w:p>
      <w:pPr>
        <w:spacing w:before="120" w:after="120"/>
        <w:ind w:firstLine="643" w:firstLineChars="200"/>
        <w:rPr>
          <w:rFonts w:eastAsia="方正楷体_GBK"/>
          <w:b/>
          <w:bCs/>
          <w:color w:val="auto"/>
          <w:sz w:val="32"/>
          <w:szCs w:val="32"/>
        </w:rPr>
      </w:pPr>
      <w:bookmarkStart w:id="207" w:name="_Toc15570"/>
      <w:bookmarkStart w:id="208" w:name="_Toc19883"/>
      <w:r>
        <w:rPr>
          <w:rFonts w:eastAsia="方正楷体_GBK"/>
          <w:b/>
          <w:bCs/>
          <w:color w:val="auto"/>
          <w:sz w:val="32"/>
          <w:szCs w:val="32"/>
        </w:rPr>
        <w:t>（八）</w:t>
      </w:r>
      <w:bookmarkStart w:id="209" w:name="_Toc9131"/>
      <w:r>
        <w:rPr>
          <w:rFonts w:eastAsia="方正楷体_GBK"/>
          <w:b/>
          <w:bCs/>
          <w:color w:val="auto"/>
          <w:sz w:val="32"/>
          <w:szCs w:val="32"/>
        </w:rPr>
        <w:t>农作物秸秆综合利用验收</w:t>
      </w:r>
      <w:bookmarkEnd w:id="207"/>
      <w:bookmarkEnd w:id="209"/>
    </w:p>
    <w:p>
      <w:pPr>
        <w:ind w:firstLine="640" w:firstLineChars="200"/>
        <w:rPr>
          <w:rFonts w:eastAsia="方正仿宋_GBK"/>
          <w:color w:val="auto"/>
          <w:kern w:val="0"/>
          <w:sz w:val="32"/>
          <w:szCs w:val="32"/>
        </w:rPr>
      </w:pPr>
      <w:bookmarkStart w:id="210" w:name="_Toc10518"/>
      <w:bookmarkStart w:id="211" w:name="_Toc29785"/>
      <w:bookmarkStart w:id="212" w:name="_Toc24804"/>
      <w:bookmarkStart w:id="213" w:name="_Toc16540"/>
      <w:bookmarkStart w:id="214" w:name="_Toc5965"/>
      <w:r>
        <w:rPr>
          <w:rFonts w:eastAsia="方正仿宋_GBK"/>
          <w:color w:val="auto"/>
          <w:kern w:val="0"/>
          <w:sz w:val="32"/>
          <w:szCs w:val="32"/>
        </w:rPr>
        <w:t>由项目实施单位与各社会主体签订项目实施协议，社会主体在完成项目实施内容后，由项目实施单位组织相关单位进行实地核查，验收通过后按比例给予相应资金支持，验收标准详见（附表3验收标准）</w:t>
      </w:r>
      <w:bookmarkEnd w:id="208"/>
      <w:bookmarkEnd w:id="210"/>
      <w:bookmarkEnd w:id="211"/>
      <w:bookmarkEnd w:id="212"/>
      <w:bookmarkEnd w:id="213"/>
      <w:bookmarkEnd w:id="214"/>
      <w:r>
        <w:rPr>
          <w:rFonts w:hint="eastAsia" w:eastAsia="方正仿宋_GBK"/>
          <w:color w:val="auto"/>
          <w:kern w:val="0"/>
          <w:sz w:val="32"/>
          <w:szCs w:val="32"/>
        </w:rPr>
        <w:t>。</w:t>
      </w:r>
    </w:p>
    <w:p>
      <w:pPr>
        <w:tabs>
          <w:tab w:val="left" w:pos="3103"/>
        </w:tabs>
        <w:spacing w:before="156" w:beforeLines="50" w:after="156" w:afterLines="50"/>
        <w:jc w:val="left"/>
        <w:rPr>
          <w:rFonts w:eastAsia="方正黑体_GBK"/>
          <w:color w:val="auto"/>
          <w:sz w:val="32"/>
          <w:szCs w:val="32"/>
        </w:rPr>
      </w:pPr>
      <w:bookmarkStart w:id="215" w:name="_Toc24578"/>
      <w:bookmarkStart w:id="216" w:name="_Toc20444"/>
      <w:r>
        <w:rPr>
          <w:rFonts w:eastAsia="方正黑体_GBK"/>
          <w:color w:val="auto"/>
          <w:sz w:val="32"/>
          <w:szCs w:val="32"/>
        </w:rPr>
        <w:t>五、项目资金投入概算</w:t>
      </w:r>
      <w:bookmarkEnd w:id="215"/>
    </w:p>
    <w:p>
      <w:pPr>
        <w:spacing w:before="120" w:after="120"/>
        <w:ind w:firstLine="643" w:firstLineChars="200"/>
        <w:rPr>
          <w:rFonts w:eastAsia="方正楷体_GBK"/>
          <w:b/>
          <w:bCs/>
          <w:color w:val="auto"/>
          <w:sz w:val="32"/>
          <w:szCs w:val="32"/>
        </w:rPr>
      </w:pPr>
      <w:bookmarkStart w:id="217" w:name="_Toc14974"/>
      <w:r>
        <w:rPr>
          <w:rFonts w:eastAsia="方正楷体_GBK"/>
          <w:b/>
          <w:bCs/>
          <w:color w:val="auto"/>
          <w:sz w:val="32"/>
          <w:szCs w:val="32"/>
        </w:rPr>
        <w:t>（一）收储运模式建立概算</w:t>
      </w:r>
      <w:bookmarkEnd w:id="217"/>
    </w:p>
    <w:p>
      <w:pPr>
        <w:ind w:firstLine="640" w:firstLineChars="200"/>
        <w:rPr>
          <w:rFonts w:eastAsia="方正仿宋_GBK"/>
          <w:color w:val="auto"/>
          <w:kern w:val="0"/>
          <w:sz w:val="32"/>
          <w:szCs w:val="32"/>
        </w:rPr>
      </w:pPr>
      <w:r>
        <w:rPr>
          <w:rFonts w:eastAsia="方正仿宋_GBK"/>
          <w:color w:val="auto"/>
          <w:kern w:val="0"/>
          <w:sz w:val="32"/>
          <w:szCs w:val="32"/>
        </w:rPr>
        <w:t>1.</w:t>
      </w:r>
      <w:r>
        <w:rPr>
          <w:rFonts w:hint="eastAsia" w:eastAsia="方正仿宋_GBK"/>
          <w:color w:val="auto"/>
          <w:kern w:val="0"/>
          <w:sz w:val="32"/>
          <w:szCs w:val="32"/>
        </w:rPr>
        <w:t>“</w:t>
      </w:r>
      <w:r>
        <w:rPr>
          <w:rFonts w:eastAsia="方正仿宋_GBK"/>
          <w:color w:val="auto"/>
          <w:kern w:val="0"/>
          <w:sz w:val="32"/>
          <w:szCs w:val="32"/>
        </w:rPr>
        <w:t>1+1+X</w:t>
      </w:r>
      <w:r>
        <w:rPr>
          <w:rFonts w:hint="eastAsia" w:eastAsia="方正仿宋_GBK"/>
          <w:color w:val="auto"/>
          <w:kern w:val="0"/>
          <w:sz w:val="32"/>
          <w:szCs w:val="32"/>
        </w:rPr>
        <w:t>”</w:t>
      </w:r>
      <w:r>
        <w:rPr>
          <w:rFonts w:eastAsia="方正仿宋_GBK"/>
          <w:color w:val="auto"/>
          <w:kern w:val="0"/>
          <w:sz w:val="32"/>
          <w:szCs w:val="32"/>
        </w:rPr>
        <w:t>模式建立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color w:val="auto"/>
          <w:kern w:val="0"/>
          <w:sz w:val="32"/>
          <w:szCs w:val="32"/>
        </w:rPr>
      </w:pPr>
      <w:r>
        <w:rPr>
          <w:rFonts w:eastAsia="方正仿宋_GBK"/>
          <w:color w:val="auto"/>
          <w:kern w:val="0"/>
          <w:sz w:val="32"/>
          <w:szCs w:val="32"/>
        </w:rPr>
        <w:t>示范点</w:t>
      </w:r>
      <w:r>
        <w:rPr>
          <w:rFonts w:hint="eastAsia" w:eastAsia="方正仿宋_GBK"/>
          <w:color w:val="auto"/>
          <w:kern w:val="0"/>
          <w:sz w:val="32"/>
          <w:szCs w:val="32"/>
          <w:lang w:val="en-US" w:eastAsia="zh-CN"/>
        </w:rPr>
        <w:t>社区遴选的</w:t>
      </w:r>
      <w:r>
        <w:rPr>
          <w:rFonts w:eastAsia="方正仿宋_GBK"/>
          <w:color w:val="auto"/>
          <w:kern w:val="0"/>
          <w:sz w:val="32"/>
          <w:szCs w:val="32"/>
        </w:rPr>
        <w:t>秸秆经纪人认真记录台账，通过企业台账核对。支持其</w:t>
      </w:r>
      <w:r>
        <w:rPr>
          <w:rFonts w:hint="eastAsia" w:eastAsia="方正仿宋_GBK"/>
          <w:color w:val="auto"/>
          <w:kern w:val="0"/>
          <w:sz w:val="32"/>
          <w:szCs w:val="32"/>
          <w:lang w:val="en-US" w:eastAsia="zh-CN"/>
        </w:rPr>
        <w:t>收储设备</w:t>
      </w:r>
      <w:r>
        <w:rPr>
          <w:rFonts w:eastAsia="方正仿宋_GBK"/>
          <w:color w:val="auto"/>
          <w:kern w:val="0"/>
          <w:sz w:val="32"/>
          <w:szCs w:val="32"/>
        </w:rPr>
        <w:t>以便于进行秸秆收集处理，用于支持</w:t>
      </w:r>
      <w:r>
        <w:rPr>
          <w:rFonts w:hint="eastAsia" w:eastAsia="方正仿宋_GBK"/>
          <w:color w:val="auto"/>
          <w:kern w:val="0"/>
          <w:sz w:val="32"/>
          <w:szCs w:val="32"/>
          <w:lang w:val="en-US" w:eastAsia="zh-CN"/>
        </w:rPr>
        <w:t>秸秆综合</w:t>
      </w:r>
      <w:r>
        <w:rPr>
          <w:rFonts w:eastAsia="方正仿宋_GBK"/>
          <w:color w:val="auto"/>
          <w:kern w:val="0"/>
          <w:sz w:val="32"/>
          <w:szCs w:val="32"/>
        </w:rPr>
        <w:t>利用等综合利用方式。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color w:val="auto"/>
          <w:kern w:val="0"/>
          <w:sz w:val="32"/>
          <w:szCs w:val="32"/>
        </w:rPr>
      </w:pPr>
      <w:r>
        <w:rPr>
          <w:rFonts w:eastAsia="方正仿宋_GBK"/>
          <w:color w:val="auto"/>
          <w:kern w:val="0"/>
          <w:sz w:val="32"/>
          <w:szCs w:val="32"/>
        </w:rPr>
        <w:t>经费预算：预算</w:t>
      </w:r>
      <w:r>
        <w:rPr>
          <w:rFonts w:hint="eastAsia" w:eastAsia="方正仿宋_GBK"/>
          <w:color w:val="auto"/>
          <w:kern w:val="0"/>
          <w:sz w:val="32"/>
          <w:szCs w:val="32"/>
          <w:lang w:val="en-US" w:eastAsia="zh-CN"/>
        </w:rPr>
        <w:t>91</w:t>
      </w:r>
      <w:r>
        <w:rPr>
          <w:rFonts w:eastAsia="方正仿宋_GBK"/>
          <w:color w:val="auto"/>
          <w:kern w:val="0"/>
          <w:sz w:val="32"/>
          <w:szCs w:val="32"/>
        </w:rPr>
        <w:t>万元，</w:t>
      </w:r>
      <w:r>
        <w:rPr>
          <w:rFonts w:hint="eastAsia" w:eastAsia="方正仿宋_GBK"/>
          <w:color w:val="auto"/>
          <w:kern w:val="0"/>
          <w:sz w:val="32"/>
          <w:szCs w:val="32"/>
          <w:lang w:val="en-US" w:eastAsia="zh-CN"/>
        </w:rPr>
        <w:t>其中，</w:t>
      </w:r>
      <w:r>
        <w:rPr>
          <w:rFonts w:eastAsia="方正仿宋_GBK"/>
          <w:color w:val="auto"/>
          <w:kern w:val="0"/>
          <w:sz w:val="32"/>
          <w:szCs w:val="32"/>
        </w:rPr>
        <w:t>中央专项资金</w:t>
      </w:r>
      <w:r>
        <w:rPr>
          <w:rFonts w:hint="eastAsia" w:eastAsia="方正仿宋_GBK"/>
          <w:color w:val="auto"/>
          <w:kern w:val="0"/>
          <w:sz w:val="32"/>
          <w:szCs w:val="32"/>
          <w:lang w:val="en-US" w:eastAsia="zh-CN"/>
        </w:rPr>
        <w:t>70万元，自筹21万元</w:t>
      </w:r>
      <w:r>
        <w:rPr>
          <w:rFonts w:eastAsia="方正仿宋_GBK"/>
          <w:color w:val="auto"/>
          <w:kern w:val="0"/>
          <w:sz w:val="32"/>
          <w:szCs w:val="32"/>
        </w:rPr>
        <w:t>；</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eastAsia="方正仿宋_GBK"/>
          <w:color w:val="auto"/>
          <w:kern w:val="0"/>
          <w:sz w:val="32"/>
          <w:szCs w:val="32"/>
        </w:rPr>
      </w:pPr>
      <w:r>
        <w:rPr>
          <w:rFonts w:eastAsia="方正仿宋_GBK"/>
          <w:color w:val="auto"/>
          <w:kern w:val="0"/>
          <w:sz w:val="32"/>
          <w:szCs w:val="32"/>
        </w:rPr>
        <w:t>经费用途：</w:t>
      </w:r>
      <w:r>
        <w:rPr>
          <w:rFonts w:hint="eastAsia" w:eastAsia="方正仿宋_GBK"/>
          <w:color w:val="auto"/>
          <w:kern w:val="0"/>
          <w:sz w:val="32"/>
          <w:szCs w:val="32"/>
          <w:lang w:val="en-US" w:eastAsia="zh-CN"/>
        </w:rPr>
        <w:t>计划</w:t>
      </w:r>
      <w:r>
        <w:rPr>
          <w:rFonts w:eastAsia="方正仿宋_GBK"/>
          <w:color w:val="auto"/>
          <w:kern w:val="0"/>
          <w:sz w:val="32"/>
          <w:szCs w:val="32"/>
        </w:rPr>
        <w:t>购置</w:t>
      </w:r>
      <w:r>
        <w:rPr>
          <w:rFonts w:hint="eastAsia" w:eastAsia="方正仿宋_GBK"/>
          <w:color w:val="auto"/>
          <w:kern w:val="0"/>
          <w:sz w:val="32"/>
          <w:szCs w:val="32"/>
          <w:lang w:val="en-US" w:eastAsia="zh-CN"/>
        </w:rPr>
        <w:t>收储设备</w:t>
      </w:r>
      <w:r>
        <w:rPr>
          <w:rFonts w:eastAsia="方正仿宋_GBK"/>
          <w:color w:val="auto"/>
          <w:kern w:val="0"/>
          <w:sz w:val="32"/>
          <w:szCs w:val="32"/>
        </w:rPr>
        <w:t>7</w:t>
      </w:r>
      <w:r>
        <w:rPr>
          <w:rFonts w:hint="eastAsia" w:eastAsia="方正仿宋_GBK"/>
          <w:color w:val="auto"/>
          <w:kern w:val="0"/>
          <w:sz w:val="32"/>
          <w:szCs w:val="32"/>
          <w:lang w:val="en-US" w:eastAsia="zh-CN"/>
        </w:rPr>
        <w:t>套</w:t>
      </w:r>
      <w:r>
        <w:rPr>
          <w:rFonts w:eastAsia="方正仿宋_GBK"/>
          <w:color w:val="auto"/>
          <w:kern w:val="0"/>
          <w:sz w:val="32"/>
          <w:szCs w:val="32"/>
        </w:rPr>
        <w:t>，每</w:t>
      </w:r>
      <w:r>
        <w:rPr>
          <w:rFonts w:hint="eastAsia" w:eastAsia="方正仿宋_GBK"/>
          <w:color w:val="auto"/>
          <w:kern w:val="0"/>
          <w:sz w:val="32"/>
          <w:szCs w:val="32"/>
          <w:lang w:val="en-US" w:eastAsia="zh-CN"/>
        </w:rPr>
        <w:t>套10</w:t>
      </w:r>
      <w:r>
        <w:rPr>
          <w:rFonts w:eastAsia="方正仿宋_GBK"/>
          <w:color w:val="auto"/>
          <w:kern w:val="0"/>
          <w:sz w:val="32"/>
          <w:szCs w:val="32"/>
        </w:rPr>
        <w:t>万元，合计</w:t>
      </w:r>
      <w:r>
        <w:rPr>
          <w:rFonts w:hint="eastAsia" w:eastAsia="方正仿宋_GBK"/>
          <w:color w:val="auto"/>
          <w:kern w:val="0"/>
          <w:sz w:val="32"/>
          <w:szCs w:val="32"/>
          <w:lang w:val="en-US" w:eastAsia="zh-CN"/>
        </w:rPr>
        <w:t>70</w:t>
      </w:r>
      <w:r>
        <w:rPr>
          <w:rFonts w:eastAsia="方正仿宋_GBK"/>
          <w:color w:val="auto"/>
          <w:kern w:val="0"/>
          <w:sz w:val="32"/>
          <w:szCs w:val="32"/>
        </w:rPr>
        <w:t>万元</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自筹资金用于收储点建设、运营、维护。</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eastAsia="方正仿宋_GBK"/>
          <w:color w:val="auto"/>
          <w:kern w:val="0"/>
          <w:sz w:val="32"/>
          <w:szCs w:val="32"/>
        </w:rPr>
      </w:pPr>
      <w:r>
        <w:rPr>
          <w:rFonts w:eastAsia="方正仿宋_GBK"/>
          <w:color w:val="auto"/>
          <w:kern w:val="0"/>
          <w:sz w:val="32"/>
          <w:szCs w:val="32"/>
        </w:rPr>
        <w:t>实施主体：示范点乡</w:t>
      </w:r>
      <w:r>
        <w:rPr>
          <w:rFonts w:hint="eastAsia" w:eastAsia="方正仿宋_GBK"/>
          <w:color w:val="auto"/>
          <w:kern w:val="0"/>
          <w:sz w:val="32"/>
          <w:szCs w:val="32"/>
          <w:lang w:eastAsia="zh-CN"/>
        </w:rPr>
        <w:t>（</w:t>
      </w:r>
      <w:r>
        <w:rPr>
          <w:rFonts w:eastAsia="方正仿宋_GBK"/>
          <w:color w:val="auto"/>
          <w:kern w:val="0"/>
          <w:sz w:val="32"/>
          <w:szCs w:val="32"/>
        </w:rPr>
        <w:t>街道</w:t>
      </w:r>
      <w:r>
        <w:rPr>
          <w:rFonts w:hint="eastAsia" w:eastAsia="方正仿宋_GBK"/>
          <w:color w:val="auto"/>
          <w:kern w:val="0"/>
          <w:sz w:val="32"/>
          <w:szCs w:val="32"/>
          <w:lang w:eastAsia="zh-CN"/>
        </w:rPr>
        <w:t>）</w:t>
      </w:r>
      <w:r>
        <w:rPr>
          <w:rFonts w:eastAsia="方正仿宋_GBK"/>
          <w:color w:val="auto"/>
          <w:kern w:val="0"/>
          <w:sz w:val="32"/>
          <w:szCs w:val="32"/>
        </w:rPr>
        <w:t>等；</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按建设进度给予中央财政资金支持。</w:t>
      </w:r>
    </w:p>
    <w:p>
      <w:pPr>
        <w:ind w:firstLine="640" w:firstLineChars="200"/>
        <w:rPr>
          <w:rFonts w:eastAsia="方正仿宋_GBK"/>
          <w:color w:val="auto"/>
          <w:kern w:val="0"/>
          <w:sz w:val="32"/>
          <w:szCs w:val="32"/>
        </w:rPr>
      </w:pPr>
      <w:r>
        <w:rPr>
          <w:rFonts w:eastAsia="方正仿宋_GBK"/>
          <w:color w:val="auto"/>
          <w:kern w:val="0"/>
          <w:sz w:val="32"/>
          <w:szCs w:val="32"/>
        </w:rPr>
        <w:t>2.收储运模式--村级长效机制建立</w:t>
      </w:r>
    </w:p>
    <w:p>
      <w:pPr>
        <w:ind w:firstLine="640" w:firstLineChars="200"/>
        <w:rPr>
          <w:rFonts w:eastAsia="方正仿宋_GBK"/>
          <w:color w:val="auto"/>
          <w:kern w:val="0"/>
          <w:sz w:val="32"/>
          <w:szCs w:val="32"/>
        </w:rPr>
      </w:pPr>
      <w:r>
        <w:rPr>
          <w:rFonts w:eastAsia="方正仿宋_GBK"/>
          <w:color w:val="auto"/>
          <w:kern w:val="0"/>
          <w:sz w:val="32"/>
          <w:szCs w:val="32"/>
        </w:rPr>
        <w:t>村级是村规民约制定与监督执行的主体，收集点实施主体，且能起到农户与企业间沟通对接的桥梁作用，其在政策宣传、教育引导方面具有不可替代的作用。</w:t>
      </w:r>
    </w:p>
    <w:p>
      <w:pPr>
        <w:ind w:firstLine="640" w:firstLineChars="200"/>
        <w:rPr>
          <w:rFonts w:eastAsia="方正仿宋_GBK"/>
          <w:color w:val="auto"/>
          <w:kern w:val="0"/>
          <w:sz w:val="32"/>
          <w:szCs w:val="32"/>
        </w:rPr>
      </w:pPr>
      <w:r>
        <w:rPr>
          <w:rFonts w:eastAsia="方正仿宋_GBK"/>
          <w:color w:val="auto"/>
          <w:kern w:val="0"/>
          <w:sz w:val="32"/>
          <w:szCs w:val="32"/>
        </w:rPr>
        <w:t>经费预算：总预算</w:t>
      </w:r>
      <w:r>
        <w:rPr>
          <w:rFonts w:hint="eastAsia" w:eastAsia="方正仿宋_GBK"/>
          <w:color w:val="auto"/>
          <w:kern w:val="0"/>
          <w:sz w:val="32"/>
          <w:szCs w:val="32"/>
          <w:lang w:val="en-US" w:eastAsia="zh-CN"/>
        </w:rPr>
        <w:t>15</w:t>
      </w:r>
      <w:r>
        <w:rPr>
          <w:rFonts w:eastAsia="方正仿宋_GBK"/>
          <w:color w:val="auto"/>
          <w:kern w:val="0"/>
          <w:sz w:val="32"/>
          <w:szCs w:val="32"/>
        </w:rPr>
        <w:t>万，全部为中央专项资金；</w:t>
      </w:r>
    </w:p>
    <w:p>
      <w:pPr>
        <w:ind w:firstLine="640" w:firstLineChars="200"/>
        <w:rPr>
          <w:rFonts w:eastAsia="方正仿宋_GBK"/>
          <w:color w:val="auto"/>
          <w:kern w:val="0"/>
          <w:sz w:val="32"/>
          <w:szCs w:val="32"/>
        </w:rPr>
      </w:pPr>
      <w:r>
        <w:rPr>
          <w:rFonts w:eastAsia="方正仿宋_GBK"/>
          <w:color w:val="auto"/>
          <w:kern w:val="0"/>
          <w:sz w:val="32"/>
          <w:szCs w:val="32"/>
        </w:rPr>
        <w:t>经费用途：主要用于村规民约制定张贴、秸秆禁烧宣传与监管、宣传培训，秸秆收集等工作，按每个村</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社区</w:t>
      </w:r>
      <w:r>
        <w:rPr>
          <w:rFonts w:hint="eastAsia" w:eastAsia="方正仿宋_GBK"/>
          <w:color w:val="auto"/>
          <w:kern w:val="0"/>
          <w:sz w:val="32"/>
          <w:szCs w:val="32"/>
          <w:lang w:eastAsia="zh-CN"/>
        </w:rPr>
        <w:t>）</w:t>
      </w:r>
      <w:r>
        <w:rPr>
          <w:rFonts w:eastAsia="方正仿宋_GBK"/>
          <w:color w:val="auto"/>
          <w:kern w:val="0"/>
          <w:sz w:val="32"/>
          <w:szCs w:val="32"/>
        </w:rPr>
        <w:t>予以资金支持0.</w:t>
      </w:r>
      <w:r>
        <w:rPr>
          <w:rFonts w:hint="eastAsia" w:eastAsia="方正仿宋_GBK"/>
          <w:color w:val="auto"/>
          <w:kern w:val="0"/>
          <w:sz w:val="32"/>
          <w:szCs w:val="32"/>
          <w:lang w:val="en-US" w:eastAsia="zh-CN"/>
        </w:rPr>
        <w:t>5</w:t>
      </w:r>
      <w:r>
        <w:rPr>
          <w:rFonts w:eastAsia="方正仿宋_GBK"/>
          <w:color w:val="auto"/>
          <w:kern w:val="0"/>
          <w:sz w:val="32"/>
          <w:szCs w:val="32"/>
        </w:rPr>
        <w:t>万元，30个村；</w:t>
      </w:r>
    </w:p>
    <w:p>
      <w:pPr>
        <w:pStyle w:val="2"/>
        <w:ind w:firstLine="640" w:firstLineChars="200"/>
        <w:rPr>
          <w:rFonts w:eastAsia="方正仿宋_GBK"/>
          <w:color w:val="auto"/>
          <w:kern w:val="0"/>
          <w:sz w:val="32"/>
          <w:szCs w:val="32"/>
        </w:rPr>
      </w:pPr>
      <w:r>
        <w:rPr>
          <w:rFonts w:eastAsia="方正仿宋_GBK"/>
          <w:color w:val="auto"/>
          <w:kern w:val="0"/>
          <w:sz w:val="32"/>
          <w:szCs w:val="32"/>
        </w:rPr>
        <w:t>实施主体：北城街道、研和街道、高仓街道、洛河乡、小石桥乡</w:t>
      </w:r>
      <w:r>
        <w:rPr>
          <w:rFonts w:hint="eastAsia" w:eastAsia="方正仿宋_GBK"/>
          <w:color w:val="auto"/>
          <w:kern w:val="0"/>
          <w:sz w:val="32"/>
          <w:szCs w:val="32"/>
          <w:lang w:val="en-US" w:eastAsia="zh-CN"/>
        </w:rPr>
        <w:t>等</w:t>
      </w:r>
      <w:r>
        <w:rPr>
          <w:rFonts w:eastAsia="方正仿宋_GBK"/>
          <w:color w:val="auto"/>
          <w:kern w:val="0"/>
          <w:sz w:val="32"/>
          <w:szCs w:val="32"/>
        </w:rPr>
        <w:t>乡</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街道</w:t>
      </w:r>
      <w:r>
        <w:rPr>
          <w:rFonts w:hint="eastAsia" w:eastAsia="方正仿宋_GBK"/>
          <w:color w:val="auto"/>
          <w:kern w:val="0"/>
          <w:sz w:val="32"/>
          <w:szCs w:val="32"/>
          <w:lang w:eastAsia="zh-CN"/>
        </w:rPr>
        <w:t>）</w:t>
      </w:r>
      <w:r>
        <w:rPr>
          <w:rFonts w:eastAsia="方正仿宋_GBK"/>
          <w:color w:val="auto"/>
          <w:kern w:val="0"/>
          <w:sz w:val="32"/>
          <w:szCs w:val="32"/>
        </w:rPr>
        <w:t>示范点；</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经费计划：中央财政资金</w:t>
      </w:r>
      <w:r>
        <w:rPr>
          <w:rFonts w:hint="eastAsia" w:eastAsia="方正仿宋_GBK"/>
          <w:color w:val="auto"/>
          <w:kern w:val="0"/>
          <w:sz w:val="32"/>
          <w:szCs w:val="32"/>
          <w:lang w:val="en-US" w:eastAsia="zh-CN"/>
        </w:rPr>
        <w:t>直接补助</w:t>
      </w:r>
      <w:r>
        <w:rPr>
          <w:rFonts w:eastAsia="方正仿宋_GBK"/>
          <w:color w:val="auto"/>
          <w:kern w:val="0"/>
          <w:sz w:val="32"/>
          <w:szCs w:val="32"/>
        </w:rPr>
        <w:t>。</w:t>
      </w:r>
    </w:p>
    <w:p>
      <w:pPr>
        <w:spacing w:before="120" w:after="120"/>
        <w:ind w:firstLine="643" w:firstLineChars="200"/>
        <w:rPr>
          <w:rFonts w:eastAsia="方正楷体_GBK"/>
          <w:b/>
          <w:bCs/>
          <w:color w:val="auto"/>
          <w:sz w:val="32"/>
          <w:szCs w:val="32"/>
        </w:rPr>
      </w:pPr>
      <w:bookmarkStart w:id="218" w:name="_Toc19861"/>
      <w:r>
        <w:rPr>
          <w:rFonts w:eastAsia="方正楷体_GBK"/>
          <w:b/>
          <w:bCs/>
          <w:color w:val="auto"/>
          <w:sz w:val="32"/>
          <w:szCs w:val="32"/>
        </w:rPr>
        <w:t>（二）肥料化利用预算</w:t>
      </w:r>
    </w:p>
    <w:p>
      <w:pPr>
        <w:pStyle w:val="13"/>
        <w:ind w:firstLine="640"/>
        <w:rPr>
          <w:rFonts w:eastAsia="方正仿宋_GBK"/>
          <w:color w:val="auto"/>
          <w:kern w:val="0"/>
          <w:sz w:val="32"/>
          <w:szCs w:val="32"/>
        </w:rPr>
      </w:pPr>
      <w:r>
        <w:rPr>
          <w:rFonts w:eastAsia="方正仿宋_GBK"/>
          <w:color w:val="auto"/>
          <w:kern w:val="0"/>
          <w:sz w:val="32"/>
          <w:szCs w:val="32"/>
        </w:rPr>
        <w:t>1.实施点示范工程建设</w:t>
      </w:r>
    </w:p>
    <w:p>
      <w:pPr>
        <w:widowControl/>
        <w:ind w:firstLine="620" w:firstLineChars="200"/>
        <w:jc w:val="left"/>
        <w:rPr>
          <w:rFonts w:eastAsia="方正仿宋_GBK"/>
          <w:color w:val="auto"/>
          <w:kern w:val="0"/>
          <w:sz w:val="32"/>
          <w:szCs w:val="32"/>
        </w:rPr>
      </w:pPr>
      <w:r>
        <w:rPr>
          <w:rFonts w:eastAsia="方正仿宋_GBK"/>
          <w:color w:val="auto"/>
          <w:kern w:val="0"/>
          <w:sz w:val="31"/>
          <w:szCs w:val="31"/>
          <w:lang w:bidi="ar"/>
        </w:rPr>
        <w:t>项目通过烟秆制备有机肥关键菌剂研发为抓手，通过产学研相结合，</w:t>
      </w:r>
      <w:r>
        <w:rPr>
          <w:rFonts w:hint="eastAsia" w:eastAsia="方正仿宋_GBK"/>
          <w:color w:val="auto"/>
          <w:kern w:val="0"/>
          <w:sz w:val="31"/>
          <w:szCs w:val="31"/>
          <w:lang w:bidi="ar"/>
        </w:rPr>
        <w:t>以</w:t>
      </w:r>
      <w:r>
        <w:rPr>
          <w:rFonts w:hint="eastAsia" w:eastAsia="方正仿宋_GBK"/>
          <w:color w:val="auto"/>
          <w:kern w:val="0"/>
          <w:sz w:val="31"/>
          <w:szCs w:val="31"/>
          <w:lang w:val="en-US" w:eastAsia="zh-CN" w:bidi="ar"/>
        </w:rPr>
        <w:t>遴选出的</w:t>
      </w:r>
      <w:r>
        <w:rPr>
          <w:rFonts w:eastAsia="方正仿宋_GBK"/>
          <w:color w:val="auto"/>
          <w:kern w:val="0"/>
          <w:sz w:val="31"/>
          <w:szCs w:val="31"/>
          <w:lang w:bidi="ar"/>
        </w:rPr>
        <w:t>企业进行技术升级及设备购买补贴，提高红塔区秸秆肥料化利用，促进有机肥生产还田，改善土壤条件，提高种植收入。</w:t>
      </w:r>
    </w:p>
    <w:p>
      <w:pPr>
        <w:ind w:firstLine="640" w:firstLineChars="200"/>
        <w:rPr>
          <w:rFonts w:eastAsia="方正仿宋_GBK"/>
          <w:color w:val="auto"/>
          <w:kern w:val="0"/>
          <w:sz w:val="32"/>
          <w:szCs w:val="32"/>
        </w:rPr>
      </w:pPr>
      <w:r>
        <w:rPr>
          <w:rFonts w:eastAsia="方正仿宋_GBK"/>
          <w:color w:val="auto"/>
          <w:kern w:val="0"/>
          <w:sz w:val="32"/>
          <w:szCs w:val="32"/>
        </w:rPr>
        <w:t>经费预算：预算</w:t>
      </w:r>
      <w:r>
        <w:rPr>
          <w:rFonts w:hint="eastAsia" w:eastAsia="方正仿宋_GBK"/>
          <w:color w:val="auto"/>
          <w:kern w:val="0"/>
          <w:sz w:val="32"/>
          <w:szCs w:val="32"/>
          <w:lang w:val="en-US" w:eastAsia="zh-CN"/>
        </w:rPr>
        <w:t>311</w:t>
      </w:r>
      <w:r>
        <w:rPr>
          <w:rFonts w:eastAsia="方正仿宋_GBK"/>
          <w:color w:val="auto"/>
          <w:kern w:val="0"/>
          <w:sz w:val="32"/>
          <w:szCs w:val="32"/>
        </w:rPr>
        <w:t>万元，其中，中央专项资金</w:t>
      </w:r>
      <w:r>
        <w:rPr>
          <w:rFonts w:hint="eastAsia" w:eastAsia="方正仿宋_GBK"/>
          <w:color w:val="auto"/>
          <w:kern w:val="0"/>
          <w:sz w:val="32"/>
          <w:szCs w:val="32"/>
          <w:lang w:val="en-US" w:eastAsia="zh-CN"/>
        </w:rPr>
        <w:t>8</w:t>
      </w:r>
      <w:r>
        <w:rPr>
          <w:rFonts w:eastAsia="方正仿宋_GBK"/>
          <w:color w:val="auto"/>
          <w:kern w:val="0"/>
          <w:sz w:val="32"/>
          <w:szCs w:val="32"/>
        </w:rPr>
        <w:t>1万元，企业自筹230万元；</w:t>
      </w:r>
    </w:p>
    <w:p>
      <w:pPr>
        <w:ind w:firstLine="640" w:firstLineChars="200"/>
        <w:rPr>
          <w:rFonts w:eastAsia="方正仿宋_GBK"/>
          <w:color w:val="auto"/>
          <w:kern w:val="0"/>
          <w:sz w:val="32"/>
          <w:szCs w:val="32"/>
        </w:rPr>
      </w:pPr>
      <w:r>
        <w:rPr>
          <w:rFonts w:eastAsia="方正仿宋_GBK"/>
          <w:color w:val="auto"/>
          <w:kern w:val="0"/>
          <w:sz w:val="32"/>
          <w:szCs w:val="32"/>
        </w:rPr>
        <w:t>经费用途：</w:t>
      </w:r>
      <w:r>
        <w:rPr>
          <w:rFonts w:hint="eastAsia" w:eastAsia="方正仿宋_GBK"/>
          <w:color w:val="auto"/>
          <w:kern w:val="0"/>
          <w:sz w:val="32"/>
          <w:szCs w:val="32"/>
          <w:lang w:val="en-US" w:eastAsia="zh-CN"/>
        </w:rPr>
        <w:t>肥料化企业</w:t>
      </w:r>
      <w:r>
        <w:rPr>
          <w:rFonts w:eastAsia="方正仿宋_GBK"/>
          <w:color w:val="auto"/>
          <w:kern w:val="0"/>
          <w:sz w:val="31"/>
          <w:szCs w:val="31"/>
          <w:lang w:bidi="ar"/>
        </w:rPr>
        <w:t>技术升级及设备购买</w:t>
      </w:r>
      <w:r>
        <w:rPr>
          <w:rFonts w:eastAsia="方正仿宋_GBK"/>
          <w:color w:val="auto"/>
          <w:kern w:val="0"/>
          <w:sz w:val="32"/>
          <w:szCs w:val="32"/>
        </w:rPr>
        <w:t>；</w:t>
      </w:r>
    </w:p>
    <w:p>
      <w:pPr>
        <w:ind w:firstLine="640" w:firstLineChars="200"/>
        <w:rPr>
          <w:rFonts w:eastAsia="方正仿宋_GBK"/>
          <w:color w:val="auto"/>
          <w:kern w:val="0"/>
          <w:sz w:val="32"/>
          <w:szCs w:val="32"/>
        </w:rPr>
      </w:pPr>
      <w:r>
        <w:rPr>
          <w:rFonts w:eastAsia="方正仿宋_GBK"/>
          <w:color w:val="auto"/>
          <w:kern w:val="0"/>
          <w:sz w:val="32"/>
          <w:szCs w:val="32"/>
        </w:rPr>
        <w:t>实施主体：</w:t>
      </w:r>
      <w:r>
        <w:rPr>
          <w:rFonts w:hint="eastAsia" w:eastAsia="方正仿宋_GBK"/>
          <w:color w:val="auto"/>
          <w:kern w:val="0"/>
          <w:sz w:val="32"/>
          <w:szCs w:val="32"/>
          <w:lang w:eastAsia="zh-CN"/>
        </w:rPr>
        <w:t>秸秆肥料化利用市场主体</w:t>
      </w:r>
      <w:r>
        <w:rPr>
          <w:rFonts w:eastAsia="方正仿宋_GBK"/>
          <w:color w:val="auto"/>
          <w:kern w:val="0"/>
          <w:sz w:val="32"/>
          <w:szCs w:val="32"/>
        </w:rPr>
        <w:t>；</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按项目建设进度、企业投入资金及秸秆处理量给予资金支持。</w:t>
      </w:r>
    </w:p>
    <w:p>
      <w:pPr>
        <w:ind w:firstLine="640" w:firstLineChars="200"/>
        <w:rPr>
          <w:rFonts w:eastAsia="方正仿宋_GBK"/>
          <w:color w:val="auto"/>
          <w:kern w:val="0"/>
          <w:sz w:val="32"/>
          <w:szCs w:val="32"/>
        </w:rPr>
      </w:pPr>
      <w:r>
        <w:rPr>
          <w:rFonts w:eastAsia="方正仿宋_GBK"/>
          <w:color w:val="auto"/>
          <w:kern w:val="0"/>
          <w:sz w:val="32"/>
          <w:szCs w:val="32"/>
        </w:rPr>
        <w:t>2.秸秆粉碎腐熟还田</w:t>
      </w:r>
    </w:p>
    <w:p>
      <w:pPr>
        <w:spacing w:line="550" w:lineRule="exact"/>
        <w:ind w:firstLine="640" w:firstLineChars="200"/>
        <w:rPr>
          <w:rFonts w:eastAsia="方正仿宋_GBK"/>
          <w:color w:val="auto"/>
          <w:kern w:val="0"/>
          <w:sz w:val="32"/>
          <w:szCs w:val="32"/>
        </w:rPr>
      </w:pPr>
      <w:r>
        <w:rPr>
          <w:rFonts w:eastAsia="方正仿宋_GBK"/>
          <w:color w:val="auto"/>
          <w:kern w:val="0"/>
          <w:sz w:val="32"/>
          <w:szCs w:val="32"/>
        </w:rPr>
        <w:t>农户自身消化，作为肥料直接还田。因此，针对农户自身消化的秸秆，此部分主要是通过对村集体、种植大户（农户）发放腐熟剂和小型秸秆粉碎机来实现。</w:t>
      </w:r>
    </w:p>
    <w:p>
      <w:pPr>
        <w:ind w:firstLine="640" w:firstLineChars="200"/>
        <w:rPr>
          <w:rFonts w:hint="default" w:eastAsia="方正仿宋_GBK"/>
          <w:color w:val="auto"/>
          <w:kern w:val="0"/>
          <w:sz w:val="32"/>
          <w:szCs w:val="32"/>
          <w:lang w:val="en-US" w:eastAsia="zh-CN"/>
        </w:rPr>
      </w:pPr>
      <w:r>
        <w:rPr>
          <w:rFonts w:eastAsia="方正仿宋_GBK"/>
          <w:color w:val="auto"/>
          <w:kern w:val="0"/>
          <w:sz w:val="32"/>
          <w:szCs w:val="32"/>
        </w:rPr>
        <w:t>经费预算：预算</w:t>
      </w:r>
      <w:r>
        <w:rPr>
          <w:rFonts w:hint="eastAsia" w:eastAsia="方正仿宋_GBK"/>
          <w:color w:val="auto"/>
          <w:kern w:val="0"/>
          <w:sz w:val="32"/>
          <w:szCs w:val="32"/>
          <w:lang w:val="en-US" w:eastAsia="zh-CN"/>
        </w:rPr>
        <w:t>95.75</w:t>
      </w:r>
      <w:r>
        <w:rPr>
          <w:rFonts w:eastAsia="方正仿宋_GBK"/>
          <w:color w:val="auto"/>
          <w:kern w:val="0"/>
          <w:sz w:val="32"/>
          <w:szCs w:val="32"/>
        </w:rPr>
        <w:t>万</w:t>
      </w:r>
      <w:r>
        <w:rPr>
          <w:rFonts w:hint="eastAsia" w:eastAsia="方正仿宋_GBK"/>
          <w:color w:val="auto"/>
          <w:kern w:val="0"/>
          <w:sz w:val="32"/>
          <w:szCs w:val="32"/>
          <w:lang w:val="en-US" w:eastAsia="zh-CN"/>
        </w:rPr>
        <w:t>元</w:t>
      </w:r>
      <w:r>
        <w:rPr>
          <w:rFonts w:eastAsia="方正仿宋_GBK"/>
          <w:color w:val="auto"/>
          <w:kern w:val="0"/>
          <w:sz w:val="32"/>
          <w:szCs w:val="32"/>
        </w:rPr>
        <w:t>，</w:t>
      </w:r>
      <w:r>
        <w:rPr>
          <w:rFonts w:hint="eastAsia" w:eastAsia="方正仿宋_GBK"/>
          <w:color w:val="auto"/>
          <w:kern w:val="0"/>
          <w:sz w:val="32"/>
          <w:szCs w:val="32"/>
          <w:lang w:val="en-US" w:eastAsia="zh-CN"/>
        </w:rPr>
        <w:t>其中，</w:t>
      </w:r>
      <w:r>
        <w:rPr>
          <w:rFonts w:eastAsia="方正仿宋_GBK"/>
          <w:color w:val="auto"/>
          <w:kern w:val="0"/>
          <w:sz w:val="32"/>
          <w:szCs w:val="32"/>
        </w:rPr>
        <w:t>中央专项资金</w:t>
      </w:r>
      <w:r>
        <w:rPr>
          <w:rFonts w:hint="eastAsia" w:eastAsia="方正仿宋_GBK"/>
          <w:color w:val="auto"/>
          <w:kern w:val="0"/>
          <w:sz w:val="32"/>
          <w:szCs w:val="32"/>
          <w:lang w:val="en-US" w:eastAsia="zh-CN"/>
        </w:rPr>
        <w:t>85万元</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自筹10.75万元。</w:t>
      </w:r>
    </w:p>
    <w:p>
      <w:pPr>
        <w:ind w:firstLine="640" w:firstLineChars="200"/>
        <w:rPr>
          <w:rFonts w:eastAsia="方正仿宋_GBK"/>
          <w:color w:val="auto"/>
          <w:kern w:val="0"/>
          <w:sz w:val="32"/>
          <w:szCs w:val="32"/>
        </w:rPr>
      </w:pPr>
      <w:r>
        <w:rPr>
          <w:rFonts w:eastAsia="方正仿宋_GBK"/>
          <w:color w:val="auto"/>
          <w:kern w:val="0"/>
          <w:sz w:val="32"/>
          <w:szCs w:val="32"/>
        </w:rPr>
        <w:t>经费用途：技术指导、腐熟剂购置、粉碎机购置等，主要购买</w:t>
      </w:r>
      <w:r>
        <w:rPr>
          <w:rFonts w:hint="eastAsia" w:eastAsia="方正仿宋_GBK"/>
          <w:color w:val="auto"/>
          <w:kern w:val="0"/>
          <w:sz w:val="32"/>
          <w:szCs w:val="32"/>
          <w:lang w:val="en-US" w:eastAsia="zh-CN"/>
        </w:rPr>
        <w:t>7</w:t>
      </w:r>
      <w:r>
        <w:rPr>
          <w:rFonts w:eastAsia="方正仿宋_GBK"/>
          <w:color w:val="auto"/>
          <w:kern w:val="0"/>
          <w:sz w:val="32"/>
          <w:szCs w:val="32"/>
        </w:rPr>
        <w:t>0吨腐熟剂（6000元/吨），购买粉碎机</w:t>
      </w:r>
      <w:r>
        <w:rPr>
          <w:rFonts w:hint="eastAsia" w:eastAsia="方正仿宋_GBK"/>
          <w:color w:val="auto"/>
          <w:kern w:val="0"/>
          <w:sz w:val="32"/>
          <w:szCs w:val="32"/>
          <w:lang w:val="en-US" w:eastAsia="zh-CN"/>
        </w:rPr>
        <w:t>约270</w:t>
      </w:r>
      <w:r>
        <w:rPr>
          <w:rFonts w:eastAsia="方正仿宋_GBK"/>
          <w:color w:val="auto"/>
          <w:kern w:val="0"/>
          <w:sz w:val="32"/>
          <w:szCs w:val="32"/>
        </w:rPr>
        <w:t>台</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2000</w:t>
      </w:r>
      <w:r>
        <w:rPr>
          <w:rFonts w:eastAsia="方正仿宋_GBK"/>
          <w:color w:val="auto"/>
          <w:kern w:val="0"/>
          <w:sz w:val="32"/>
          <w:szCs w:val="32"/>
        </w:rPr>
        <w:t>元/台</w:t>
      </w:r>
      <w:r>
        <w:rPr>
          <w:rFonts w:hint="eastAsia" w:eastAsia="方正仿宋_GBK"/>
          <w:color w:val="auto"/>
          <w:kern w:val="0"/>
          <w:sz w:val="32"/>
          <w:szCs w:val="32"/>
          <w:lang w:eastAsia="zh-CN"/>
        </w:rPr>
        <w:t>，</w:t>
      </w:r>
      <w:r>
        <w:rPr>
          <w:rFonts w:eastAsia="方正仿宋_GBK"/>
          <w:color w:val="auto"/>
          <w:kern w:val="0"/>
          <w:sz w:val="32"/>
          <w:szCs w:val="32"/>
        </w:rPr>
        <w:t>功率15kw)。</w:t>
      </w:r>
    </w:p>
    <w:p>
      <w:pPr>
        <w:ind w:firstLine="640" w:firstLineChars="200"/>
        <w:rPr>
          <w:rFonts w:eastAsia="方正仿宋_GBK"/>
          <w:color w:val="auto"/>
          <w:kern w:val="0"/>
          <w:sz w:val="32"/>
          <w:szCs w:val="32"/>
        </w:rPr>
      </w:pPr>
      <w:r>
        <w:rPr>
          <w:rFonts w:eastAsia="方正仿宋_GBK"/>
          <w:color w:val="auto"/>
          <w:kern w:val="0"/>
          <w:sz w:val="32"/>
          <w:szCs w:val="32"/>
        </w:rPr>
        <w:t>实施主体：示范点</w:t>
      </w:r>
      <w:r>
        <w:rPr>
          <w:rFonts w:hint="eastAsia" w:eastAsia="方正仿宋_GBK"/>
          <w:color w:val="auto"/>
          <w:kern w:val="0"/>
          <w:sz w:val="32"/>
          <w:szCs w:val="32"/>
          <w:lang w:val="en-US" w:eastAsia="zh-CN"/>
        </w:rPr>
        <w:t>农户</w:t>
      </w:r>
      <w:r>
        <w:rPr>
          <w:rFonts w:eastAsia="方正仿宋_GBK"/>
          <w:color w:val="auto"/>
          <w:kern w:val="0"/>
          <w:sz w:val="32"/>
          <w:szCs w:val="32"/>
        </w:rPr>
        <w:t>；</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腐熟剂，由</w:t>
      </w:r>
      <w:r>
        <w:rPr>
          <w:rFonts w:eastAsia="方正仿宋_GBK"/>
          <w:color w:val="auto"/>
          <w:kern w:val="0"/>
          <w:sz w:val="32"/>
          <w:szCs w:val="32"/>
        </w:rPr>
        <w:t>中央财政资金</w:t>
      </w:r>
      <w:r>
        <w:rPr>
          <w:rFonts w:hint="eastAsia" w:eastAsia="方正仿宋_GBK"/>
          <w:color w:val="auto"/>
          <w:kern w:val="0"/>
          <w:sz w:val="32"/>
          <w:szCs w:val="32"/>
          <w:lang w:val="en-US" w:eastAsia="zh-CN"/>
        </w:rPr>
        <w:t>直接补助；粉碎机，</w:t>
      </w:r>
      <w:r>
        <w:rPr>
          <w:rFonts w:eastAsia="方正仿宋_GBK"/>
          <w:color w:val="auto"/>
          <w:kern w:val="0"/>
          <w:sz w:val="32"/>
          <w:szCs w:val="32"/>
        </w:rPr>
        <w:t>中央财政资金</w:t>
      </w:r>
      <w:r>
        <w:rPr>
          <w:rFonts w:hint="eastAsia" w:eastAsia="方正仿宋_GBK"/>
          <w:color w:val="auto"/>
          <w:kern w:val="0"/>
          <w:sz w:val="32"/>
          <w:szCs w:val="32"/>
          <w:lang w:val="en-US" w:eastAsia="zh-CN"/>
        </w:rPr>
        <w:t>补助80%，农户自筹20%</w:t>
      </w:r>
      <w:r>
        <w:rPr>
          <w:rFonts w:eastAsia="方正仿宋_GBK"/>
          <w:color w:val="auto"/>
          <w:kern w:val="0"/>
          <w:sz w:val="32"/>
          <w:szCs w:val="32"/>
        </w:rPr>
        <w:t>。</w:t>
      </w:r>
    </w:p>
    <w:p>
      <w:pPr>
        <w:ind w:firstLine="640" w:firstLineChars="200"/>
        <w:rPr>
          <w:rFonts w:eastAsia="方正仿宋_GBK"/>
          <w:color w:val="auto"/>
          <w:kern w:val="0"/>
          <w:sz w:val="32"/>
          <w:szCs w:val="32"/>
        </w:rPr>
      </w:pPr>
      <w:r>
        <w:rPr>
          <w:rFonts w:eastAsia="方正仿宋_GBK"/>
          <w:color w:val="auto"/>
          <w:kern w:val="0"/>
          <w:sz w:val="32"/>
          <w:szCs w:val="32"/>
        </w:rPr>
        <w:t>3.烟秆制备有机肥技术支持</w:t>
      </w:r>
    </w:p>
    <w:p>
      <w:pPr>
        <w:ind w:firstLine="640" w:firstLineChars="200"/>
        <w:rPr>
          <w:rFonts w:eastAsia="方正仿宋_GBK"/>
          <w:color w:val="auto"/>
          <w:kern w:val="0"/>
          <w:sz w:val="32"/>
          <w:szCs w:val="32"/>
        </w:rPr>
      </w:pPr>
      <w:r>
        <w:rPr>
          <w:rFonts w:hint="eastAsia" w:eastAsia="方正仿宋_GBK"/>
          <w:color w:val="auto"/>
          <w:kern w:val="0"/>
          <w:sz w:val="32"/>
          <w:szCs w:val="32"/>
        </w:rPr>
        <w:t>提供</w:t>
      </w:r>
      <w:r>
        <w:rPr>
          <w:rFonts w:eastAsia="方正仿宋_GBK"/>
          <w:color w:val="auto"/>
          <w:kern w:val="0"/>
          <w:sz w:val="32"/>
          <w:szCs w:val="32"/>
        </w:rPr>
        <w:t>降解烟秆中木质纤维素和烟碱菌剂，突破烟秆肥料化利用关键技术，实现示范企业的技术提升。</w:t>
      </w:r>
    </w:p>
    <w:p>
      <w:pPr>
        <w:ind w:firstLine="640" w:firstLineChars="200"/>
        <w:rPr>
          <w:rFonts w:eastAsia="方正仿宋_GBK"/>
          <w:color w:val="auto"/>
          <w:kern w:val="0"/>
          <w:sz w:val="32"/>
          <w:szCs w:val="32"/>
        </w:rPr>
      </w:pPr>
      <w:r>
        <w:rPr>
          <w:rFonts w:eastAsia="方正仿宋_GBK"/>
          <w:color w:val="auto"/>
          <w:kern w:val="0"/>
          <w:sz w:val="32"/>
          <w:szCs w:val="32"/>
        </w:rPr>
        <w:t>经费预算：预算</w:t>
      </w:r>
      <w:r>
        <w:rPr>
          <w:rFonts w:hint="eastAsia" w:eastAsia="方正仿宋_GBK"/>
          <w:color w:val="auto"/>
          <w:kern w:val="0"/>
          <w:sz w:val="32"/>
          <w:szCs w:val="32"/>
          <w:lang w:val="en-US" w:eastAsia="zh-CN"/>
        </w:rPr>
        <w:t>15</w:t>
      </w:r>
      <w:r>
        <w:rPr>
          <w:rFonts w:eastAsia="方正仿宋_GBK"/>
          <w:color w:val="auto"/>
          <w:kern w:val="0"/>
          <w:sz w:val="32"/>
          <w:szCs w:val="32"/>
        </w:rPr>
        <w:t>万，全部为中央专项资金；</w:t>
      </w:r>
    </w:p>
    <w:p>
      <w:pPr>
        <w:ind w:firstLine="640" w:firstLineChars="200"/>
        <w:rPr>
          <w:rFonts w:eastAsia="方正仿宋_GBK"/>
          <w:color w:val="auto"/>
          <w:kern w:val="0"/>
          <w:sz w:val="32"/>
          <w:szCs w:val="32"/>
        </w:rPr>
      </w:pPr>
      <w:r>
        <w:rPr>
          <w:rFonts w:eastAsia="方正仿宋_GBK"/>
          <w:color w:val="auto"/>
          <w:kern w:val="0"/>
          <w:sz w:val="32"/>
          <w:szCs w:val="32"/>
        </w:rPr>
        <w:t>经费用途：烟秆中木质纤维素和烟碱菌剂筛选驯化菌剂等技术</w:t>
      </w:r>
      <w:r>
        <w:rPr>
          <w:rFonts w:hint="eastAsia" w:eastAsia="方正仿宋_GBK"/>
          <w:color w:val="auto"/>
          <w:kern w:val="0"/>
          <w:sz w:val="32"/>
          <w:szCs w:val="32"/>
        </w:rPr>
        <w:t>支持</w:t>
      </w:r>
      <w:r>
        <w:rPr>
          <w:rFonts w:eastAsia="方正仿宋_GBK"/>
          <w:color w:val="auto"/>
          <w:kern w:val="0"/>
          <w:sz w:val="32"/>
          <w:szCs w:val="32"/>
        </w:rPr>
        <w:t>。</w:t>
      </w:r>
    </w:p>
    <w:p>
      <w:pPr>
        <w:ind w:firstLine="640" w:firstLineChars="200"/>
        <w:rPr>
          <w:rFonts w:eastAsia="方正仿宋_GBK"/>
          <w:color w:val="auto"/>
          <w:kern w:val="0"/>
          <w:sz w:val="32"/>
          <w:szCs w:val="32"/>
        </w:rPr>
      </w:pPr>
      <w:r>
        <w:rPr>
          <w:rFonts w:eastAsia="方正仿宋_GBK"/>
          <w:color w:val="auto"/>
          <w:kern w:val="0"/>
          <w:sz w:val="32"/>
          <w:szCs w:val="32"/>
        </w:rPr>
        <w:t>实施主体：高校或科研院所、示范企业；</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按研发进度、科技成果转化效果给予中央财政资金支持。</w:t>
      </w:r>
    </w:p>
    <w:p>
      <w:pPr>
        <w:pStyle w:val="2"/>
        <w:ind w:firstLine="360" w:firstLineChars="200"/>
        <w:jc w:val="center"/>
        <w:rPr>
          <w:rFonts w:eastAsiaTheme="minorEastAsia"/>
          <w:color w:val="auto"/>
          <w:kern w:val="0"/>
          <w:sz w:val="18"/>
          <w:szCs w:val="18"/>
        </w:rPr>
      </w:pPr>
      <w:r>
        <w:rPr>
          <w:rFonts w:eastAsiaTheme="minorEastAsia"/>
          <w:color w:val="auto"/>
          <w:kern w:val="0"/>
          <w:sz w:val="18"/>
          <w:szCs w:val="18"/>
        </w:rPr>
        <w:t>表2  肥料化利用资金分配</w:t>
      </w:r>
    </w:p>
    <w:tbl>
      <w:tblPr>
        <w:tblStyle w:val="11"/>
        <w:tblW w:w="8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2552"/>
        <w:gridCol w:w="851"/>
        <w:gridCol w:w="992"/>
        <w:gridCol w:w="994"/>
        <w:gridCol w:w="1288"/>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392" w:type="dxa"/>
            <w:vMerge w:val="restart"/>
            <w:vAlign w:val="center"/>
          </w:tcPr>
          <w:p>
            <w:pPr>
              <w:pStyle w:val="2"/>
              <w:ind w:firstLine="0" w:firstLineChars="0"/>
              <w:jc w:val="center"/>
              <w:rPr>
                <w:b/>
                <w:bCs/>
                <w:color w:val="auto"/>
                <w:kern w:val="0"/>
                <w:sz w:val="18"/>
                <w:szCs w:val="18"/>
              </w:rPr>
            </w:pPr>
            <w:r>
              <w:rPr>
                <w:b/>
                <w:bCs/>
                <w:color w:val="auto"/>
                <w:kern w:val="0"/>
                <w:sz w:val="18"/>
                <w:szCs w:val="18"/>
              </w:rPr>
              <w:t>序号</w:t>
            </w:r>
          </w:p>
        </w:tc>
        <w:tc>
          <w:tcPr>
            <w:tcW w:w="2552" w:type="dxa"/>
            <w:vMerge w:val="restart"/>
            <w:vAlign w:val="center"/>
          </w:tcPr>
          <w:p>
            <w:pPr>
              <w:pStyle w:val="2"/>
              <w:ind w:firstLine="0" w:firstLineChars="0"/>
              <w:jc w:val="center"/>
              <w:rPr>
                <w:b/>
                <w:bCs/>
                <w:color w:val="auto"/>
                <w:kern w:val="0"/>
                <w:sz w:val="18"/>
                <w:szCs w:val="18"/>
              </w:rPr>
            </w:pPr>
            <w:r>
              <w:rPr>
                <w:b/>
                <w:bCs/>
                <w:color w:val="auto"/>
                <w:kern w:val="0"/>
                <w:sz w:val="18"/>
                <w:szCs w:val="18"/>
              </w:rPr>
              <w:t>主体</w:t>
            </w:r>
          </w:p>
        </w:tc>
        <w:tc>
          <w:tcPr>
            <w:tcW w:w="851" w:type="dxa"/>
            <w:vMerge w:val="restart"/>
            <w:vAlign w:val="center"/>
          </w:tcPr>
          <w:p>
            <w:pPr>
              <w:pStyle w:val="2"/>
              <w:ind w:firstLine="0" w:firstLineChars="0"/>
              <w:jc w:val="center"/>
              <w:rPr>
                <w:b/>
                <w:bCs/>
                <w:color w:val="auto"/>
                <w:kern w:val="0"/>
                <w:sz w:val="18"/>
                <w:szCs w:val="18"/>
              </w:rPr>
            </w:pPr>
            <w:r>
              <w:rPr>
                <w:b/>
                <w:bCs/>
                <w:color w:val="auto"/>
                <w:kern w:val="0"/>
                <w:sz w:val="18"/>
                <w:szCs w:val="18"/>
              </w:rPr>
              <w:t>计划投资（万元）</w:t>
            </w:r>
          </w:p>
        </w:tc>
        <w:tc>
          <w:tcPr>
            <w:tcW w:w="1986" w:type="dxa"/>
            <w:gridSpan w:val="2"/>
            <w:vAlign w:val="center"/>
          </w:tcPr>
          <w:p>
            <w:pPr>
              <w:pStyle w:val="2"/>
              <w:ind w:firstLine="0" w:firstLineChars="0"/>
              <w:jc w:val="center"/>
              <w:rPr>
                <w:b/>
                <w:bCs/>
                <w:color w:val="auto"/>
                <w:kern w:val="0"/>
                <w:sz w:val="18"/>
                <w:szCs w:val="18"/>
              </w:rPr>
            </w:pPr>
            <w:r>
              <w:rPr>
                <w:b/>
                <w:bCs/>
                <w:color w:val="auto"/>
                <w:kern w:val="0"/>
                <w:sz w:val="18"/>
                <w:szCs w:val="18"/>
              </w:rPr>
              <w:t>资金来源（万元）</w:t>
            </w:r>
          </w:p>
        </w:tc>
        <w:tc>
          <w:tcPr>
            <w:tcW w:w="1288" w:type="dxa"/>
            <w:vMerge w:val="restart"/>
            <w:vAlign w:val="center"/>
          </w:tcPr>
          <w:p>
            <w:pPr>
              <w:pStyle w:val="2"/>
              <w:ind w:firstLine="0" w:firstLineChars="0"/>
              <w:jc w:val="center"/>
              <w:rPr>
                <w:b/>
                <w:bCs/>
                <w:color w:val="auto"/>
                <w:kern w:val="0"/>
                <w:sz w:val="18"/>
                <w:szCs w:val="18"/>
              </w:rPr>
            </w:pPr>
            <w:r>
              <w:rPr>
                <w:b/>
                <w:bCs/>
                <w:color w:val="auto"/>
                <w:kern w:val="0"/>
                <w:sz w:val="18"/>
                <w:szCs w:val="18"/>
              </w:rPr>
              <w:t>2022利用量（吨）</w:t>
            </w:r>
          </w:p>
        </w:tc>
        <w:tc>
          <w:tcPr>
            <w:tcW w:w="1380" w:type="dxa"/>
            <w:vMerge w:val="restart"/>
            <w:vAlign w:val="center"/>
          </w:tcPr>
          <w:p>
            <w:pPr>
              <w:pStyle w:val="2"/>
              <w:ind w:firstLine="0" w:firstLineChars="0"/>
              <w:jc w:val="center"/>
              <w:rPr>
                <w:b/>
                <w:bCs/>
                <w:color w:val="auto"/>
                <w:kern w:val="0"/>
                <w:sz w:val="18"/>
                <w:szCs w:val="18"/>
              </w:rPr>
            </w:pPr>
            <w:r>
              <w:rPr>
                <w:b/>
                <w:bCs/>
                <w:color w:val="auto"/>
                <w:kern w:val="0"/>
                <w:sz w:val="18"/>
                <w:szCs w:val="18"/>
              </w:rPr>
              <w:t>2023目标量（吨）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392" w:type="dxa"/>
            <w:vMerge w:val="continue"/>
          </w:tcPr>
          <w:p>
            <w:pPr>
              <w:pStyle w:val="2"/>
              <w:ind w:firstLine="180"/>
              <w:rPr>
                <w:color w:val="auto"/>
                <w:kern w:val="0"/>
                <w:sz w:val="18"/>
                <w:szCs w:val="18"/>
              </w:rPr>
            </w:pPr>
          </w:p>
        </w:tc>
        <w:tc>
          <w:tcPr>
            <w:tcW w:w="2552" w:type="dxa"/>
            <w:vMerge w:val="continue"/>
          </w:tcPr>
          <w:p>
            <w:pPr>
              <w:pStyle w:val="2"/>
              <w:ind w:firstLine="180"/>
              <w:rPr>
                <w:color w:val="auto"/>
                <w:kern w:val="0"/>
                <w:sz w:val="18"/>
                <w:szCs w:val="18"/>
              </w:rPr>
            </w:pPr>
          </w:p>
        </w:tc>
        <w:tc>
          <w:tcPr>
            <w:tcW w:w="851" w:type="dxa"/>
            <w:vMerge w:val="continue"/>
          </w:tcPr>
          <w:p>
            <w:pPr>
              <w:pStyle w:val="2"/>
              <w:ind w:firstLine="180"/>
              <w:rPr>
                <w:color w:val="auto"/>
                <w:kern w:val="0"/>
                <w:sz w:val="18"/>
                <w:szCs w:val="18"/>
              </w:rPr>
            </w:pPr>
          </w:p>
        </w:tc>
        <w:tc>
          <w:tcPr>
            <w:tcW w:w="992" w:type="dxa"/>
          </w:tcPr>
          <w:p>
            <w:pPr>
              <w:pStyle w:val="2"/>
              <w:ind w:firstLine="0" w:firstLineChars="0"/>
              <w:jc w:val="center"/>
              <w:rPr>
                <w:b/>
                <w:bCs/>
                <w:color w:val="auto"/>
                <w:kern w:val="0"/>
                <w:sz w:val="18"/>
                <w:szCs w:val="18"/>
              </w:rPr>
            </w:pPr>
            <w:r>
              <w:rPr>
                <w:b/>
                <w:bCs/>
                <w:color w:val="auto"/>
                <w:kern w:val="0"/>
                <w:sz w:val="18"/>
                <w:szCs w:val="18"/>
              </w:rPr>
              <w:t>中央资金（万元）</w:t>
            </w:r>
          </w:p>
        </w:tc>
        <w:tc>
          <w:tcPr>
            <w:tcW w:w="994" w:type="dxa"/>
          </w:tcPr>
          <w:p>
            <w:pPr>
              <w:pStyle w:val="2"/>
              <w:ind w:firstLine="0" w:firstLineChars="0"/>
              <w:jc w:val="center"/>
              <w:rPr>
                <w:b/>
                <w:bCs/>
                <w:color w:val="auto"/>
                <w:kern w:val="0"/>
                <w:sz w:val="18"/>
                <w:szCs w:val="18"/>
              </w:rPr>
            </w:pPr>
            <w:r>
              <w:rPr>
                <w:b/>
                <w:bCs/>
                <w:color w:val="auto"/>
                <w:kern w:val="0"/>
                <w:sz w:val="18"/>
                <w:szCs w:val="18"/>
              </w:rPr>
              <w:t>自筹（万元）</w:t>
            </w:r>
          </w:p>
        </w:tc>
        <w:tc>
          <w:tcPr>
            <w:tcW w:w="1288" w:type="dxa"/>
            <w:vMerge w:val="continue"/>
          </w:tcPr>
          <w:p>
            <w:pPr>
              <w:pStyle w:val="2"/>
              <w:ind w:firstLine="180"/>
              <w:rPr>
                <w:color w:val="auto"/>
                <w:kern w:val="0"/>
                <w:sz w:val="18"/>
                <w:szCs w:val="18"/>
              </w:rPr>
            </w:pPr>
          </w:p>
        </w:tc>
        <w:tc>
          <w:tcPr>
            <w:tcW w:w="1380" w:type="dxa"/>
            <w:vMerge w:val="continue"/>
          </w:tcPr>
          <w:p>
            <w:pPr>
              <w:pStyle w:val="2"/>
              <w:ind w:firstLine="180"/>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392" w:type="dxa"/>
            <w:vAlign w:val="center"/>
          </w:tcPr>
          <w:p>
            <w:pPr>
              <w:pStyle w:val="2"/>
              <w:ind w:firstLine="0" w:firstLineChars="0"/>
              <w:jc w:val="center"/>
              <w:rPr>
                <w:color w:val="auto"/>
                <w:sz w:val="18"/>
                <w:szCs w:val="18"/>
              </w:rPr>
            </w:pPr>
            <w:r>
              <w:rPr>
                <w:color w:val="auto"/>
                <w:kern w:val="0"/>
                <w:sz w:val="18"/>
                <w:szCs w:val="18"/>
              </w:rPr>
              <w:t>1</w:t>
            </w:r>
          </w:p>
        </w:tc>
        <w:tc>
          <w:tcPr>
            <w:tcW w:w="2552" w:type="dxa"/>
            <w:vAlign w:val="center"/>
          </w:tcPr>
          <w:p>
            <w:pPr>
              <w:pStyle w:val="2"/>
              <w:ind w:firstLine="0" w:firstLineChars="0"/>
              <w:jc w:val="center"/>
              <w:rPr>
                <w:rFonts w:hint="eastAsia" w:eastAsia="宋体"/>
                <w:color w:val="auto"/>
                <w:sz w:val="18"/>
                <w:szCs w:val="18"/>
                <w:lang w:eastAsia="zh-CN"/>
              </w:rPr>
            </w:pPr>
            <w:r>
              <w:rPr>
                <w:color w:val="auto"/>
                <w:kern w:val="0"/>
                <w:sz w:val="18"/>
                <w:szCs w:val="18"/>
              </w:rPr>
              <w:t>示范点</w:t>
            </w:r>
            <w:r>
              <w:rPr>
                <w:rFonts w:hint="eastAsia"/>
                <w:color w:val="auto"/>
                <w:kern w:val="0"/>
                <w:sz w:val="18"/>
                <w:szCs w:val="18"/>
                <w:lang w:val="en-US" w:eastAsia="zh-CN"/>
              </w:rPr>
              <w:t>农户</w:t>
            </w:r>
          </w:p>
        </w:tc>
        <w:tc>
          <w:tcPr>
            <w:tcW w:w="851"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95.75</w:t>
            </w:r>
          </w:p>
        </w:tc>
        <w:tc>
          <w:tcPr>
            <w:tcW w:w="992"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85</w:t>
            </w:r>
          </w:p>
        </w:tc>
        <w:tc>
          <w:tcPr>
            <w:tcW w:w="994"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10.75</w:t>
            </w:r>
          </w:p>
        </w:tc>
        <w:tc>
          <w:tcPr>
            <w:tcW w:w="1288" w:type="dxa"/>
            <w:vAlign w:val="center"/>
          </w:tcPr>
          <w:p>
            <w:pPr>
              <w:pStyle w:val="2"/>
              <w:ind w:firstLine="0" w:firstLineChars="0"/>
              <w:jc w:val="center"/>
              <w:rPr>
                <w:color w:val="auto"/>
                <w:kern w:val="0"/>
                <w:sz w:val="18"/>
                <w:szCs w:val="18"/>
              </w:rPr>
            </w:pPr>
            <w:r>
              <w:rPr>
                <w:color w:val="auto"/>
                <w:kern w:val="0"/>
                <w:sz w:val="18"/>
                <w:szCs w:val="18"/>
              </w:rPr>
              <w:t>/</w:t>
            </w:r>
          </w:p>
        </w:tc>
        <w:tc>
          <w:tcPr>
            <w:tcW w:w="1380" w:type="dxa"/>
            <w:vAlign w:val="center"/>
          </w:tcPr>
          <w:p>
            <w:pPr>
              <w:pStyle w:val="2"/>
              <w:ind w:firstLine="0" w:firstLineChars="0"/>
              <w:jc w:val="center"/>
              <w:rPr>
                <w:color w:val="auto"/>
                <w:kern w:val="0"/>
                <w:sz w:val="18"/>
                <w:szCs w:val="18"/>
              </w:rPr>
            </w:pPr>
            <w:r>
              <w:rPr>
                <w:color w:val="auto"/>
                <w:kern w:val="0"/>
                <w:sz w:val="18"/>
                <w:szCs w:val="18"/>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392" w:type="dxa"/>
            <w:vAlign w:val="center"/>
          </w:tcPr>
          <w:p>
            <w:pPr>
              <w:pStyle w:val="2"/>
              <w:ind w:firstLine="0" w:firstLineChars="0"/>
              <w:jc w:val="center"/>
              <w:rPr>
                <w:color w:val="auto"/>
                <w:kern w:val="0"/>
                <w:sz w:val="18"/>
                <w:szCs w:val="18"/>
              </w:rPr>
            </w:pPr>
            <w:r>
              <w:rPr>
                <w:color w:val="auto"/>
                <w:kern w:val="0"/>
                <w:sz w:val="18"/>
                <w:szCs w:val="18"/>
              </w:rPr>
              <w:t>2</w:t>
            </w:r>
          </w:p>
        </w:tc>
        <w:tc>
          <w:tcPr>
            <w:tcW w:w="2552" w:type="dxa"/>
            <w:vAlign w:val="center"/>
          </w:tcPr>
          <w:p>
            <w:pPr>
              <w:pStyle w:val="2"/>
              <w:ind w:firstLine="0" w:firstLineChars="0"/>
              <w:jc w:val="center"/>
              <w:rPr>
                <w:color w:val="auto"/>
                <w:sz w:val="18"/>
                <w:szCs w:val="18"/>
              </w:rPr>
            </w:pPr>
            <w:r>
              <w:rPr>
                <w:rFonts w:hint="eastAsia"/>
                <w:color w:val="auto"/>
                <w:sz w:val="18"/>
                <w:szCs w:val="18"/>
              </w:rPr>
              <w:t>秸秆肥料化利用市场主体</w:t>
            </w:r>
          </w:p>
        </w:tc>
        <w:tc>
          <w:tcPr>
            <w:tcW w:w="851" w:type="dxa"/>
            <w:vAlign w:val="center"/>
          </w:tcPr>
          <w:p>
            <w:pPr>
              <w:pStyle w:val="2"/>
              <w:ind w:firstLine="0" w:firstLineChars="0"/>
              <w:jc w:val="center"/>
              <w:rPr>
                <w:color w:val="auto"/>
                <w:kern w:val="0"/>
                <w:sz w:val="18"/>
                <w:szCs w:val="18"/>
              </w:rPr>
            </w:pPr>
            <w:r>
              <w:rPr>
                <w:rFonts w:hint="eastAsia"/>
                <w:color w:val="auto"/>
                <w:kern w:val="0"/>
                <w:sz w:val="18"/>
                <w:szCs w:val="18"/>
                <w:lang w:val="en-US" w:eastAsia="zh-CN"/>
              </w:rPr>
              <w:t>311</w:t>
            </w:r>
          </w:p>
        </w:tc>
        <w:tc>
          <w:tcPr>
            <w:tcW w:w="992" w:type="dxa"/>
            <w:vAlign w:val="center"/>
          </w:tcPr>
          <w:p>
            <w:pPr>
              <w:pStyle w:val="2"/>
              <w:ind w:firstLine="0" w:firstLineChars="0"/>
              <w:jc w:val="center"/>
              <w:rPr>
                <w:color w:val="auto"/>
                <w:kern w:val="0"/>
                <w:sz w:val="18"/>
                <w:szCs w:val="18"/>
              </w:rPr>
            </w:pPr>
            <w:r>
              <w:rPr>
                <w:rFonts w:hint="eastAsia"/>
                <w:color w:val="auto"/>
                <w:kern w:val="0"/>
                <w:sz w:val="18"/>
                <w:szCs w:val="18"/>
                <w:lang w:val="en-US" w:eastAsia="zh-CN"/>
              </w:rPr>
              <w:t>8</w:t>
            </w:r>
            <w:r>
              <w:rPr>
                <w:color w:val="auto"/>
                <w:kern w:val="0"/>
                <w:sz w:val="18"/>
                <w:szCs w:val="18"/>
              </w:rPr>
              <w:t>1</w:t>
            </w:r>
          </w:p>
        </w:tc>
        <w:tc>
          <w:tcPr>
            <w:tcW w:w="994" w:type="dxa"/>
            <w:vAlign w:val="center"/>
          </w:tcPr>
          <w:p>
            <w:pPr>
              <w:pStyle w:val="2"/>
              <w:ind w:firstLine="0" w:firstLineChars="0"/>
              <w:jc w:val="center"/>
              <w:rPr>
                <w:color w:val="auto"/>
                <w:kern w:val="0"/>
                <w:sz w:val="18"/>
                <w:szCs w:val="18"/>
              </w:rPr>
            </w:pPr>
            <w:r>
              <w:rPr>
                <w:color w:val="auto"/>
                <w:kern w:val="0"/>
                <w:sz w:val="18"/>
                <w:szCs w:val="18"/>
              </w:rPr>
              <w:t>230</w:t>
            </w:r>
          </w:p>
        </w:tc>
        <w:tc>
          <w:tcPr>
            <w:tcW w:w="1288" w:type="dxa"/>
            <w:vAlign w:val="center"/>
          </w:tcPr>
          <w:p>
            <w:pPr>
              <w:pStyle w:val="2"/>
              <w:ind w:firstLine="0" w:firstLineChars="0"/>
              <w:jc w:val="center"/>
              <w:rPr>
                <w:color w:val="auto"/>
                <w:kern w:val="0"/>
                <w:sz w:val="18"/>
                <w:szCs w:val="18"/>
              </w:rPr>
            </w:pPr>
            <w:r>
              <w:rPr>
                <w:color w:val="auto"/>
                <w:kern w:val="0"/>
                <w:sz w:val="18"/>
                <w:szCs w:val="18"/>
              </w:rPr>
              <w:t>40</w:t>
            </w:r>
          </w:p>
        </w:tc>
        <w:tc>
          <w:tcPr>
            <w:tcW w:w="1380" w:type="dxa"/>
            <w:vAlign w:val="center"/>
          </w:tcPr>
          <w:p>
            <w:pPr>
              <w:pStyle w:val="2"/>
              <w:ind w:firstLine="0" w:firstLineChars="0"/>
              <w:jc w:val="center"/>
              <w:rPr>
                <w:color w:val="auto"/>
                <w:kern w:val="0"/>
                <w:sz w:val="18"/>
                <w:szCs w:val="18"/>
              </w:rPr>
            </w:pPr>
            <w:r>
              <w:rPr>
                <w:color w:val="auto"/>
                <w:kern w:val="0"/>
                <w:sz w:val="18"/>
                <w:szCs w:val="18"/>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392" w:type="dxa"/>
            <w:vAlign w:val="center"/>
          </w:tcPr>
          <w:p>
            <w:pPr>
              <w:pStyle w:val="2"/>
              <w:ind w:firstLine="0" w:firstLineChars="0"/>
              <w:jc w:val="center"/>
              <w:rPr>
                <w:color w:val="auto"/>
                <w:kern w:val="0"/>
                <w:sz w:val="18"/>
                <w:szCs w:val="18"/>
              </w:rPr>
            </w:pPr>
            <w:r>
              <w:rPr>
                <w:color w:val="auto"/>
                <w:kern w:val="0"/>
                <w:sz w:val="18"/>
                <w:szCs w:val="18"/>
              </w:rPr>
              <w:t>3</w:t>
            </w:r>
          </w:p>
        </w:tc>
        <w:tc>
          <w:tcPr>
            <w:tcW w:w="2552" w:type="dxa"/>
            <w:vAlign w:val="center"/>
          </w:tcPr>
          <w:p>
            <w:pPr>
              <w:pStyle w:val="2"/>
              <w:ind w:firstLine="0" w:firstLineChars="0"/>
              <w:jc w:val="center"/>
              <w:rPr>
                <w:color w:val="auto"/>
                <w:sz w:val="18"/>
                <w:szCs w:val="18"/>
              </w:rPr>
            </w:pPr>
            <w:r>
              <w:rPr>
                <w:color w:val="auto"/>
                <w:sz w:val="18"/>
                <w:szCs w:val="18"/>
              </w:rPr>
              <w:t>高校或科研院所、示范企业</w:t>
            </w:r>
          </w:p>
        </w:tc>
        <w:tc>
          <w:tcPr>
            <w:tcW w:w="851"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992"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994" w:type="dxa"/>
            <w:vAlign w:val="center"/>
          </w:tcPr>
          <w:p>
            <w:pPr>
              <w:pStyle w:val="2"/>
              <w:ind w:firstLine="0" w:firstLineChars="0"/>
              <w:jc w:val="center"/>
              <w:rPr>
                <w:color w:val="auto"/>
                <w:kern w:val="0"/>
                <w:sz w:val="18"/>
                <w:szCs w:val="18"/>
              </w:rPr>
            </w:pPr>
            <w:r>
              <w:rPr>
                <w:color w:val="auto"/>
                <w:kern w:val="0"/>
                <w:sz w:val="18"/>
                <w:szCs w:val="18"/>
              </w:rPr>
              <w:t>/</w:t>
            </w:r>
          </w:p>
        </w:tc>
        <w:tc>
          <w:tcPr>
            <w:tcW w:w="1288" w:type="dxa"/>
            <w:vAlign w:val="center"/>
          </w:tcPr>
          <w:p>
            <w:pPr>
              <w:pStyle w:val="2"/>
              <w:ind w:firstLine="0" w:firstLineChars="0"/>
              <w:jc w:val="center"/>
              <w:rPr>
                <w:color w:val="auto"/>
                <w:kern w:val="0"/>
                <w:sz w:val="18"/>
                <w:szCs w:val="18"/>
              </w:rPr>
            </w:pPr>
            <w:r>
              <w:rPr>
                <w:color w:val="auto"/>
                <w:kern w:val="0"/>
                <w:sz w:val="18"/>
                <w:szCs w:val="18"/>
              </w:rPr>
              <w:t>/</w:t>
            </w:r>
          </w:p>
        </w:tc>
        <w:tc>
          <w:tcPr>
            <w:tcW w:w="1380" w:type="dxa"/>
            <w:vAlign w:val="center"/>
          </w:tcPr>
          <w:p>
            <w:pPr>
              <w:pStyle w:val="2"/>
              <w:ind w:firstLine="0" w:firstLineChars="0"/>
              <w:jc w:val="center"/>
              <w:rPr>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944" w:type="dxa"/>
            <w:gridSpan w:val="2"/>
            <w:vAlign w:val="center"/>
          </w:tcPr>
          <w:p>
            <w:pPr>
              <w:pStyle w:val="2"/>
              <w:ind w:firstLine="0" w:firstLineChars="0"/>
              <w:jc w:val="center"/>
              <w:rPr>
                <w:b/>
                <w:bCs/>
                <w:color w:val="auto"/>
                <w:kern w:val="0"/>
                <w:sz w:val="18"/>
                <w:szCs w:val="18"/>
              </w:rPr>
            </w:pPr>
            <w:r>
              <w:rPr>
                <w:b/>
                <w:bCs/>
                <w:color w:val="auto"/>
                <w:kern w:val="0"/>
                <w:sz w:val="18"/>
                <w:szCs w:val="18"/>
              </w:rPr>
              <w:t>合计</w:t>
            </w:r>
          </w:p>
        </w:tc>
        <w:tc>
          <w:tcPr>
            <w:tcW w:w="851" w:type="dxa"/>
            <w:vAlign w:val="center"/>
          </w:tcPr>
          <w:p>
            <w:pPr>
              <w:pStyle w:val="2"/>
              <w:ind w:firstLine="0" w:firstLineChars="0"/>
              <w:jc w:val="center"/>
              <w:rPr>
                <w:rFonts w:hint="default"/>
                <w:b/>
                <w:bCs/>
                <w:color w:val="auto"/>
                <w:kern w:val="0"/>
                <w:sz w:val="18"/>
                <w:szCs w:val="18"/>
                <w:lang w:val="en-US"/>
              </w:rPr>
            </w:pPr>
            <w:r>
              <w:rPr>
                <w:rFonts w:hint="eastAsia"/>
                <w:b/>
                <w:bCs/>
                <w:color w:val="auto"/>
                <w:kern w:val="0"/>
                <w:sz w:val="18"/>
                <w:szCs w:val="18"/>
                <w:lang w:val="en-US" w:eastAsia="zh-CN"/>
              </w:rPr>
              <w:t>421.75</w:t>
            </w:r>
          </w:p>
        </w:tc>
        <w:tc>
          <w:tcPr>
            <w:tcW w:w="992" w:type="dxa"/>
            <w:vAlign w:val="center"/>
          </w:tcPr>
          <w:p>
            <w:pPr>
              <w:pStyle w:val="2"/>
              <w:ind w:firstLine="0" w:firstLineChars="0"/>
              <w:jc w:val="center"/>
              <w:rPr>
                <w:b/>
                <w:bCs/>
                <w:color w:val="auto"/>
                <w:kern w:val="0"/>
                <w:sz w:val="18"/>
                <w:szCs w:val="18"/>
              </w:rPr>
            </w:pPr>
            <w:r>
              <w:rPr>
                <w:rFonts w:hint="eastAsia"/>
                <w:b/>
                <w:bCs/>
                <w:color w:val="auto"/>
                <w:kern w:val="0"/>
                <w:sz w:val="18"/>
                <w:szCs w:val="18"/>
                <w:lang w:val="en-US" w:eastAsia="zh-CN"/>
              </w:rPr>
              <w:t>181</w:t>
            </w:r>
          </w:p>
        </w:tc>
        <w:tc>
          <w:tcPr>
            <w:tcW w:w="994" w:type="dxa"/>
            <w:vAlign w:val="center"/>
          </w:tcPr>
          <w:p>
            <w:pPr>
              <w:pStyle w:val="2"/>
              <w:ind w:firstLine="0" w:firstLineChars="0"/>
              <w:jc w:val="center"/>
              <w:rPr>
                <w:b/>
                <w:bCs/>
                <w:color w:val="auto"/>
                <w:kern w:val="0"/>
                <w:sz w:val="18"/>
                <w:szCs w:val="18"/>
              </w:rPr>
            </w:pPr>
            <w:r>
              <w:rPr>
                <w:b/>
                <w:bCs/>
                <w:color w:val="auto"/>
                <w:kern w:val="0"/>
                <w:sz w:val="18"/>
                <w:szCs w:val="18"/>
              </w:rPr>
              <w:t>2</w:t>
            </w:r>
            <w:r>
              <w:rPr>
                <w:rFonts w:hint="eastAsia"/>
                <w:b/>
                <w:bCs/>
                <w:color w:val="auto"/>
                <w:kern w:val="0"/>
                <w:sz w:val="18"/>
                <w:szCs w:val="18"/>
                <w:lang w:val="en-US" w:eastAsia="zh-CN"/>
              </w:rPr>
              <w:t>40.75</w:t>
            </w:r>
          </w:p>
        </w:tc>
        <w:tc>
          <w:tcPr>
            <w:tcW w:w="1288" w:type="dxa"/>
            <w:vAlign w:val="center"/>
          </w:tcPr>
          <w:p>
            <w:pPr>
              <w:pStyle w:val="2"/>
              <w:ind w:firstLine="0" w:firstLineChars="0"/>
              <w:jc w:val="center"/>
              <w:rPr>
                <w:b/>
                <w:bCs/>
                <w:color w:val="auto"/>
                <w:kern w:val="0"/>
                <w:sz w:val="18"/>
                <w:szCs w:val="18"/>
              </w:rPr>
            </w:pPr>
            <w:r>
              <w:rPr>
                <w:b/>
                <w:bCs/>
                <w:color w:val="auto"/>
                <w:kern w:val="0"/>
                <w:sz w:val="18"/>
                <w:szCs w:val="18"/>
              </w:rPr>
              <w:t>40</w:t>
            </w:r>
          </w:p>
        </w:tc>
        <w:tc>
          <w:tcPr>
            <w:tcW w:w="1380" w:type="dxa"/>
            <w:vAlign w:val="center"/>
          </w:tcPr>
          <w:p>
            <w:pPr>
              <w:pStyle w:val="2"/>
              <w:ind w:firstLine="0" w:firstLineChars="0"/>
              <w:jc w:val="center"/>
              <w:rPr>
                <w:b/>
                <w:bCs/>
                <w:color w:val="auto"/>
                <w:kern w:val="0"/>
                <w:sz w:val="18"/>
                <w:szCs w:val="18"/>
              </w:rPr>
            </w:pPr>
            <w:r>
              <w:rPr>
                <w:b/>
                <w:bCs/>
                <w:color w:val="auto"/>
                <w:kern w:val="0"/>
                <w:sz w:val="18"/>
                <w:szCs w:val="18"/>
              </w:rPr>
              <w:t>2023年农作物秸秆消耗目标：29000吨</w:t>
            </w:r>
          </w:p>
        </w:tc>
      </w:tr>
    </w:tbl>
    <w:p>
      <w:pPr>
        <w:spacing w:before="120" w:after="120"/>
        <w:ind w:firstLine="643" w:firstLineChars="200"/>
        <w:rPr>
          <w:rFonts w:eastAsia="方正楷体_GBK"/>
          <w:b/>
          <w:bCs/>
          <w:color w:val="auto"/>
          <w:sz w:val="32"/>
          <w:szCs w:val="32"/>
        </w:rPr>
      </w:pPr>
      <w:bookmarkStart w:id="219" w:name="_Toc8347"/>
      <w:r>
        <w:rPr>
          <w:rFonts w:eastAsia="方正楷体_GBK"/>
          <w:b/>
          <w:bCs/>
          <w:color w:val="auto"/>
          <w:sz w:val="32"/>
          <w:szCs w:val="32"/>
        </w:rPr>
        <w:t>（三）</w:t>
      </w:r>
      <w:bookmarkEnd w:id="219"/>
      <w:r>
        <w:rPr>
          <w:rFonts w:eastAsia="方正楷体_GBK"/>
          <w:b/>
          <w:bCs/>
          <w:color w:val="auto"/>
          <w:sz w:val="32"/>
          <w:szCs w:val="32"/>
        </w:rPr>
        <w:t>燃料化利用</w:t>
      </w:r>
      <w:bookmarkEnd w:id="218"/>
      <w:r>
        <w:rPr>
          <w:rFonts w:eastAsia="方正楷体_GBK"/>
          <w:b/>
          <w:bCs/>
          <w:color w:val="auto"/>
          <w:sz w:val="32"/>
          <w:szCs w:val="32"/>
        </w:rPr>
        <w:t>预算</w:t>
      </w:r>
    </w:p>
    <w:p>
      <w:pPr>
        <w:ind w:firstLine="640" w:firstLineChars="200"/>
        <w:rPr>
          <w:rFonts w:eastAsia="方正仿宋_GBK"/>
          <w:color w:val="auto"/>
          <w:kern w:val="0"/>
          <w:sz w:val="32"/>
          <w:szCs w:val="32"/>
        </w:rPr>
      </w:pPr>
      <w:r>
        <w:rPr>
          <w:rFonts w:eastAsia="方正仿宋_GBK"/>
          <w:color w:val="auto"/>
          <w:kern w:val="0"/>
          <w:sz w:val="32"/>
          <w:szCs w:val="32"/>
        </w:rPr>
        <w:t>1.生产示范点建设</w:t>
      </w:r>
    </w:p>
    <w:p>
      <w:pPr>
        <w:ind w:firstLine="640" w:firstLineChars="200"/>
        <w:rPr>
          <w:rFonts w:eastAsia="方正仿宋_GBK"/>
          <w:color w:val="auto"/>
          <w:kern w:val="0"/>
          <w:sz w:val="32"/>
          <w:szCs w:val="32"/>
        </w:rPr>
      </w:pPr>
      <w:r>
        <w:rPr>
          <w:rFonts w:eastAsia="方正仿宋_GBK"/>
          <w:color w:val="auto"/>
          <w:kern w:val="0"/>
          <w:sz w:val="32"/>
          <w:szCs w:val="32"/>
        </w:rPr>
        <w:t>项目以烟秆高值燃料制备关键技术为依托，优化</w:t>
      </w:r>
      <w:r>
        <w:rPr>
          <w:rFonts w:hint="eastAsia" w:eastAsia="方正仿宋_GBK"/>
          <w:color w:val="auto"/>
          <w:kern w:val="0"/>
          <w:sz w:val="32"/>
          <w:szCs w:val="32"/>
          <w:lang w:val="en-US" w:eastAsia="zh-CN"/>
        </w:rPr>
        <w:t>遴选出</w:t>
      </w:r>
      <w:r>
        <w:rPr>
          <w:rFonts w:eastAsia="方正仿宋_GBK"/>
          <w:color w:val="auto"/>
          <w:kern w:val="0"/>
          <w:sz w:val="32"/>
          <w:szCs w:val="32"/>
        </w:rPr>
        <w:t>的企业</w:t>
      </w:r>
      <w:r>
        <w:rPr>
          <w:rFonts w:hint="eastAsia" w:eastAsia="方正仿宋_GBK"/>
          <w:color w:val="auto"/>
          <w:kern w:val="0"/>
          <w:sz w:val="32"/>
          <w:szCs w:val="32"/>
          <w:lang w:val="en-US" w:eastAsia="zh-CN"/>
        </w:rPr>
        <w:t>进行</w:t>
      </w:r>
      <w:r>
        <w:rPr>
          <w:rFonts w:eastAsia="方正仿宋_GBK"/>
          <w:color w:val="auto"/>
          <w:kern w:val="0"/>
          <w:sz w:val="32"/>
          <w:szCs w:val="32"/>
        </w:rPr>
        <w:t>技术升级，并对购置的设备进行适当</w:t>
      </w:r>
      <w:r>
        <w:rPr>
          <w:rFonts w:hint="eastAsia" w:eastAsia="方正仿宋_GBK"/>
          <w:color w:val="auto"/>
          <w:kern w:val="0"/>
          <w:sz w:val="32"/>
          <w:szCs w:val="32"/>
          <w:lang w:val="en-US" w:eastAsia="zh-CN"/>
        </w:rPr>
        <w:t>补助</w:t>
      </w:r>
      <w:r>
        <w:rPr>
          <w:rFonts w:eastAsia="方正仿宋_GBK"/>
          <w:color w:val="auto"/>
          <w:kern w:val="0"/>
          <w:sz w:val="32"/>
          <w:szCs w:val="32"/>
        </w:rPr>
        <w:t>，通过消耗木质素含量高、种植面积大的农作物秸秆，以玉米、烟草</w:t>
      </w:r>
      <w:r>
        <w:rPr>
          <w:rFonts w:hint="eastAsia" w:eastAsia="方正仿宋_GBK"/>
          <w:color w:val="auto"/>
          <w:kern w:val="0"/>
          <w:sz w:val="32"/>
          <w:szCs w:val="32"/>
          <w:lang w:val="en-US" w:eastAsia="zh-CN"/>
        </w:rPr>
        <w:t>及其他农作物</w:t>
      </w:r>
      <w:r>
        <w:rPr>
          <w:rFonts w:eastAsia="方正仿宋_GBK"/>
          <w:color w:val="auto"/>
          <w:kern w:val="0"/>
          <w:sz w:val="32"/>
          <w:szCs w:val="32"/>
        </w:rPr>
        <w:t>秸秆为主，提高红塔区秸秆燃料化利用率</w:t>
      </w:r>
      <w:r>
        <w:rPr>
          <w:rFonts w:hint="eastAsia" w:eastAsia="方正仿宋_GBK"/>
          <w:color w:val="auto"/>
          <w:kern w:val="0"/>
          <w:sz w:val="32"/>
          <w:szCs w:val="32"/>
          <w:lang w:eastAsia="zh-CN"/>
        </w:rPr>
        <w:t>。</w:t>
      </w:r>
      <w:r>
        <w:rPr>
          <w:rFonts w:eastAsia="方正仿宋_GBK"/>
          <w:color w:val="auto"/>
          <w:kern w:val="0"/>
          <w:sz w:val="32"/>
          <w:szCs w:val="32"/>
        </w:rPr>
        <w:t>经费预算：预计投资1</w:t>
      </w:r>
      <w:r>
        <w:rPr>
          <w:rFonts w:hint="eastAsia" w:eastAsia="方正仿宋_GBK"/>
          <w:color w:val="auto"/>
          <w:kern w:val="0"/>
          <w:sz w:val="32"/>
          <w:szCs w:val="32"/>
          <w:lang w:val="en-US" w:eastAsia="zh-CN"/>
        </w:rPr>
        <w:t>19</w:t>
      </w:r>
      <w:r>
        <w:rPr>
          <w:rFonts w:eastAsia="方正仿宋_GBK"/>
          <w:color w:val="auto"/>
          <w:kern w:val="0"/>
          <w:sz w:val="32"/>
          <w:szCs w:val="32"/>
        </w:rPr>
        <w:t>万元，其中专项资金支持2</w:t>
      </w:r>
      <w:r>
        <w:rPr>
          <w:rFonts w:hint="eastAsia" w:eastAsia="方正仿宋_GBK"/>
          <w:color w:val="auto"/>
          <w:kern w:val="0"/>
          <w:sz w:val="32"/>
          <w:szCs w:val="32"/>
          <w:lang w:val="en-US" w:eastAsia="zh-CN"/>
        </w:rPr>
        <w:t>0</w:t>
      </w:r>
      <w:r>
        <w:rPr>
          <w:rFonts w:eastAsia="方正仿宋_GBK"/>
          <w:color w:val="auto"/>
          <w:kern w:val="0"/>
          <w:sz w:val="32"/>
          <w:szCs w:val="32"/>
        </w:rPr>
        <w:t>万元，企业自筹99万元；</w:t>
      </w:r>
    </w:p>
    <w:p>
      <w:pPr>
        <w:ind w:firstLine="640" w:firstLineChars="200"/>
        <w:rPr>
          <w:rFonts w:eastAsia="方正仿宋_GBK"/>
          <w:color w:val="auto"/>
          <w:kern w:val="0"/>
          <w:sz w:val="32"/>
          <w:szCs w:val="32"/>
        </w:rPr>
      </w:pPr>
      <w:r>
        <w:rPr>
          <w:rFonts w:eastAsia="方正仿宋_GBK"/>
          <w:color w:val="auto"/>
          <w:kern w:val="0"/>
          <w:sz w:val="32"/>
          <w:szCs w:val="32"/>
        </w:rPr>
        <w:t>经费用途：主要以秸秆处置相关设备购置为主，支持金额原则上不超过社会主体投资总额的50%；</w:t>
      </w:r>
    </w:p>
    <w:p>
      <w:pPr>
        <w:pStyle w:val="2"/>
        <w:spacing w:line="540" w:lineRule="exact"/>
        <w:ind w:firstLine="640" w:firstLineChars="200"/>
        <w:rPr>
          <w:rFonts w:eastAsia="方正仿宋_GBK"/>
          <w:color w:val="auto"/>
          <w:kern w:val="0"/>
          <w:sz w:val="32"/>
          <w:szCs w:val="32"/>
        </w:rPr>
      </w:pPr>
      <w:r>
        <w:rPr>
          <w:rFonts w:eastAsia="方正仿宋_GBK"/>
          <w:color w:val="auto"/>
          <w:kern w:val="0"/>
          <w:sz w:val="32"/>
          <w:szCs w:val="32"/>
        </w:rPr>
        <w:t>实施主体：</w:t>
      </w:r>
      <w:r>
        <w:rPr>
          <w:rFonts w:hint="eastAsia" w:eastAsia="方正仿宋_GBK"/>
          <w:color w:val="auto"/>
          <w:kern w:val="0"/>
          <w:sz w:val="32"/>
          <w:szCs w:val="32"/>
          <w:lang w:eastAsia="zh-CN"/>
        </w:rPr>
        <w:t>秸秆能源化利用企业</w:t>
      </w:r>
      <w:r>
        <w:rPr>
          <w:rFonts w:eastAsia="方正仿宋_GBK"/>
          <w:color w:val="auto"/>
          <w:kern w:val="0"/>
          <w:sz w:val="32"/>
          <w:szCs w:val="32"/>
        </w:rPr>
        <w:t>；</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按项目建设进度、企业投入资金及秸秆处理量给予中央财政资金支持。</w:t>
      </w:r>
    </w:p>
    <w:p>
      <w:pPr>
        <w:ind w:firstLine="640" w:firstLineChars="200"/>
        <w:rPr>
          <w:rFonts w:eastAsia="方正仿宋_GBK"/>
          <w:color w:val="auto"/>
          <w:kern w:val="0"/>
          <w:sz w:val="32"/>
          <w:szCs w:val="32"/>
        </w:rPr>
      </w:pPr>
      <w:r>
        <w:rPr>
          <w:rFonts w:eastAsia="方正仿宋_GBK"/>
          <w:color w:val="auto"/>
          <w:kern w:val="0"/>
          <w:sz w:val="32"/>
          <w:szCs w:val="32"/>
        </w:rPr>
        <w:t>2.烟秆高值燃料化利用关键技术研发及应用</w:t>
      </w:r>
    </w:p>
    <w:p>
      <w:pPr>
        <w:ind w:firstLine="640" w:firstLineChars="200"/>
        <w:rPr>
          <w:rFonts w:eastAsia="方正仿宋_GBK"/>
          <w:color w:val="auto"/>
          <w:kern w:val="0"/>
          <w:sz w:val="32"/>
          <w:szCs w:val="32"/>
        </w:rPr>
      </w:pPr>
      <w:r>
        <w:rPr>
          <w:rFonts w:eastAsia="方正仿宋_GBK"/>
          <w:color w:val="auto"/>
          <w:kern w:val="0"/>
          <w:sz w:val="32"/>
          <w:szCs w:val="32"/>
        </w:rPr>
        <w:t>通过烟秆高值燃料化利用关键技术研发，解决制约烟秆</w:t>
      </w:r>
      <w:r>
        <w:rPr>
          <w:rFonts w:hint="eastAsia" w:eastAsia="方正仿宋_GBK"/>
          <w:color w:val="auto"/>
          <w:kern w:val="0"/>
          <w:sz w:val="32"/>
          <w:szCs w:val="32"/>
          <w:lang w:val="en-US" w:eastAsia="zh-CN"/>
        </w:rPr>
        <w:t>能</w:t>
      </w:r>
      <w:r>
        <w:rPr>
          <w:rFonts w:eastAsia="方正仿宋_GBK"/>
          <w:color w:val="auto"/>
          <w:kern w:val="0"/>
          <w:sz w:val="32"/>
          <w:szCs w:val="32"/>
        </w:rPr>
        <w:t>源化利用的技术难题。</w:t>
      </w:r>
    </w:p>
    <w:p>
      <w:pPr>
        <w:ind w:firstLine="640" w:firstLineChars="200"/>
        <w:rPr>
          <w:rFonts w:eastAsia="方正仿宋_GBK"/>
          <w:color w:val="auto"/>
          <w:kern w:val="0"/>
          <w:sz w:val="32"/>
          <w:szCs w:val="32"/>
        </w:rPr>
      </w:pPr>
      <w:r>
        <w:rPr>
          <w:rFonts w:eastAsia="方正仿宋_GBK"/>
          <w:color w:val="auto"/>
          <w:kern w:val="0"/>
          <w:sz w:val="32"/>
          <w:szCs w:val="32"/>
        </w:rPr>
        <w:t>经费预算：预算</w:t>
      </w:r>
      <w:r>
        <w:rPr>
          <w:rFonts w:hint="eastAsia" w:eastAsia="方正仿宋_GBK"/>
          <w:color w:val="auto"/>
          <w:kern w:val="0"/>
          <w:sz w:val="32"/>
          <w:szCs w:val="32"/>
          <w:lang w:val="en-US" w:eastAsia="zh-CN"/>
        </w:rPr>
        <w:t>15</w:t>
      </w:r>
      <w:r>
        <w:rPr>
          <w:rFonts w:eastAsia="方正仿宋_GBK"/>
          <w:color w:val="auto"/>
          <w:kern w:val="0"/>
          <w:sz w:val="32"/>
          <w:szCs w:val="32"/>
        </w:rPr>
        <w:t>万，全部为中央专项资金；</w:t>
      </w:r>
    </w:p>
    <w:p>
      <w:pPr>
        <w:ind w:firstLine="640" w:firstLineChars="200"/>
        <w:rPr>
          <w:rFonts w:eastAsia="方正仿宋_GBK"/>
          <w:color w:val="auto"/>
          <w:kern w:val="0"/>
          <w:sz w:val="32"/>
          <w:szCs w:val="32"/>
        </w:rPr>
      </w:pPr>
      <w:r>
        <w:rPr>
          <w:rFonts w:eastAsia="方正仿宋_GBK"/>
          <w:color w:val="auto"/>
          <w:kern w:val="0"/>
          <w:sz w:val="32"/>
          <w:szCs w:val="32"/>
        </w:rPr>
        <w:t>经费用途：关键核心技术研发，并实现科技成果转化；</w:t>
      </w:r>
    </w:p>
    <w:p>
      <w:pPr>
        <w:ind w:firstLine="640" w:firstLineChars="200"/>
        <w:rPr>
          <w:rFonts w:eastAsia="方正仿宋_GBK"/>
          <w:color w:val="auto"/>
          <w:kern w:val="0"/>
          <w:sz w:val="32"/>
          <w:szCs w:val="32"/>
        </w:rPr>
      </w:pPr>
      <w:r>
        <w:rPr>
          <w:rFonts w:eastAsia="方正仿宋_GBK"/>
          <w:color w:val="auto"/>
          <w:kern w:val="0"/>
          <w:sz w:val="32"/>
          <w:szCs w:val="32"/>
        </w:rPr>
        <w:t>实施主体：高校或科研院所；</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按研发进度、科技成果转化效果给予中央财政资金支持。</w:t>
      </w:r>
    </w:p>
    <w:p>
      <w:pPr>
        <w:pStyle w:val="2"/>
        <w:spacing w:after="0" w:line="540" w:lineRule="exact"/>
        <w:ind w:firstLine="360" w:firstLineChars="200"/>
        <w:jc w:val="center"/>
        <w:rPr>
          <w:rFonts w:eastAsiaTheme="minorEastAsia"/>
          <w:color w:val="auto"/>
          <w:kern w:val="0"/>
          <w:sz w:val="18"/>
          <w:szCs w:val="18"/>
        </w:rPr>
      </w:pPr>
      <w:r>
        <w:rPr>
          <w:rFonts w:eastAsiaTheme="minorEastAsia"/>
          <w:color w:val="auto"/>
          <w:kern w:val="0"/>
          <w:sz w:val="18"/>
          <w:szCs w:val="18"/>
        </w:rPr>
        <w:t>表1  燃料化利用资金分配</w:t>
      </w:r>
    </w:p>
    <w:tbl>
      <w:tblPr>
        <w:tblStyle w:val="10"/>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132"/>
        <w:gridCol w:w="992"/>
        <w:gridCol w:w="992"/>
        <w:gridCol w:w="972"/>
        <w:gridCol w:w="1408"/>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528" w:type="dxa"/>
            <w:vMerge w:val="restart"/>
            <w:vAlign w:val="center"/>
          </w:tcPr>
          <w:p>
            <w:pPr>
              <w:pStyle w:val="2"/>
              <w:ind w:firstLine="0" w:firstLineChars="0"/>
              <w:jc w:val="center"/>
              <w:rPr>
                <w:b/>
                <w:bCs/>
                <w:color w:val="auto"/>
                <w:kern w:val="0"/>
                <w:sz w:val="18"/>
                <w:szCs w:val="18"/>
              </w:rPr>
            </w:pPr>
            <w:r>
              <w:rPr>
                <w:b/>
                <w:bCs/>
                <w:color w:val="auto"/>
                <w:kern w:val="0"/>
                <w:sz w:val="18"/>
                <w:szCs w:val="18"/>
              </w:rPr>
              <w:t>序号</w:t>
            </w:r>
          </w:p>
        </w:tc>
        <w:tc>
          <w:tcPr>
            <w:tcW w:w="2132" w:type="dxa"/>
            <w:vMerge w:val="restart"/>
            <w:vAlign w:val="center"/>
          </w:tcPr>
          <w:p>
            <w:pPr>
              <w:pStyle w:val="2"/>
              <w:ind w:firstLine="0" w:firstLineChars="0"/>
              <w:jc w:val="center"/>
              <w:rPr>
                <w:b/>
                <w:bCs/>
                <w:color w:val="auto"/>
                <w:kern w:val="0"/>
                <w:sz w:val="18"/>
                <w:szCs w:val="18"/>
              </w:rPr>
            </w:pPr>
            <w:r>
              <w:rPr>
                <w:b/>
                <w:bCs/>
                <w:color w:val="auto"/>
                <w:kern w:val="0"/>
                <w:sz w:val="18"/>
                <w:szCs w:val="18"/>
              </w:rPr>
              <w:t>主体</w:t>
            </w:r>
          </w:p>
        </w:tc>
        <w:tc>
          <w:tcPr>
            <w:tcW w:w="992"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计划总投资（万元）</w:t>
            </w:r>
          </w:p>
        </w:tc>
        <w:tc>
          <w:tcPr>
            <w:tcW w:w="1964" w:type="dxa"/>
            <w:gridSpan w:val="2"/>
            <w:vAlign w:val="center"/>
          </w:tcPr>
          <w:p>
            <w:pPr>
              <w:pStyle w:val="2"/>
              <w:ind w:firstLine="0" w:firstLineChars="0"/>
              <w:jc w:val="center"/>
              <w:rPr>
                <w:b/>
                <w:bCs/>
                <w:color w:val="auto"/>
                <w:kern w:val="0"/>
                <w:sz w:val="18"/>
                <w:szCs w:val="18"/>
              </w:rPr>
            </w:pPr>
            <w:r>
              <w:rPr>
                <w:b/>
                <w:bCs/>
                <w:color w:val="auto"/>
                <w:kern w:val="0"/>
                <w:sz w:val="18"/>
                <w:szCs w:val="18"/>
              </w:rPr>
              <w:t>资金来源（万元）</w:t>
            </w:r>
          </w:p>
        </w:tc>
        <w:tc>
          <w:tcPr>
            <w:tcW w:w="1408" w:type="dxa"/>
            <w:vMerge w:val="restart"/>
            <w:vAlign w:val="center"/>
          </w:tcPr>
          <w:p>
            <w:pPr>
              <w:pStyle w:val="2"/>
              <w:ind w:firstLine="0" w:firstLineChars="0"/>
              <w:jc w:val="center"/>
              <w:rPr>
                <w:b/>
                <w:bCs/>
                <w:color w:val="auto"/>
                <w:kern w:val="0"/>
                <w:sz w:val="18"/>
                <w:szCs w:val="18"/>
              </w:rPr>
            </w:pPr>
            <w:r>
              <w:rPr>
                <w:b/>
                <w:bCs/>
                <w:color w:val="auto"/>
                <w:kern w:val="0"/>
                <w:sz w:val="18"/>
                <w:szCs w:val="18"/>
              </w:rPr>
              <w:t>2022利用量（吨）</w:t>
            </w:r>
          </w:p>
        </w:tc>
        <w:tc>
          <w:tcPr>
            <w:tcW w:w="1492" w:type="dxa"/>
            <w:vMerge w:val="restart"/>
            <w:vAlign w:val="center"/>
          </w:tcPr>
          <w:p>
            <w:pPr>
              <w:pStyle w:val="2"/>
              <w:ind w:firstLine="0" w:firstLineChars="0"/>
              <w:jc w:val="center"/>
              <w:rPr>
                <w:b/>
                <w:bCs/>
                <w:color w:val="auto"/>
                <w:kern w:val="0"/>
                <w:sz w:val="18"/>
                <w:szCs w:val="18"/>
              </w:rPr>
            </w:pPr>
            <w:r>
              <w:rPr>
                <w:b/>
                <w:bCs/>
                <w:color w:val="auto"/>
                <w:kern w:val="0"/>
                <w:sz w:val="18"/>
                <w:szCs w:val="18"/>
              </w:rPr>
              <w:t>2023目标量（吨）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528" w:type="dxa"/>
            <w:vMerge w:val="continue"/>
          </w:tcPr>
          <w:p>
            <w:pPr>
              <w:pStyle w:val="2"/>
              <w:ind w:firstLine="180"/>
              <w:rPr>
                <w:color w:val="auto"/>
                <w:kern w:val="0"/>
                <w:sz w:val="18"/>
                <w:szCs w:val="18"/>
              </w:rPr>
            </w:pPr>
          </w:p>
        </w:tc>
        <w:tc>
          <w:tcPr>
            <w:tcW w:w="2132" w:type="dxa"/>
            <w:vMerge w:val="continue"/>
          </w:tcPr>
          <w:p>
            <w:pPr>
              <w:pStyle w:val="2"/>
              <w:ind w:firstLine="180"/>
              <w:rPr>
                <w:color w:val="auto"/>
                <w:kern w:val="0"/>
                <w:sz w:val="18"/>
                <w:szCs w:val="18"/>
              </w:rPr>
            </w:pPr>
          </w:p>
        </w:tc>
        <w:tc>
          <w:tcPr>
            <w:tcW w:w="992" w:type="dxa"/>
            <w:vMerge w:val="continue"/>
          </w:tcPr>
          <w:p>
            <w:pPr>
              <w:pStyle w:val="2"/>
              <w:ind w:firstLine="180"/>
              <w:rPr>
                <w:color w:val="auto"/>
                <w:kern w:val="0"/>
                <w:sz w:val="18"/>
                <w:szCs w:val="18"/>
              </w:rPr>
            </w:pPr>
          </w:p>
        </w:tc>
        <w:tc>
          <w:tcPr>
            <w:tcW w:w="992" w:type="dxa"/>
          </w:tcPr>
          <w:p>
            <w:pPr>
              <w:pStyle w:val="2"/>
              <w:ind w:firstLine="0" w:firstLineChars="0"/>
              <w:jc w:val="center"/>
              <w:rPr>
                <w:b/>
                <w:bCs/>
                <w:color w:val="auto"/>
                <w:kern w:val="0"/>
                <w:sz w:val="18"/>
                <w:szCs w:val="18"/>
              </w:rPr>
            </w:pPr>
            <w:r>
              <w:rPr>
                <w:b/>
                <w:bCs/>
                <w:color w:val="auto"/>
                <w:kern w:val="0"/>
                <w:sz w:val="18"/>
                <w:szCs w:val="18"/>
              </w:rPr>
              <w:t>中央资金（万元）</w:t>
            </w:r>
          </w:p>
        </w:tc>
        <w:tc>
          <w:tcPr>
            <w:tcW w:w="972" w:type="dxa"/>
          </w:tcPr>
          <w:p>
            <w:pPr>
              <w:pStyle w:val="2"/>
              <w:ind w:firstLine="0" w:firstLineChars="0"/>
              <w:jc w:val="center"/>
              <w:rPr>
                <w:b/>
                <w:bCs/>
                <w:color w:val="auto"/>
                <w:kern w:val="0"/>
                <w:sz w:val="18"/>
                <w:szCs w:val="18"/>
              </w:rPr>
            </w:pPr>
            <w:r>
              <w:rPr>
                <w:b/>
                <w:bCs/>
                <w:color w:val="auto"/>
                <w:kern w:val="0"/>
                <w:sz w:val="18"/>
                <w:szCs w:val="18"/>
              </w:rPr>
              <w:t>企业自筹（万元）</w:t>
            </w:r>
          </w:p>
        </w:tc>
        <w:tc>
          <w:tcPr>
            <w:tcW w:w="1408" w:type="dxa"/>
            <w:vMerge w:val="continue"/>
          </w:tcPr>
          <w:p>
            <w:pPr>
              <w:pStyle w:val="2"/>
              <w:ind w:firstLine="180"/>
              <w:rPr>
                <w:color w:val="auto"/>
                <w:kern w:val="0"/>
                <w:sz w:val="18"/>
                <w:szCs w:val="18"/>
              </w:rPr>
            </w:pPr>
          </w:p>
        </w:tc>
        <w:tc>
          <w:tcPr>
            <w:tcW w:w="1492" w:type="dxa"/>
            <w:vMerge w:val="continue"/>
          </w:tcPr>
          <w:p>
            <w:pPr>
              <w:pStyle w:val="2"/>
              <w:ind w:firstLine="180"/>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528" w:type="dxa"/>
            <w:vAlign w:val="center"/>
          </w:tcPr>
          <w:p>
            <w:pPr>
              <w:pStyle w:val="2"/>
              <w:ind w:firstLine="180"/>
              <w:jc w:val="center"/>
              <w:rPr>
                <w:color w:val="auto"/>
                <w:sz w:val="18"/>
                <w:szCs w:val="18"/>
              </w:rPr>
            </w:pPr>
            <w:r>
              <w:rPr>
                <w:color w:val="auto"/>
                <w:sz w:val="18"/>
                <w:szCs w:val="18"/>
              </w:rPr>
              <w:t>1</w:t>
            </w:r>
          </w:p>
        </w:tc>
        <w:tc>
          <w:tcPr>
            <w:tcW w:w="2132" w:type="dxa"/>
            <w:vAlign w:val="center"/>
          </w:tcPr>
          <w:p>
            <w:pPr>
              <w:pStyle w:val="2"/>
              <w:ind w:firstLine="0" w:firstLineChars="0"/>
              <w:jc w:val="center"/>
              <w:rPr>
                <w:color w:val="auto"/>
                <w:sz w:val="18"/>
                <w:szCs w:val="18"/>
              </w:rPr>
            </w:pPr>
            <w:r>
              <w:rPr>
                <w:rFonts w:hint="eastAsia"/>
                <w:color w:val="auto"/>
                <w:kern w:val="0"/>
                <w:sz w:val="18"/>
                <w:szCs w:val="18"/>
              </w:rPr>
              <w:t>秸秆能源化利用企业</w:t>
            </w:r>
          </w:p>
        </w:tc>
        <w:tc>
          <w:tcPr>
            <w:tcW w:w="992" w:type="dxa"/>
            <w:vAlign w:val="center"/>
          </w:tcPr>
          <w:p>
            <w:pPr>
              <w:pStyle w:val="2"/>
              <w:ind w:firstLine="0" w:firstLineChars="0"/>
              <w:jc w:val="center"/>
              <w:rPr>
                <w:rFonts w:hint="default" w:eastAsia="宋体"/>
                <w:color w:val="auto"/>
                <w:kern w:val="0"/>
                <w:sz w:val="18"/>
                <w:szCs w:val="18"/>
                <w:lang w:val="en-US" w:eastAsia="zh-CN"/>
              </w:rPr>
            </w:pPr>
            <w:r>
              <w:rPr>
                <w:color w:val="auto"/>
                <w:kern w:val="0"/>
                <w:sz w:val="18"/>
                <w:szCs w:val="18"/>
              </w:rPr>
              <w:t>1</w:t>
            </w:r>
            <w:r>
              <w:rPr>
                <w:rFonts w:hint="eastAsia"/>
                <w:color w:val="auto"/>
                <w:kern w:val="0"/>
                <w:sz w:val="18"/>
                <w:szCs w:val="18"/>
                <w:lang w:val="en-US" w:eastAsia="zh-CN"/>
              </w:rPr>
              <w:t>19</w:t>
            </w:r>
          </w:p>
        </w:tc>
        <w:tc>
          <w:tcPr>
            <w:tcW w:w="992" w:type="dxa"/>
            <w:vAlign w:val="center"/>
          </w:tcPr>
          <w:p>
            <w:pPr>
              <w:pStyle w:val="2"/>
              <w:ind w:firstLine="0" w:firstLineChars="0"/>
              <w:jc w:val="center"/>
              <w:rPr>
                <w:rFonts w:hint="eastAsia" w:eastAsia="宋体"/>
                <w:color w:val="auto"/>
                <w:kern w:val="0"/>
                <w:sz w:val="18"/>
                <w:szCs w:val="18"/>
                <w:lang w:val="en-US" w:eastAsia="zh-CN"/>
              </w:rPr>
            </w:pPr>
            <w:r>
              <w:rPr>
                <w:color w:val="auto"/>
                <w:kern w:val="0"/>
                <w:sz w:val="18"/>
                <w:szCs w:val="18"/>
              </w:rPr>
              <w:t>2</w:t>
            </w:r>
            <w:r>
              <w:rPr>
                <w:rFonts w:hint="eastAsia"/>
                <w:color w:val="auto"/>
                <w:kern w:val="0"/>
                <w:sz w:val="18"/>
                <w:szCs w:val="18"/>
                <w:lang w:val="en-US" w:eastAsia="zh-CN"/>
              </w:rPr>
              <w:t>0</w:t>
            </w:r>
          </w:p>
        </w:tc>
        <w:tc>
          <w:tcPr>
            <w:tcW w:w="972" w:type="dxa"/>
            <w:vAlign w:val="center"/>
          </w:tcPr>
          <w:p>
            <w:pPr>
              <w:pStyle w:val="2"/>
              <w:ind w:firstLine="0" w:firstLineChars="0"/>
              <w:jc w:val="center"/>
              <w:rPr>
                <w:color w:val="auto"/>
                <w:kern w:val="0"/>
                <w:sz w:val="18"/>
                <w:szCs w:val="18"/>
              </w:rPr>
            </w:pPr>
            <w:r>
              <w:rPr>
                <w:color w:val="auto"/>
                <w:kern w:val="0"/>
                <w:sz w:val="18"/>
                <w:szCs w:val="18"/>
              </w:rPr>
              <w:t>99</w:t>
            </w:r>
          </w:p>
        </w:tc>
        <w:tc>
          <w:tcPr>
            <w:tcW w:w="1408" w:type="dxa"/>
            <w:vAlign w:val="center"/>
          </w:tcPr>
          <w:p>
            <w:pPr>
              <w:pStyle w:val="2"/>
              <w:ind w:firstLine="0" w:firstLineChars="0"/>
              <w:jc w:val="center"/>
              <w:rPr>
                <w:color w:val="auto"/>
                <w:kern w:val="0"/>
                <w:sz w:val="18"/>
                <w:szCs w:val="18"/>
              </w:rPr>
            </w:pPr>
            <w:r>
              <w:rPr>
                <w:color w:val="auto"/>
                <w:kern w:val="0"/>
                <w:sz w:val="18"/>
                <w:szCs w:val="18"/>
              </w:rPr>
              <w:t>267</w:t>
            </w:r>
          </w:p>
        </w:tc>
        <w:tc>
          <w:tcPr>
            <w:tcW w:w="1492" w:type="dxa"/>
            <w:vAlign w:val="center"/>
          </w:tcPr>
          <w:p>
            <w:pPr>
              <w:pStyle w:val="2"/>
              <w:ind w:firstLine="0" w:firstLineChars="0"/>
              <w:jc w:val="center"/>
              <w:rPr>
                <w:color w:val="auto"/>
                <w:kern w:val="0"/>
                <w:sz w:val="18"/>
                <w:szCs w:val="18"/>
              </w:rPr>
            </w:pPr>
            <w:r>
              <w:rPr>
                <w:color w:val="auto"/>
                <w:kern w:val="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528" w:type="dxa"/>
            <w:vAlign w:val="center"/>
          </w:tcPr>
          <w:p>
            <w:pPr>
              <w:pStyle w:val="2"/>
              <w:ind w:firstLine="180"/>
              <w:jc w:val="center"/>
              <w:rPr>
                <w:color w:val="auto"/>
                <w:sz w:val="18"/>
                <w:szCs w:val="18"/>
              </w:rPr>
            </w:pPr>
            <w:r>
              <w:rPr>
                <w:color w:val="auto"/>
                <w:sz w:val="18"/>
                <w:szCs w:val="18"/>
              </w:rPr>
              <w:t>2</w:t>
            </w:r>
          </w:p>
        </w:tc>
        <w:tc>
          <w:tcPr>
            <w:tcW w:w="2132" w:type="dxa"/>
            <w:vAlign w:val="center"/>
          </w:tcPr>
          <w:p>
            <w:pPr>
              <w:pStyle w:val="2"/>
              <w:ind w:firstLine="0" w:firstLineChars="0"/>
              <w:jc w:val="center"/>
              <w:rPr>
                <w:color w:val="auto"/>
                <w:sz w:val="18"/>
                <w:szCs w:val="18"/>
              </w:rPr>
            </w:pPr>
            <w:r>
              <w:rPr>
                <w:color w:val="auto"/>
                <w:sz w:val="18"/>
                <w:szCs w:val="18"/>
              </w:rPr>
              <w:t>高校或科研院所</w:t>
            </w:r>
          </w:p>
        </w:tc>
        <w:tc>
          <w:tcPr>
            <w:tcW w:w="992"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992"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972" w:type="dxa"/>
            <w:vAlign w:val="center"/>
          </w:tcPr>
          <w:p>
            <w:pPr>
              <w:pStyle w:val="2"/>
              <w:ind w:firstLine="0" w:firstLineChars="0"/>
              <w:jc w:val="center"/>
              <w:rPr>
                <w:color w:val="auto"/>
                <w:kern w:val="0"/>
                <w:sz w:val="18"/>
                <w:szCs w:val="18"/>
              </w:rPr>
            </w:pPr>
            <w:r>
              <w:rPr>
                <w:color w:val="auto"/>
                <w:kern w:val="0"/>
                <w:sz w:val="18"/>
                <w:szCs w:val="18"/>
              </w:rPr>
              <w:t>/</w:t>
            </w:r>
          </w:p>
        </w:tc>
        <w:tc>
          <w:tcPr>
            <w:tcW w:w="1408" w:type="dxa"/>
            <w:vAlign w:val="center"/>
          </w:tcPr>
          <w:p>
            <w:pPr>
              <w:pStyle w:val="2"/>
              <w:ind w:firstLine="0" w:firstLineChars="0"/>
              <w:jc w:val="center"/>
              <w:rPr>
                <w:color w:val="auto"/>
                <w:kern w:val="0"/>
                <w:sz w:val="18"/>
                <w:szCs w:val="18"/>
              </w:rPr>
            </w:pPr>
            <w:r>
              <w:rPr>
                <w:color w:val="auto"/>
                <w:kern w:val="0"/>
                <w:sz w:val="18"/>
                <w:szCs w:val="18"/>
              </w:rPr>
              <w:t>/</w:t>
            </w:r>
          </w:p>
        </w:tc>
        <w:tc>
          <w:tcPr>
            <w:tcW w:w="1492" w:type="dxa"/>
            <w:vAlign w:val="center"/>
          </w:tcPr>
          <w:p>
            <w:pPr>
              <w:pStyle w:val="2"/>
              <w:ind w:firstLine="0" w:firstLineChars="0"/>
              <w:jc w:val="center"/>
              <w:rPr>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2660" w:type="dxa"/>
            <w:gridSpan w:val="2"/>
            <w:vAlign w:val="center"/>
          </w:tcPr>
          <w:p>
            <w:pPr>
              <w:pStyle w:val="2"/>
              <w:ind w:firstLine="0" w:firstLineChars="0"/>
              <w:jc w:val="center"/>
              <w:rPr>
                <w:b/>
                <w:bCs/>
                <w:color w:val="auto"/>
                <w:kern w:val="0"/>
                <w:sz w:val="18"/>
                <w:szCs w:val="18"/>
              </w:rPr>
            </w:pPr>
            <w:r>
              <w:rPr>
                <w:b/>
                <w:bCs/>
                <w:color w:val="auto"/>
                <w:kern w:val="0"/>
                <w:sz w:val="18"/>
                <w:szCs w:val="18"/>
              </w:rPr>
              <w:t>合计</w:t>
            </w:r>
          </w:p>
        </w:tc>
        <w:tc>
          <w:tcPr>
            <w:tcW w:w="992" w:type="dxa"/>
            <w:vAlign w:val="center"/>
          </w:tcPr>
          <w:p>
            <w:pPr>
              <w:pStyle w:val="2"/>
              <w:ind w:firstLine="0" w:firstLineChars="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134</w:t>
            </w:r>
          </w:p>
        </w:tc>
        <w:tc>
          <w:tcPr>
            <w:tcW w:w="992" w:type="dxa"/>
            <w:vAlign w:val="center"/>
          </w:tcPr>
          <w:p>
            <w:pPr>
              <w:pStyle w:val="2"/>
              <w:ind w:firstLine="0" w:firstLineChars="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35</w:t>
            </w:r>
          </w:p>
        </w:tc>
        <w:tc>
          <w:tcPr>
            <w:tcW w:w="972" w:type="dxa"/>
            <w:vAlign w:val="center"/>
          </w:tcPr>
          <w:p>
            <w:pPr>
              <w:pStyle w:val="2"/>
              <w:ind w:firstLine="0" w:firstLineChars="0"/>
              <w:jc w:val="center"/>
              <w:rPr>
                <w:b/>
                <w:bCs/>
                <w:color w:val="auto"/>
                <w:kern w:val="0"/>
                <w:sz w:val="18"/>
                <w:szCs w:val="18"/>
              </w:rPr>
            </w:pPr>
            <w:r>
              <w:rPr>
                <w:b/>
                <w:bCs/>
                <w:color w:val="auto"/>
                <w:kern w:val="0"/>
                <w:sz w:val="18"/>
                <w:szCs w:val="18"/>
              </w:rPr>
              <w:t>99</w:t>
            </w:r>
          </w:p>
        </w:tc>
        <w:tc>
          <w:tcPr>
            <w:tcW w:w="1408" w:type="dxa"/>
            <w:vAlign w:val="center"/>
          </w:tcPr>
          <w:p>
            <w:pPr>
              <w:pStyle w:val="2"/>
              <w:ind w:firstLine="0" w:firstLineChars="0"/>
              <w:jc w:val="center"/>
              <w:rPr>
                <w:b/>
                <w:bCs/>
                <w:color w:val="auto"/>
                <w:kern w:val="0"/>
                <w:sz w:val="18"/>
                <w:szCs w:val="18"/>
              </w:rPr>
            </w:pPr>
            <w:r>
              <w:rPr>
                <w:b/>
                <w:bCs/>
                <w:color w:val="auto"/>
                <w:kern w:val="0"/>
                <w:sz w:val="18"/>
                <w:szCs w:val="18"/>
              </w:rPr>
              <w:t>267</w:t>
            </w:r>
          </w:p>
        </w:tc>
        <w:tc>
          <w:tcPr>
            <w:tcW w:w="1492" w:type="dxa"/>
            <w:vAlign w:val="center"/>
          </w:tcPr>
          <w:p>
            <w:pPr>
              <w:pStyle w:val="2"/>
              <w:ind w:firstLine="0" w:firstLineChars="0"/>
              <w:jc w:val="center"/>
              <w:rPr>
                <w:b/>
                <w:bCs/>
                <w:color w:val="auto"/>
                <w:kern w:val="0"/>
                <w:sz w:val="18"/>
                <w:szCs w:val="18"/>
              </w:rPr>
            </w:pPr>
            <w:r>
              <w:rPr>
                <w:b/>
                <w:bCs/>
                <w:color w:val="auto"/>
                <w:kern w:val="0"/>
                <w:sz w:val="18"/>
                <w:szCs w:val="18"/>
              </w:rPr>
              <w:t>2023年农作物秸秆消耗目标：10000吨</w:t>
            </w:r>
          </w:p>
        </w:tc>
      </w:tr>
    </w:tbl>
    <w:p>
      <w:pPr>
        <w:spacing w:before="120" w:after="120"/>
        <w:ind w:firstLine="643" w:firstLineChars="200"/>
        <w:rPr>
          <w:rFonts w:eastAsia="方正楷体_GBK"/>
          <w:b/>
          <w:bCs/>
          <w:color w:val="auto"/>
          <w:sz w:val="32"/>
          <w:szCs w:val="32"/>
        </w:rPr>
      </w:pPr>
      <w:bookmarkStart w:id="220" w:name="_Toc26327"/>
      <w:r>
        <w:rPr>
          <w:rFonts w:eastAsia="方正楷体_GBK"/>
          <w:b/>
          <w:bCs/>
          <w:color w:val="auto"/>
          <w:sz w:val="32"/>
          <w:szCs w:val="32"/>
        </w:rPr>
        <w:t>（四）饲料化利用</w:t>
      </w:r>
      <w:bookmarkEnd w:id="220"/>
      <w:r>
        <w:rPr>
          <w:rFonts w:eastAsia="方正楷体_GBK"/>
          <w:b/>
          <w:bCs/>
          <w:color w:val="auto"/>
          <w:sz w:val="32"/>
          <w:szCs w:val="32"/>
        </w:rPr>
        <w:t>预算</w:t>
      </w:r>
    </w:p>
    <w:p>
      <w:pPr>
        <w:ind w:firstLine="640" w:firstLineChars="200"/>
        <w:rPr>
          <w:rFonts w:eastAsia="方正仿宋_GBK"/>
          <w:color w:val="auto"/>
          <w:kern w:val="0"/>
          <w:sz w:val="32"/>
          <w:szCs w:val="32"/>
        </w:rPr>
      </w:pPr>
      <w:r>
        <w:rPr>
          <w:rFonts w:hint="eastAsia" w:eastAsia="方正仿宋_GBK"/>
          <w:color w:val="auto"/>
          <w:kern w:val="0"/>
          <w:sz w:val="32"/>
          <w:szCs w:val="32"/>
          <w:lang w:val="en-US" w:eastAsia="zh-CN"/>
        </w:rPr>
        <w:t>通过秸秆过腹还田，作为沃土模式的重要支撑。</w:t>
      </w:r>
      <w:r>
        <w:rPr>
          <w:rFonts w:eastAsia="方正仿宋_GBK"/>
          <w:color w:val="auto"/>
          <w:kern w:val="0"/>
          <w:sz w:val="32"/>
          <w:szCs w:val="32"/>
        </w:rPr>
        <w:t>遴选具有</w:t>
      </w:r>
      <w:r>
        <w:rPr>
          <w:rFonts w:hint="eastAsia" w:eastAsia="方正仿宋_GBK"/>
          <w:color w:val="auto"/>
          <w:kern w:val="0"/>
          <w:sz w:val="32"/>
          <w:szCs w:val="32"/>
          <w:lang w:val="en-US" w:eastAsia="zh-CN"/>
        </w:rPr>
        <w:t>牛存栏</w:t>
      </w:r>
      <w:r>
        <w:rPr>
          <w:rFonts w:eastAsia="方正仿宋_GBK"/>
          <w:color w:val="auto"/>
          <w:kern w:val="0"/>
          <w:sz w:val="32"/>
          <w:szCs w:val="32"/>
        </w:rPr>
        <w:t>50头以上</w:t>
      </w:r>
      <w:r>
        <w:rPr>
          <w:rFonts w:hint="eastAsia" w:eastAsia="方正仿宋_GBK"/>
          <w:color w:val="auto"/>
          <w:kern w:val="0"/>
          <w:sz w:val="32"/>
          <w:szCs w:val="32"/>
          <w:lang w:val="en-US" w:eastAsia="zh-CN"/>
        </w:rPr>
        <w:t>养殖户</w:t>
      </w:r>
      <w:r>
        <w:rPr>
          <w:rFonts w:eastAsia="方正仿宋_GBK"/>
          <w:color w:val="auto"/>
          <w:kern w:val="0"/>
          <w:sz w:val="32"/>
          <w:szCs w:val="32"/>
        </w:rPr>
        <w:t>进行饲料化利用支持。</w:t>
      </w:r>
    </w:p>
    <w:p>
      <w:pPr>
        <w:ind w:firstLine="640" w:firstLineChars="200"/>
        <w:rPr>
          <w:rFonts w:eastAsia="方正仿宋_GBK"/>
          <w:color w:val="auto"/>
          <w:kern w:val="0"/>
          <w:sz w:val="32"/>
          <w:szCs w:val="32"/>
        </w:rPr>
      </w:pPr>
      <w:r>
        <w:rPr>
          <w:rFonts w:eastAsia="方正仿宋_GBK"/>
          <w:color w:val="auto"/>
          <w:kern w:val="0"/>
          <w:sz w:val="32"/>
          <w:szCs w:val="32"/>
        </w:rPr>
        <w:t>经费预算：预算110万元，其中，中央专项资金30万元，企业自筹80万元，支持金额原则上不超过社会主体投资总额的50%；</w:t>
      </w:r>
    </w:p>
    <w:p>
      <w:pPr>
        <w:ind w:firstLine="640" w:firstLineChars="200"/>
        <w:rPr>
          <w:rFonts w:eastAsia="方正仿宋_GBK"/>
          <w:color w:val="auto"/>
          <w:kern w:val="0"/>
          <w:sz w:val="32"/>
          <w:szCs w:val="32"/>
        </w:rPr>
      </w:pPr>
      <w:r>
        <w:rPr>
          <w:rFonts w:eastAsia="方正仿宋_GBK"/>
          <w:color w:val="auto"/>
          <w:kern w:val="0"/>
          <w:sz w:val="32"/>
          <w:szCs w:val="32"/>
        </w:rPr>
        <w:t>经费用途：</w:t>
      </w:r>
      <w:r>
        <w:rPr>
          <w:rFonts w:hint="eastAsia" w:eastAsia="方正仿宋_GBK"/>
          <w:color w:val="auto"/>
          <w:kern w:val="0"/>
          <w:sz w:val="32"/>
          <w:szCs w:val="32"/>
          <w:lang w:val="en-US" w:eastAsia="zh-CN"/>
        </w:rPr>
        <w:t>饲料加工</w:t>
      </w:r>
      <w:r>
        <w:rPr>
          <w:rFonts w:eastAsia="方正仿宋_GBK"/>
          <w:color w:val="auto"/>
          <w:kern w:val="0"/>
          <w:sz w:val="32"/>
          <w:szCs w:val="32"/>
        </w:rPr>
        <w:t>设备购置</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储草</w:t>
      </w:r>
      <w:r>
        <w:rPr>
          <w:rFonts w:eastAsia="方正仿宋_GBK"/>
          <w:color w:val="auto"/>
          <w:kern w:val="0"/>
          <w:sz w:val="32"/>
          <w:szCs w:val="32"/>
        </w:rPr>
        <w:t>棚</w:t>
      </w:r>
      <w:r>
        <w:rPr>
          <w:rFonts w:hint="eastAsia" w:eastAsia="方正仿宋_GBK"/>
          <w:color w:val="auto"/>
          <w:kern w:val="0"/>
          <w:sz w:val="32"/>
          <w:szCs w:val="32"/>
          <w:lang w:val="en-US" w:eastAsia="zh-CN"/>
        </w:rPr>
        <w:t>和青（黄）储池</w:t>
      </w:r>
      <w:r>
        <w:rPr>
          <w:rFonts w:eastAsia="方正仿宋_GBK"/>
          <w:color w:val="auto"/>
          <w:kern w:val="0"/>
          <w:sz w:val="32"/>
          <w:szCs w:val="32"/>
        </w:rPr>
        <w:t>等</w:t>
      </w:r>
      <w:r>
        <w:rPr>
          <w:rFonts w:hint="eastAsia" w:eastAsia="方正仿宋_GBK"/>
          <w:color w:val="auto"/>
          <w:kern w:val="0"/>
          <w:sz w:val="32"/>
          <w:szCs w:val="32"/>
          <w:lang w:val="en-US" w:eastAsia="zh-CN"/>
        </w:rPr>
        <w:t>设施</w:t>
      </w:r>
      <w:r>
        <w:rPr>
          <w:rFonts w:eastAsia="方正仿宋_GBK"/>
          <w:color w:val="auto"/>
          <w:kern w:val="0"/>
          <w:sz w:val="32"/>
          <w:szCs w:val="32"/>
        </w:rPr>
        <w:t>设备补贴为主。</w:t>
      </w:r>
    </w:p>
    <w:p>
      <w:pPr>
        <w:pStyle w:val="2"/>
        <w:spacing w:line="540" w:lineRule="exact"/>
        <w:ind w:firstLine="640" w:firstLineChars="200"/>
        <w:rPr>
          <w:rFonts w:eastAsia="方正仿宋_GBK"/>
          <w:color w:val="auto"/>
          <w:kern w:val="0"/>
          <w:sz w:val="32"/>
          <w:szCs w:val="32"/>
        </w:rPr>
      </w:pPr>
      <w:r>
        <w:rPr>
          <w:rFonts w:eastAsia="方正仿宋_GBK"/>
          <w:color w:val="auto"/>
          <w:kern w:val="0"/>
          <w:sz w:val="32"/>
          <w:szCs w:val="32"/>
        </w:rPr>
        <w:t>实施主体：</w:t>
      </w:r>
      <w:r>
        <w:rPr>
          <w:rFonts w:hint="eastAsia" w:eastAsia="方正仿宋_GBK"/>
          <w:color w:val="auto"/>
          <w:kern w:val="0"/>
          <w:sz w:val="32"/>
          <w:szCs w:val="32"/>
        </w:rPr>
        <w:t>红塔区内</w:t>
      </w:r>
      <w:r>
        <w:rPr>
          <w:rFonts w:hint="eastAsia" w:eastAsia="方正仿宋_GBK"/>
          <w:color w:val="auto"/>
          <w:kern w:val="0"/>
          <w:sz w:val="32"/>
          <w:szCs w:val="32"/>
          <w:lang w:val="en-US" w:eastAsia="zh-CN"/>
        </w:rPr>
        <w:t>牛存栏</w:t>
      </w:r>
      <w:r>
        <w:rPr>
          <w:rFonts w:hint="eastAsia" w:eastAsia="方正仿宋_GBK"/>
          <w:color w:val="auto"/>
          <w:kern w:val="0"/>
          <w:sz w:val="32"/>
          <w:szCs w:val="32"/>
        </w:rPr>
        <w:t>50头以上养殖</w:t>
      </w:r>
      <w:r>
        <w:rPr>
          <w:rFonts w:hint="eastAsia" w:eastAsia="方正仿宋_GBK"/>
          <w:color w:val="auto"/>
          <w:kern w:val="0"/>
          <w:sz w:val="32"/>
          <w:szCs w:val="32"/>
          <w:lang w:val="en-US" w:eastAsia="zh-CN"/>
        </w:rPr>
        <w:t>户</w:t>
      </w:r>
      <w:r>
        <w:rPr>
          <w:rFonts w:hint="eastAsia" w:eastAsia="方正仿宋_GBK"/>
          <w:color w:val="auto"/>
          <w:kern w:val="0"/>
          <w:sz w:val="32"/>
          <w:szCs w:val="32"/>
        </w:rPr>
        <w:t>；</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按项目建设进度、企业资金投入及秸秆利用量给予中央财政资金支持。</w:t>
      </w:r>
    </w:p>
    <w:p>
      <w:pPr>
        <w:pStyle w:val="2"/>
        <w:spacing w:after="0"/>
        <w:ind w:firstLine="360" w:firstLineChars="200"/>
        <w:jc w:val="center"/>
        <w:rPr>
          <w:color w:val="auto"/>
          <w:sz w:val="18"/>
          <w:szCs w:val="18"/>
        </w:rPr>
      </w:pPr>
      <w:r>
        <w:rPr>
          <w:rFonts w:eastAsiaTheme="minorEastAsia"/>
          <w:color w:val="auto"/>
          <w:kern w:val="0"/>
          <w:sz w:val="18"/>
          <w:szCs w:val="18"/>
        </w:rPr>
        <w:t>表3  饲料化利用资金分配</w:t>
      </w:r>
    </w:p>
    <w:tbl>
      <w:tblPr>
        <w:tblStyle w:val="11"/>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244"/>
        <w:gridCol w:w="915"/>
        <w:gridCol w:w="1065"/>
        <w:gridCol w:w="988"/>
        <w:gridCol w:w="1080"/>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571" w:type="dxa"/>
            <w:vMerge w:val="restart"/>
            <w:vAlign w:val="center"/>
          </w:tcPr>
          <w:p>
            <w:pPr>
              <w:pStyle w:val="2"/>
              <w:ind w:firstLine="0" w:firstLineChars="0"/>
              <w:jc w:val="center"/>
              <w:rPr>
                <w:b/>
                <w:bCs/>
                <w:color w:val="auto"/>
                <w:kern w:val="0"/>
                <w:sz w:val="18"/>
                <w:szCs w:val="18"/>
              </w:rPr>
            </w:pPr>
            <w:r>
              <w:rPr>
                <w:b/>
                <w:bCs/>
                <w:color w:val="auto"/>
                <w:kern w:val="0"/>
                <w:sz w:val="18"/>
                <w:szCs w:val="18"/>
              </w:rPr>
              <w:t>序号</w:t>
            </w:r>
          </w:p>
        </w:tc>
        <w:tc>
          <w:tcPr>
            <w:tcW w:w="2244" w:type="dxa"/>
            <w:vMerge w:val="restart"/>
            <w:vAlign w:val="center"/>
          </w:tcPr>
          <w:p>
            <w:pPr>
              <w:pStyle w:val="2"/>
              <w:ind w:firstLine="0" w:firstLineChars="0"/>
              <w:jc w:val="center"/>
              <w:rPr>
                <w:b/>
                <w:bCs/>
                <w:color w:val="auto"/>
                <w:kern w:val="0"/>
                <w:sz w:val="18"/>
                <w:szCs w:val="18"/>
              </w:rPr>
            </w:pPr>
            <w:r>
              <w:rPr>
                <w:b/>
                <w:bCs/>
                <w:color w:val="auto"/>
                <w:kern w:val="0"/>
                <w:sz w:val="18"/>
                <w:szCs w:val="18"/>
              </w:rPr>
              <w:t>主体</w:t>
            </w:r>
          </w:p>
        </w:tc>
        <w:tc>
          <w:tcPr>
            <w:tcW w:w="915" w:type="dxa"/>
            <w:vMerge w:val="restart"/>
            <w:vAlign w:val="center"/>
          </w:tcPr>
          <w:p>
            <w:pPr>
              <w:pStyle w:val="2"/>
              <w:ind w:firstLine="0" w:firstLineChars="0"/>
              <w:jc w:val="center"/>
              <w:rPr>
                <w:b/>
                <w:bCs/>
                <w:color w:val="auto"/>
                <w:kern w:val="0"/>
                <w:sz w:val="18"/>
                <w:szCs w:val="18"/>
              </w:rPr>
            </w:pPr>
            <w:r>
              <w:rPr>
                <w:b/>
                <w:bCs/>
                <w:color w:val="auto"/>
                <w:kern w:val="0"/>
                <w:sz w:val="18"/>
                <w:szCs w:val="18"/>
              </w:rPr>
              <w:t>计划总投资（万元）</w:t>
            </w:r>
          </w:p>
        </w:tc>
        <w:tc>
          <w:tcPr>
            <w:tcW w:w="2053" w:type="dxa"/>
            <w:gridSpan w:val="2"/>
            <w:vAlign w:val="center"/>
          </w:tcPr>
          <w:p>
            <w:pPr>
              <w:pStyle w:val="2"/>
              <w:ind w:firstLine="0" w:firstLineChars="0"/>
              <w:jc w:val="center"/>
              <w:rPr>
                <w:b/>
                <w:bCs/>
                <w:color w:val="auto"/>
                <w:kern w:val="0"/>
                <w:sz w:val="18"/>
                <w:szCs w:val="18"/>
              </w:rPr>
            </w:pPr>
            <w:r>
              <w:rPr>
                <w:b/>
                <w:bCs/>
                <w:color w:val="auto"/>
                <w:kern w:val="0"/>
                <w:sz w:val="18"/>
                <w:szCs w:val="18"/>
              </w:rPr>
              <w:t>资金来源（万元）</w:t>
            </w:r>
          </w:p>
        </w:tc>
        <w:tc>
          <w:tcPr>
            <w:tcW w:w="1080" w:type="dxa"/>
            <w:vMerge w:val="restart"/>
            <w:vAlign w:val="center"/>
          </w:tcPr>
          <w:p>
            <w:pPr>
              <w:pStyle w:val="2"/>
              <w:ind w:firstLine="0" w:firstLineChars="0"/>
              <w:jc w:val="center"/>
              <w:rPr>
                <w:b/>
                <w:bCs/>
                <w:color w:val="auto"/>
                <w:kern w:val="0"/>
                <w:sz w:val="18"/>
                <w:szCs w:val="18"/>
              </w:rPr>
            </w:pPr>
            <w:r>
              <w:rPr>
                <w:b/>
                <w:bCs/>
                <w:color w:val="auto"/>
                <w:kern w:val="0"/>
                <w:sz w:val="18"/>
                <w:szCs w:val="18"/>
              </w:rPr>
              <w:t>2022利用量（吨）</w:t>
            </w:r>
          </w:p>
        </w:tc>
        <w:tc>
          <w:tcPr>
            <w:tcW w:w="1654" w:type="dxa"/>
            <w:vMerge w:val="restart"/>
            <w:vAlign w:val="center"/>
          </w:tcPr>
          <w:p>
            <w:pPr>
              <w:pStyle w:val="2"/>
              <w:ind w:firstLine="0" w:firstLineChars="0"/>
              <w:jc w:val="center"/>
              <w:rPr>
                <w:b/>
                <w:bCs/>
                <w:color w:val="auto"/>
                <w:kern w:val="0"/>
                <w:sz w:val="18"/>
                <w:szCs w:val="18"/>
              </w:rPr>
            </w:pPr>
            <w:r>
              <w:rPr>
                <w:b/>
                <w:bCs/>
                <w:color w:val="auto"/>
                <w:kern w:val="0"/>
                <w:sz w:val="18"/>
                <w:szCs w:val="18"/>
              </w:rPr>
              <w:t>2023目标量（吨）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571" w:type="dxa"/>
            <w:vMerge w:val="continue"/>
          </w:tcPr>
          <w:p>
            <w:pPr>
              <w:pStyle w:val="2"/>
              <w:ind w:firstLine="180"/>
              <w:rPr>
                <w:color w:val="auto"/>
                <w:kern w:val="0"/>
                <w:sz w:val="18"/>
                <w:szCs w:val="18"/>
              </w:rPr>
            </w:pPr>
          </w:p>
        </w:tc>
        <w:tc>
          <w:tcPr>
            <w:tcW w:w="2244" w:type="dxa"/>
            <w:vMerge w:val="continue"/>
          </w:tcPr>
          <w:p>
            <w:pPr>
              <w:pStyle w:val="2"/>
              <w:ind w:firstLine="180"/>
              <w:rPr>
                <w:color w:val="auto"/>
                <w:kern w:val="0"/>
                <w:sz w:val="18"/>
                <w:szCs w:val="18"/>
              </w:rPr>
            </w:pPr>
          </w:p>
        </w:tc>
        <w:tc>
          <w:tcPr>
            <w:tcW w:w="915" w:type="dxa"/>
            <w:vMerge w:val="continue"/>
          </w:tcPr>
          <w:p>
            <w:pPr>
              <w:pStyle w:val="2"/>
              <w:ind w:firstLine="0" w:firstLineChars="0"/>
              <w:jc w:val="center"/>
              <w:rPr>
                <w:b/>
                <w:bCs/>
                <w:color w:val="auto"/>
                <w:kern w:val="0"/>
                <w:sz w:val="18"/>
                <w:szCs w:val="18"/>
              </w:rPr>
            </w:pPr>
          </w:p>
        </w:tc>
        <w:tc>
          <w:tcPr>
            <w:tcW w:w="1065" w:type="dxa"/>
          </w:tcPr>
          <w:p>
            <w:pPr>
              <w:pStyle w:val="2"/>
              <w:ind w:firstLine="0" w:firstLineChars="0"/>
              <w:jc w:val="center"/>
              <w:rPr>
                <w:b/>
                <w:bCs/>
                <w:color w:val="auto"/>
                <w:kern w:val="0"/>
                <w:sz w:val="18"/>
                <w:szCs w:val="18"/>
              </w:rPr>
            </w:pPr>
            <w:r>
              <w:rPr>
                <w:b/>
                <w:bCs/>
                <w:color w:val="auto"/>
                <w:kern w:val="0"/>
                <w:sz w:val="18"/>
                <w:szCs w:val="18"/>
              </w:rPr>
              <w:t>中央资金（万元）</w:t>
            </w:r>
          </w:p>
        </w:tc>
        <w:tc>
          <w:tcPr>
            <w:tcW w:w="988" w:type="dxa"/>
          </w:tcPr>
          <w:p>
            <w:pPr>
              <w:pStyle w:val="2"/>
              <w:ind w:firstLine="0" w:firstLineChars="0"/>
              <w:rPr>
                <w:color w:val="auto"/>
                <w:kern w:val="0"/>
                <w:sz w:val="18"/>
                <w:szCs w:val="18"/>
              </w:rPr>
            </w:pPr>
            <w:r>
              <w:rPr>
                <w:b/>
                <w:bCs/>
                <w:color w:val="auto"/>
                <w:kern w:val="0"/>
                <w:sz w:val="18"/>
                <w:szCs w:val="18"/>
              </w:rPr>
              <w:t>企业自筹（万元）</w:t>
            </w:r>
          </w:p>
        </w:tc>
        <w:tc>
          <w:tcPr>
            <w:tcW w:w="1080" w:type="dxa"/>
            <w:vMerge w:val="continue"/>
          </w:tcPr>
          <w:p>
            <w:pPr>
              <w:pStyle w:val="2"/>
              <w:ind w:firstLine="180"/>
              <w:rPr>
                <w:color w:val="auto"/>
                <w:kern w:val="0"/>
                <w:sz w:val="18"/>
                <w:szCs w:val="18"/>
              </w:rPr>
            </w:pPr>
          </w:p>
        </w:tc>
        <w:tc>
          <w:tcPr>
            <w:tcW w:w="1654" w:type="dxa"/>
            <w:vMerge w:val="continue"/>
          </w:tcPr>
          <w:p>
            <w:pPr>
              <w:pStyle w:val="2"/>
              <w:ind w:firstLine="180"/>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571" w:type="dxa"/>
            <w:vAlign w:val="center"/>
          </w:tcPr>
          <w:p>
            <w:pPr>
              <w:pStyle w:val="2"/>
              <w:ind w:firstLine="180"/>
              <w:rPr>
                <w:color w:val="auto"/>
                <w:sz w:val="18"/>
                <w:szCs w:val="18"/>
              </w:rPr>
            </w:pPr>
            <w:r>
              <w:rPr>
                <w:color w:val="auto"/>
                <w:kern w:val="0"/>
                <w:sz w:val="18"/>
                <w:szCs w:val="18"/>
              </w:rPr>
              <w:t>1</w:t>
            </w:r>
          </w:p>
        </w:tc>
        <w:tc>
          <w:tcPr>
            <w:tcW w:w="2244" w:type="dxa"/>
            <w:vAlign w:val="center"/>
          </w:tcPr>
          <w:p>
            <w:pPr>
              <w:pStyle w:val="2"/>
              <w:ind w:firstLine="0" w:firstLineChars="0"/>
              <w:jc w:val="center"/>
              <w:rPr>
                <w:color w:val="auto"/>
                <w:kern w:val="0"/>
                <w:sz w:val="18"/>
                <w:szCs w:val="18"/>
              </w:rPr>
            </w:pPr>
            <w:r>
              <w:rPr>
                <w:rFonts w:hint="eastAsia"/>
                <w:color w:val="auto"/>
                <w:kern w:val="0"/>
                <w:sz w:val="18"/>
                <w:szCs w:val="18"/>
              </w:rPr>
              <w:t>牛存栏50头以上养殖户</w:t>
            </w:r>
          </w:p>
        </w:tc>
        <w:tc>
          <w:tcPr>
            <w:tcW w:w="915"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110</w:t>
            </w:r>
          </w:p>
        </w:tc>
        <w:tc>
          <w:tcPr>
            <w:tcW w:w="1065" w:type="dxa"/>
            <w:vAlign w:val="center"/>
          </w:tcPr>
          <w:p>
            <w:pPr>
              <w:pStyle w:val="2"/>
              <w:ind w:firstLine="0" w:firstLineChars="0"/>
              <w:jc w:val="center"/>
              <w:rPr>
                <w:color w:val="auto"/>
                <w:kern w:val="0"/>
                <w:sz w:val="18"/>
                <w:szCs w:val="18"/>
              </w:rPr>
            </w:pPr>
            <w:r>
              <w:rPr>
                <w:rFonts w:hint="eastAsia"/>
                <w:color w:val="auto"/>
                <w:kern w:val="0"/>
                <w:sz w:val="18"/>
                <w:szCs w:val="18"/>
                <w:lang w:val="en-US" w:eastAsia="zh-CN"/>
              </w:rPr>
              <w:t>30</w:t>
            </w:r>
          </w:p>
        </w:tc>
        <w:tc>
          <w:tcPr>
            <w:tcW w:w="988"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1080"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rPr>
              <w:t>14692.65</w:t>
            </w:r>
          </w:p>
        </w:tc>
        <w:tc>
          <w:tcPr>
            <w:tcW w:w="1654"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增加3800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2815" w:type="dxa"/>
            <w:gridSpan w:val="2"/>
            <w:vAlign w:val="center"/>
          </w:tcPr>
          <w:p>
            <w:pPr>
              <w:pStyle w:val="2"/>
              <w:ind w:firstLine="0" w:firstLineChars="0"/>
              <w:jc w:val="center"/>
              <w:rPr>
                <w:b/>
                <w:bCs/>
                <w:color w:val="auto"/>
                <w:kern w:val="0"/>
                <w:sz w:val="18"/>
                <w:szCs w:val="18"/>
              </w:rPr>
            </w:pPr>
            <w:r>
              <w:rPr>
                <w:b/>
                <w:bCs/>
                <w:color w:val="auto"/>
                <w:kern w:val="0"/>
                <w:sz w:val="18"/>
                <w:szCs w:val="18"/>
              </w:rPr>
              <w:t>合</w:t>
            </w:r>
            <w:r>
              <w:rPr>
                <w:rFonts w:hint="eastAsia"/>
                <w:b/>
                <w:bCs/>
                <w:color w:val="auto"/>
                <w:kern w:val="0"/>
                <w:sz w:val="18"/>
                <w:szCs w:val="18"/>
                <w:lang w:val="en-US" w:eastAsia="zh-CN"/>
              </w:rPr>
              <w:t xml:space="preserve">  </w:t>
            </w:r>
            <w:r>
              <w:rPr>
                <w:b/>
                <w:bCs/>
                <w:color w:val="auto"/>
                <w:kern w:val="0"/>
                <w:sz w:val="18"/>
                <w:szCs w:val="18"/>
              </w:rPr>
              <w:t>计</w:t>
            </w:r>
          </w:p>
        </w:tc>
        <w:tc>
          <w:tcPr>
            <w:tcW w:w="915" w:type="dxa"/>
            <w:vAlign w:val="center"/>
          </w:tcPr>
          <w:p>
            <w:pPr>
              <w:pStyle w:val="2"/>
              <w:ind w:firstLine="0" w:firstLineChars="0"/>
              <w:jc w:val="center"/>
              <w:rPr>
                <w:b/>
                <w:bCs/>
                <w:color w:val="auto"/>
                <w:kern w:val="0"/>
                <w:sz w:val="18"/>
                <w:szCs w:val="18"/>
              </w:rPr>
            </w:pPr>
            <w:r>
              <w:rPr>
                <w:b/>
                <w:bCs/>
                <w:color w:val="auto"/>
                <w:kern w:val="0"/>
                <w:sz w:val="18"/>
                <w:szCs w:val="18"/>
              </w:rPr>
              <w:t>110</w:t>
            </w:r>
          </w:p>
        </w:tc>
        <w:tc>
          <w:tcPr>
            <w:tcW w:w="1065" w:type="dxa"/>
            <w:vAlign w:val="center"/>
          </w:tcPr>
          <w:p>
            <w:pPr>
              <w:pStyle w:val="2"/>
              <w:ind w:firstLine="0" w:firstLineChars="0"/>
              <w:jc w:val="center"/>
              <w:rPr>
                <w:b/>
                <w:bCs/>
                <w:color w:val="auto"/>
                <w:kern w:val="0"/>
                <w:sz w:val="18"/>
                <w:szCs w:val="18"/>
              </w:rPr>
            </w:pPr>
            <w:r>
              <w:rPr>
                <w:b/>
                <w:bCs/>
                <w:color w:val="auto"/>
                <w:kern w:val="0"/>
                <w:sz w:val="18"/>
                <w:szCs w:val="18"/>
              </w:rPr>
              <w:t>30</w:t>
            </w:r>
          </w:p>
        </w:tc>
        <w:tc>
          <w:tcPr>
            <w:tcW w:w="988" w:type="dxa"/>
            <w:vAlign w:val="center"/>
          </w:tcPr>
          <w:p>
            <w:pPr>
              <w:pStyle w:val="2"/>
              <w:ind w:firstLine="0" w:firstLineChars="0"/>
              <w:jc w:val="center"/>
              <w:rPr>
                <w:b/>
                <w:bCs/>
                <w:color w:val="auto"/>
                <w:kern w:val="0"/>
                <w:sz w:val="18"/>
                <w:szCs w:val="18"/>
              </w:rPr>
            </w:pPr>
            <w:r>
              <w:rPr>
                <w:b/>
                <w:bCs/>
                <w:color w:val="auto"/>
                <w:kern w:val="0"/>
                <w:sz w:val="18"/>
                <w:szCs w:val="18"/>
              </w:rPr>
              <w:t>80</w:t>
            </w:r>
          </w:p>
        </w:tc>
        <w:tc>
          <w:tcPr>
            <w:tcW w:w="1080" w:type="dxa"/>
            <w:vAlign w:val="center"/>
          </w:tcPr>
          <w:p>
            <w:pPr>
              <w:pStyle w:val="2"/>
              <w:ind w:firstLine="0" w:firstLineChars="0"/>
              <w:jc w:val="center"/>
              <w:rPr>
                <w:b/>
                <w:bCs/>
                <w:color w:val="auto"/>
                <w:kern w:val="0"/>
                <w:sz w:val="18"/>
                <w:szCs w:val="18"/>
              </w:rPr>
            </w:pPr>
            <w:r>
              <w:rPr>
                <w:rFonts w:hint="default"/>
                <w:b/>
                <w:bCs/>
                <w:color w:val="auto"/>
                <w:kern w:val="0"/>
                <w:sz w:val="18"/>
                <w:szCs w:val="18"/>
              </w:rPr>
              <w:t>14692.65</w:t>
            </w:r>
          </w:p>
        </w:tc>
        <w:tc>
          <w:tcPr>
            <w:tcW w:w="1654" w:type="dxa"/>
            <w:vAlign w:val="center"/>
          </w:tcPr>
          <w:p>
            <w:pPr>
              <w:pStyle w:val="2"/>
              <w:ind w:firstLine="0" w:firstLineChars="0"/>
              <w:jc w:val="center"/>
              <w:rPr>
                <w:b/>
                <w:bCs/>
                <w:color w:val="auto"/>
                <w:kern w:val="0"/>
                <w:sz w:val="18"/>
                <w:szCs w:val="18"/>
              </w:rPr>
            </w:pPr>
            <w:r>
              <w:rPr>
                <w:b/>
                <w:bCs/>
                <w:color w:val="auto"/>
                <w:kern w:val="0"/>
                <w:sz w:val="18"/>
                <w:szCs w:val="18"/>
              </w:rPr>
              <w:t>2023年农作物</w:t>
            </w:r>
            <w:r>
              <w:rPr>
                <w:rFonts w:hint="eastAsia"/>
                <w:b/>
                <w:bCs/>
                <w:color w:val="auto"/>
                <w:kern w:val="0"/>
                <w:sz w:val="18"/>
                <w:szCs w:val="18"/>
                <w:lang w:val="en-US" w:eastAsia="zh-CN"/>
              </w:rPr>
              <w:t>消耗新增</w:t>
            </w:r>
            <w:r>
              <w:rPr>
                <w:b/>
                <w:bCs/>
                <w:color w:val="auto"/>
                <w:kern w:val="0"/>
                <w:sz w:val="18"/>
                <w:szCs w:val="18"/>
              </w:rPr>
              <w:t>3800吨以上</w:t>
            </w:r>
          </w:p>
        </w:tc>
      </w:tr>
    </w:tbl>
    <w:p>
      <w:pPr>
        <w:spacing w:before="120" w:after="120"/>
        <w:ind w:firstLine="643" w:firstLineChars="200"/>
        <w:rPr>
          <w:rFonts w:eastAsia="方正楷体_GBK"/>
          <w:b/>
          <w:bCs/>
          <w:color w:val="auto"/>
          <w:sz w:val="32"/>
          <w:szCs w:val="32"/>
        </w:rPr>
      </w:pPr>
      <w:bookmarkStart w:id="221" w:name="_Toc27048"/>
      <w:r>
        <w:rPr>
          <w:rFonts w:eastAsia="方正楷体_GBK"/>
          <w:b/>
          <w:bCs/>
          <w:color w:val="auto"/>
          <w:sz w:val="32"/>
          <w:szCs w:val="32"/>
        </w:rPr>
        <w:t>（五）原料化利用</w:t>
      </w:r>
      <w:bookmarkEnd w:id="221"/>
      <w:r>
        <w:rPr>
          <w:rFonts w:eastAsia="方正楷体_GBK"/>
          <w:b/>
          <w:bCs/>
          <w:color w:val="auto"/>
          <w:sz w:val="32"/>
          <w:szCs w:val="32"/>
        </w:rPr>
        <w:t>预算</w:t>
      </w:r>
    </w:p>
    <w:p>
      <w:pPr>
        <w:spacing w:line="360" w:lineRule="auto"/>
        <w:ind w:firstLine="640" w:firstLineChars="200"/>
        <w:outlineLvl w:val="2"/>
        <w:rPr>
          <w:rFonts w:eastAsia="方正仿宋_GBK"/>
          <w:color w:val="auto"/>
          <w:kern w:val="0"/>
          <w:sz w:val="32"/>
          <w:szCs w:val="32"/>
        </w:rPr>
      </w:pPr>
      <w:r>
        <w:rPr>
          <w:rFonts w:eastAsia="方正仿宋_GBK"/>
          <w:color w:val="auto"/>
          <w:kern w:val="0"/>
          <w:sz w:val="32"/>
          <w:szCs w:val="32"/>
        </w:rPr>
        <w:t>建立以企业为主体的秸秆收储运模式，提升水稻、小麦等作物秸秆的原料化利用水平，同时增加农民收入，促进秸秆综合利用市场发展，提升利用率。</w:t>
      </w:r>
    </w:p>
    <w:p>
      <w:pPr>
        <w:spacing w:line="360" w:lineRule="auto"/>
        <w:ind w:firstLine="640" w:firstLineChars="200"/>
        <w:rPr>
          <w:rFonts w:eastAsia="方正仿宋_GBK"/>
          <w:color w:val="auto"/>
          <w:kern w:val="0"/>
          <w:sz w:val="32"/>
          <w:szCs w:val="32"/>
        </w:rPr>
      </w:pPr>
      <w:r>
        <w:rPr>
          <w:rFonts w:eastAsia="方正仿宋_GBK"/>
          <w:color w:val="auto"/>
          <w:kern w:val="0"/>
          <w:sz w:val="32"/>
          <w:szCs w:val="32"/>
        </w:rPr>
        <w:t>经费预算：预算1</w:t>
      </w:r>
      <w:r>
        <w:rPr>
          <w:rFonts w:hint="eastAsia" w:eastAsia="方正仿宋_GBK"/>
          <w:color w:val="auto"/>
          <w:kern w:val="0"/>
          <w:sz w:val="32"/>
          <w:szCs w:val="32"/>
          <w:lang w:val="en-US" w:eastAsia="zh-CN"/>
        </w:rPr>
        <w:t>00</w:t>
      </w:r>
      <w:r>
        <w:rPr>
          <w:rFonts w:eastAsia="方正仿宋_GBK"/>
          <w:color w:val="auto"/>
          <w:kern w:val="0"/>
          <w:sz w:val="32"/>
          <w:szCs w:val="32"/>
        </w:rPr>
        <w:t>万元，其中，中央专项经费</w:t>
      </w:r>
      <w:r>
        <w:rPr>
          <w:rFonts w:hint="eastAsia" w:eastAsia="方正仿宋_GBK"/>
          <w:color w:val="auto"/>
          <w:kern w:val="0"/>
          <w:sz w:val="32"/>
          <w:szCs w:val="32"/>
          <w:lang w:val="en-US" w:eastAsia="zh-CN"/>
        </w:rPr>
        <w:t>20</w:t>
      </w:r>
      <w:r>
        <w:rPr>
          <w:rFonts w:eastAsia="方正仿宋_GBK"/>
          <w:color w:val="auto"/>
          <w:kern w:val="0"/>
          <w:sz w:val="32"/>
          <w:szCs w:val="32"/>
        </w:rPr>
        <w:t>万元，企业自筹80万元；</w:t>
      </w:r>
    </w:p>
    <w:p>
      <w:pPr>
        <w:spacing w:line="360" w:lineRule="auto"/>
        <w:ind w:firstLine="640" w:firstLineChars="200"/>
        <w:rPr>
          <w:rFonts w:eastAsia="方正仿宋_GBK"/>
          <w:color w:val="auto"/>
          <w:kern w:val="0"/>
          <w:sz w:val="32"/>
          <w:szCs w:val="32"/>
        </w:rPr>
      </w:pPr>
      <w:r>
        <w:rPr>
          <w:rFonts w:eastAsia="方正仿宋_GBK"/>
          <w:color w:val="auto"/>
          <w:kern w:val="0"/>
          <w:sz w:val="32"/>
          <w:szCs w:val="32"/>
        </w:rPr>
        <w:t>经费用途：以秸秆相关设备购置为主；</w:t>
      </w:r>
    </w:p>
    <w:p>
      <w:pPr>
        <w:pStyle w:val="2"/>
        <w:spacing w:line="540" w:lineRule="exact"/>
        <w:ind w:firstLine="640" w:firstLineChars="200"/>
        <w:rPr>
          <w:rFonts w:eastAsia="方正仿宋_GBK"/>
          <w:color w:val="auto"/>
          <w:kern w:val="0"/>
          <w:sz w:val="32"/>
          <w:szCs w:val="32"/>
        </w:rPr>
      </w:pPr>
      <w:r>
        <w:rPr>
          <w:rFonts w:eastAsia="方正仿宋_GBK"/>
          <w:color w:val="auto"/>
          <w:kern w:val="0"/>
          <w:sz w:val="32"/>
          <w:szCs w:val="32"/>
        </w:rPr>
        <w:t>实施主体：</w:t>
      </w:r>
      <w:r>
        <w:rPr>
          <w:rFonts w:hint="eastAsia" w:eastAsia="方正仿宋_GBK"/>
          <w:color w:val="auto"/>
          <w:kern w:val="0"/>
          <w:sz w:val="32"/>
          <w:szCs w:val="32"/>
        </w:rPr>
        <w:t>开展农作物秸秆原料化利用的市场主体；</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按项目建设进度、企业资金投入及秸秆利用量给予中央财政资金支持。</w:t>
      </w:r>
    </w:p>
    <w:p>
      <w:pPr>
        <w:pStyle w:val="2"/>
        <w:spacing w:line="540" w:lineRule="exact"/>
        <w:ind w:firstLine="360" w:firstLineChars="200"/>
        <w:jc w:val="center"/>
        <w:rPr>
          <w:color w:val="auto"/>
        </w:rPr>
      </w:pPr>
      <w:r>
        <w:rPr>
          <w:rFonts w:eastAsiaTheme="minorEastAsia"/>
          <w:color w:val="auto"/>
          <w:kern w:val="0"/>
          <w:sz w:val="18"/>
          <w:szCs w:val="18"/>
        </w:rPr>
        <w:t>表4  原料化利用资金分配</w:t>
      </w:r>
    </w:p>
    <w:tbl>
      <w:tblPr>
        <w:tblStyle w:val="11"/>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995"/>
        <w:gridCol w:w="915"/>
        <w:gridCol w:w="959"/>
        <w:gridCol w:w="941"/>
        <w:gridCol w:w="1550"/>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583"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序号</w:t>
            </w:r>
          </w:p>
        </w:tc>
        <w:tc>
          <w:tcPr>
            <w:tcW w:w="1995"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主体</w:t>
            </w:r>
          </w:p>
        </w:tc>
        <w:tc>
          <w:tcPr>
            <w:tcW w:w="915"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计划总投资（万元）</w:t>
            </w:r>
          </w:p>
        </w:tc>
        <w:tc>
          <w:tcPr>
            <w:tcW w:w="1900" w:type="dxa"/>
            <w:gridSpan w:val="2"/>
            <w:vAlign w:val="center"/>
          </w:tcPr>
          <w:p>
            <w:pPr>
              <w:pStyle w:val="2"/>
              <w:spacing w:after="0"/>
              <w:ind w:firstLine="0" w:firstLineChars="0"/>
              <w:jc w:val="center"/>
              <w:rPr>
                <w:b/>
                <w:bCs/>
                <w:color w:val="auto"/>
                <w:kern w:val="0"/>
                <w:sz w:val="18"/>
                <w:szCs w:val="18"/>
              </w:rPr>
            </w:pPr>
            <w:r>
              <w:rPr>
                <w:b/>
                <w:bCs/>
                <w:color w:val="auto"/>
                <w:kern w:val="0"/>
                <w:sz w:val="18"/>
                <w:szCs w:val="18"/>
              </w:rPr>
              <w:t>资金来源（万元）</w:t>
            </w:r>
          </w:p>
        </w:tc>
        <w:tc>
          <w:tcPr>
            <w:tcW w:w="1550"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2022利用量（吨）</w:t>
            </w:r>
          </w:p>
        </w:tc>
        <w:tc>
          <w:tcPr>
            <w:tcW w:w="1824" w:type="dxa"/>
            <w:vMerge w:val="restart"/>
            <w:vAlign w:val="center"/>
          </w:tcPr>
          <w:p>
            <w:pPr>
              <w:pStyle w:val="2"/>
              <w:spacing w:after="0"/>
              <w:ind w:firstLine="0" w:firstLineChars="0"/>
              <w:jc w:val="center"/>
              <w:rPr>
                <w:b/>
                <w:bCs/>
                <w:color w:val="auto"/>
                <w:kern w:val="0"/>
                <w:sz w:val="18"/>
                <w:szCs w:val="18"/>
              </w:rPr>
            </w:pPr>
            <w:r>
              <w:rPr>
                <w:b/>
                <w:bCs/>
                <w:color w:val="auto"/>
                <w:kern w:val="0"/>
                <w:sz w:val="18"/>
                <w:szCs w:val="18"/>
              </w:rPr>
              <w:t>2023目标量（吨）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583" w:type="dxa"/>
            <w:vMerge w:val="continue"/>
          </w:tcPr>
          <w:p>
            <w:pPr>
              <w:pStyle w:val="2"/>
              <w:ind w:firstLine="180"/>
              <w:rPr>
                <w:color w:val="auto"/>
                <w:kern w:val="0"/>
                <w:sz w:val="18"/>
                <w:szCs w:val="18"/>
              </w:rPr>
            </w:pPr>
          </w:p>
        </w:tc>
        <w:tc>
          <w:tcPr>
            <w:tcW w:w="1995" w:type="dxa"/>
            <w:vMerge w:val="continue"/>
          </w:tcPr>
          <w:p>
            <w:pPr>
              <w:pStyle w:val="2"/>
              <w:ind w:firstLine="180"/>
              <w:rPr>
                <w:color w:val="auto"/>
                <w:kern w:val="0"/>
                <w:sz w:val="18"/>
                <w:szCs w:val="18"/>
              </w:rPr>
            </w:pPr>
          </w:p>
        </w:tc>
        <w:tc>
          <w:tcPr>
            <w:tcW w:w="915" w:type="dxa"/>
            <w:vMerge w:val="continue"/>
          </w:tcPr>
          <w:p>
            <w:pPr>
              <w:pStyle w:val="2"/>
              <w:ind w:firstLine="180"/>
              <w:rPr>
                <w:color w:val="auto"/>
                <w:kern w:val="0"/>
                <w:sz w:val="18"/>
                <w:szCs w:val="18"/>
              </w:rPr>
            </w:pPr>
          </w:p>
        </w:tc>
        <w:tc>
          <w:tcPr>
            <w:tcW w:w="959" w:type="dxa"/>
          </w:tcPr>
          <w:p>
            <w:pPr>
              <w:pStyle w:val="2"/>
              <w:ind w:firstLine="0" w:firstLineChars="0"/>
              <w:jc w:val="center"/>
              <w:rPr>
                <w:b/>
                <w:bCs/>
                <w:color w:val="auto"/>
                <w:kern w:val="0"/>
                <w:sz w:val="18"/>
                <w:szCs w:val="18"/>
              </w:rPr>
            </w:pPr>
            <w:r>
              <w:rPr>
                <w:b/>
                <w:bCs/>
                <w:color w:val="auto"/>
                <w:kern w:val="0"/>
                <w:sz w:val="18"/>
                <w:szCs w:val="18"/>
              </w:rPr>
              <w:t>中央资金（万元）</w:t>
            </w:r>
          </w:p>
        </w:tc>
        <w:tc>
          <w:tcPr>
            <w:tcW w:w="941" w:type="dxa"/>
          </w:tcPr>
          <w:p>
            <w:pPr>
              <w:pStyle w:val="2"/>
              <w:ind w:firstLine="0" w:firstLineChars="0"/>
              <w:jc w:val="center"/>
              <w:rPr>
                <w:b/>
                <w:bCs/>
                <w:color w:val="auto"/>
                <w:kern w:val="0"/>
                <w:sz w:val="18"/>
                <w:szCs w:val="18"/>
              </w:rPr>
            </w:pPr>
            <w:r>
              <w:rPr>
                <w:b/>
                <w:bCs/>
                <w:color w:val="auto"/>
                <w:kern w:val="0"/>
                <w:sz w:val="18"/>
                <w:szCs w:val="18"/>
              </w:rPr>
              <w:t>企业自筹（万元）</w:t>
            </w:r>
          </w:p>
        </w:tc>
        <w:tc>
          <w:tcPr>
            <w:tcW w:w="1550" w:type="dxa"/>
            <w:vMerge w:val="continue"/>
          </w:tcPr>
          <w:p>
            <w:pPr>
              <w:pStyle w:val="2"/>
              <w:ind w:firstLine="180"/>
              <w:rPr>
                <w:color w:val="auto"/>
                <w:kern w:val="0"/>
                <w:sz w:val="18"/>
                <w:szCs w:val="18"/>
              </w:rPr>
            </w:pPr>
          </w:p>
        </w:tc>
        <w:tc>
          <w:tcPr>
            <w:tcW w:w="1824" w:type="dxa"/>
            <w:vMerge w:val="continue"/>
          </w:tcPr>
          <w:p>
            <w:pPr>
              <w:pStyle w:val="2"/>
              <w:ind w:firstLine="180"/>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583" w:type="dxa"/>
            <w:vAlign w:val="center"/>
          </w:tcPr>
          <w:p>
            <w:pPr>
              <w:pStyle w:val="2"/>
              <w:ind w:firstLine="180"/>
              <w:jc w:val="center"/>
              <w:rPr>
                <w:color w:val="auto"/>
                <w:sz w:val="18"/>
                <w:szCs w:val="18"/>
              </w:rPr>
            </w:pPr>
            <w:r>
              <w:rPr>
                <w:color w:val="auto"/>
                <w:kern w:val="0"/>
                <w:sz w:val="18"/>
                <w:szCs w:val="18"/>
              </w:rPr>
              <w:t>1</w:t>
            </w:r>
          </w:p>
        </w:tc>
        <w:tc>
          <w:tcPr>
            <w:tcW w:w="1995" w:type="dxa"/>
            <w:vAlign w:val="center"/>
          </w:tcPr>
          <w:p>
            <w:pPr>
              <w:pStyle w:val="2"/>
              <w:ind w:firstLine="0" w:firstLineChars="0"/>
              <w:jc w:val="center"/>
              <w:rPr>
                <w:color w:val="auto"/>
                <w:sz w:val="18"/>
                <w:szCs w:val="18"/>
              </w:rPr>
            </w:pPr>
            <w:r>
              <w:rPr>
                <w:rFonts w:hint="eastAsia"/>
                <w:color w:val="auto"/>
                <w:kern w:val="0"/>
                <w:sz w:val="18"/>
                <w:szCs w:val="18"/>
              </w:rPr>
              <w:t>开展农作物秸秆原料化利用的市场主体</w:t>
            </w:r>
          </w:p>
        </w:tc>
        <w:tc>
          <w:tcPr>
            <w:tcW w:w="915"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100</w:t>
            </w:r>
          </w:p>
        </w:tc>
        <w:tc>
          <w:tcPr>
            <w:tcW w:w="959" w:type="dxa"/>
            <w:vAlign w:val="center"/>
          </w:tcPr>
          <w:p>
            <w:pPr>
              <w:pStyle w:val="2"/>
              <w:ind w:firstLine="0" w:firstLineChars="0"/>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941" w:type="dxa"/>
            <w:vAlign w:val="center"/>
          </w:tcPr>
          <w:p>
            <w:pPr>
              <w:pStyle w:val="2"/>
              <w:ind w:firstLine="0" w:firstLineChars="0"/>
              <w:jc w:val="center"/>
              <w:rPr>
                <w:color w:val="auto"/>
                <w:kern w:val="0"/>
                <w:sz w:val="18"/>
                <w:szCs w:val="18"/>
              </w:rPr>
            </w:pPr>
            <w:r>
              <w:rPr>
                <w:color w:val="auto"/>
                <w:kern w:val="0"/>
                <w:sz w:val="18"/>
                <w:szCs w:val="18"/>
              </w:rPr>
              <w:t>80</w:t>
            </w:r>
          </w:p>
        </w:tc>
        <w:tc>
          <w:tcPr>
            <w:tcW w:w="1550" w:type="dxa"/>
            <w:vAlign w:val="center"/>
          </w:tcPr>
          <w:p>
            <w:pPr>
              <w:pStyle w:val="2"/>
              <w:ind w:firstLine="0" w:firstLineChars="0"/>
              <w:jc w:val="center"/>
              <w:rPr>
                <w:color w:val="auto"/>
                <w:kern w:val="0"/>
                <w:sz w:val="18"/>
                <w:szCs w:val="18"/>
              </w:rPr>
            </w:pPr>
            <w:r>
              <w:rPr>
                <w:color w:val="auto"/>
                <w:kern w:val="0"/>
                <w:sz w:val="18"/>
                <w:szCs w:val="18"/>
              </w:rPr>
              <w:t>16650</w:t>
            </w:r>
          </w:p>
        </w:tc>
        <w:tc>
          <w:tcPr>
            <w:tcW w:w="1824" w:type="dxa"/>
            <w:vAlign w:val="center"/>
          </w:tcPr>
          <w:p>
            <w:pPr>
              <w:pStyle w:val="2"/>
              <w:ind w:firstLine="0" w:firstLineChars="0"/>
              <w:jc w:val="center"/>
              <w:rPr>
                <w:color w:val="auto"/>
                <w:kern w:val="0"/>
                <w:sz w:val="18"/>
                <w:szCs w:val="18"/>
              </w:rPr>
            </w:pPr>
            <w:r>
              <w:rPr>
                <w:color w:val="auto"/>
                <w:kern w:val="0"/>
                <w:sz w:val="18"/>
                <w:szCs w:val="18"/>
              </w:rPr>
              <w:t>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2578" w:type="dxa"/>
            <w:gridSpan w:val="2"/>
            <w:vAlign w:val="center"/>
          </w:tcPr>
          <w:p>
            <w:pPr>
              <w:pStyle w:val="2"/>
              <w:ind w:firstLine="0" w:firstLineChars="0"/>
              <w:jc w:val="center"/>
              <w:rPr>
                <w:b/>
                <w:bCs/>
                <w:color w:val="auto"/>
                <w:kern w:val="0"/>
                <w:sz w:val="18"/>
                <w:szCs w:val="18"/>
              </w:rPr>
            </w:pPr>
            <w:r>
              <w:rPr>
                <w:b/>
                <w:bCs/>
                <w:color w:val="auto"/>
                <w:kern w:val="0"/>
                <w:sz w:val="18"/>
                <w:szCs w:val="18"/>
              </w:rPr>
              <w:t>合</w:t>
            </w:r>
            <w:r>
              <w:rPr>
                <w:rFonts w:hint="eastAsia"/>
                <w:b/>
                <w:bCs/>
                <w:color w:val="auto"/>
                <w:kern w:val="0"/>
                <w:sz w:val="18"/>
                <w:szCs w:val="18"/>
                <w:lang w:val="en-US" w:eastAsia="zh-CN"/>
              </w:rPr>
              <w:t xml:space="preserve">   </w:t>
            </w:r>
            <w:r>
              <w:rPr>
                <w:b/>
                <w:bCs/>
                <w:color w:val="auto"/>
                <w:kern w:val="0"/>
                <w:sz w:val="18"/>
                <w:szCs w:val="18"/>
              </w:rPr>
              <w:t>计</w:t>
            </w:r>
          </w:p>
        </w:tc>
        <w:tc>
          <w:tcPr>
            <w:tcW w:w="915" w:type="dxa"/>
            <w:vAlign w:val="center"/>
          </w:tcPr>
          <w:p>
            <w:pPr>
              <w:pStyle w:val="2"/>
              <w:ind w:firstLine="0" w:firstLineChars="0"/>
              <w:jc w:val="center"/>
              <w:rPr>
                <w:b/>
                <w:bCs/>
                <w:color w:val="auto"/>
                <w:kern w:val="0"/>
                <w:sz w:val="18"/>
                <w:szCs w:val="18"/>
              </w:rPr>
            </w:pPr>
            <w:r>
              <w:rPr>
                <w:b/>
                <w:bCs/>
                <w:color w:val="auto"/>
                <w:kern w:val="0"/>
                <w:sz w:val="18"/>
                <w:szCs w:val="18"/>
              </w:rPr>
              <w:t>1</w:t>
            </w:r>
            <w:r>
              <w:rPr>
                <w:rFonts w:hint="eastAsia"/>
                <w:b/>
                <w:bCs/>
                <w:color w:val="auto"/>
                <w:kern w:val="0"/>
                <w:sz w:val="18"/>
                <w:szCs w:val="18"/>
                <w:lang w:val="en-US" w:eastAsia="zh-CN"/>
              </w:rPr>
              <w:t>00</w:t>
            </w:r>
          </w:p>
        </w:tc>
        <w:tc>
          <w:tcPr>
            <w:tcW w:w="959" w:type="dxa"/>
            <w:vAlign w:val="center"/>
          </w:tcPr>
          <w:p>
            <w:pPr>
              <w:pStyle w:val="2"/>
              <w:ind w:firstLine="0" w:firstLineChars="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20</w:t>
            </w:r>
          </w:p>
        </w:tc>
        <w:tc>
          <w:tcPr>
            <w:tcW w:w="941" w:type="dxa"/>
            <w:vAlign w:val="center"/>
          </w:tcPr>
          <w:p>
            <w:pPr>
              <w:pStyle w:val="2"/>
              <w:ind w:firstLine="0" w:firstLineChars="0"/>
              <w:jc w:val="center"/>
              <w:rPr>
                <w:b/>
                <w:bCs/>
                <w:color w:val="auto"/>
                <w:kern w:val="0"/>
                <w:sz w:val="18"/>
                <w:szCs w:val="18"/>
              </w:rPr>
            </w:pPr>
            <w:r>
              <w:rPr>
                <w:b/>
                <w:bCs/>
                <w:color w:val="auto"/>
                <w:kern w:val="0"/>
                <w:sz w:val="18"/>
                <w:szCs w:val="18"/>
              </w:rPr>
              <w:t>80</w:t>
            </w:r>
          </w:p>
        </w:tc>
        <w:tc>
          <w:tcPr>
            <w:tcW w:w="1550" w:type="dxa"/>
            <w:vAlign w:val="center"/>
          </w:tcPr>
          <w:p>
            <w:pPr>
              <w:pStyle w:val="2"/>
              <w:ind w:firstLine="0" w:firstLineChars="0"/>
              <w:jc w:val="center"/>
              <w:rPr>
                <w:b/>
                <w:bCs/>
                <w:color w:val="auto"/>
                <w:kern w:val="0"/>
                <w:sz w:val="18"/>
                <w:szCs w:val="18"/>
              </w:rPr>
            </w:pPr>
            <w:r>
              <w:rPr>
                <w:color w:val="auto"/>
                <w:kern w:val="0"/>
                <w:sz w:val="18"/>
                <w:szCs w:val="18"/>
              </w:rPr>
              <w:t>16650</w:t>
            </w:r>
          </w:p>
        </w:tc>
        <w:tc>
          <w:tcPr>
            <w:tcW w:w="1824" w:type="dxa"/>
            <w:vAlign w:val="center"/>
          </w:tcPr>
          <w:p>
            <w:pPr>
              <w:pStyle w:val="2"/>
              <w:ind w:firstLine="0" w:firstLineChars="0"/>
              <w:jc w:val="center"/>
              <w:rPr>
                <w:b/>
                <w:bCs/>
                <w:color w:val="auto"/>
                <w:kern w:val="0"/>
                <w:sz w:val="18"/>
                <w:szCs w:val="18"/>
              </w:rPr>
            </w:pPr>
            <w:r>
              <w:rPr>
                <w:b/>
                <w:bCs/>
                <w:color w:val="auto"/>
                <w:kern w:val="0"/>
                <w:sz w:val="18"/>
                <w:szCs w:val="18"/>
              </w:rPr>
              <w:t>2023年农作物秸秆消耗目标：23000吨</w:t>
            </w:r>
          </w:p>
        </w:tc>
      </w:tr>
    </w:tbl>
    <w:p>
      <w:pPr>
        <w:spacing w:before="120" w:after="120"/>
        <w:ind w:firstLine="643" w:firstLineChars="200"/>
        <w:rPr>
          <w:rFonts w:eastAsia="方正楷体_GBK"/>
          <w:b/>
          <w:bCs/>
          <w:color w:val="auto"/>
          <w:sz w:val="32"/>
          <w:szCs w:val="32"/>
        </w:rPr>
      </w:pPr>
      <w:bookmarkStart w:id="222" w:name="_Toc26198"/>
      <w:r>
        <w:rPr>
          <w:rFonts w:eastAsia="方正楷体_GBK"/>
          <w:b/>
          <w:bCs/>
          <w:color w:val="auto"/>
          <w:sz w:val="32"/>
          <w:szCs w:val="32"/>
        </w:rPr>
        <w:t>（六）还田监测及数据测算</w:t>
      </w:r>
      <w:bookmarkEnd w:id="222"/>
    </w:p>
    <w:p>
      <w:pPr>
        <w:ind w:firstLine="640" w:firstLineChars="200"/>
        <w:rPr>
          <w:rFonts w:eastAsia="方正仿宋_GBK"/>
          <w:color w:val="auto"/>
          <w:kern w:val="0"/>
          <w:sz w:val="32"/>
          <w:szCs w:val="32"/>
        </w:rPr>
      </w:pPr>
      <w:bookmarkStart w:id="223" w:name="_Toc15521"/>
      <w:bookmarkStart w:id="224" w:name="_Toc91"/>
      <w:r>
        <w:rPr>
          <w:rFonts w:eastAsia="方正仿宋_GBK"/>
          <w:color w:val="auto"/>
          <w:kern w:val="0"/>
          <w:sz w:val="32"/>
          <w:szCs w:val="32"/>
        </w:rPr>
        <w:t>还田监测及数据测算主要包括草谷比与可收集系数测算和秸秆还田生态效益监测</w:t>
      </w:r>
      <w:bookmarkEnd w:id="223"/>
      <w:bookmarkEnd w:id="224"/>
      <w:r>
        <w:rPr>
          <w:rFonts w:eastAsia="方正仿宋_GBK"/>
          <w:color w:val="auto"/>
          <w:kern w:val="0"/>
          <w:sz w:val="32"/>
          <w:szCs w:val="32"/>
        </w:rPr>
        <w:t>两个方面。</w:t>
      </w:r>
    </w:p>
    <w:p>
      <w:pPr>
        <w:ind w:firstLine="640" w:firstLineChars="200"/>
        <w:rPr>
          <w:rFonts w:eastAsia="方正仿宋_GBK"/>
          <w:color w:val="auto"/>
          <w:kern w:val="0"/>
          <w:sz w:val="32"/>
          <w:szCs w:val="32"/>
        </w:rPr>
      </w:pPr>
      <w:r>
        <w:rPr>
          <w:rFonts w:eastAsia="方正仿宋_GBK"/>
          <w:color w:val="auto"/>
          <w:kern w:val="0"/>
          <w:sz w:val="32"/>
          <w:szCs w:val="32"/>
        </w:rPr>
        <w:t>经费预算：预算20万，还田监测和草谷比测算各</w:t>
      </w:r>
      <w:r>
        <w:rPr>
          <w:rFonts w:hint="eastAsia" w:eastAsia="方正仿宋_GBK"/>
          <w:color w:val="auto"/>
          <w:kern w:val="0"/>
          <w:sz w:val="32"/>
          <w:szCs w:val="32"/>
        </w:rPr>
        <w:t>1</w:t>
      </w:r>
      <w:r>
        <w:rPr>
          <w:rFonts w:eastAsia="方正仿宋_GBK"/>
          <w:color w:val="auto"/>
          <w:kern w:val="0"/>
          <w:sz w:val="32"/>
          <w:szCs w:val="32"/>
        </w:rPr>
        <w:t>0万，全部为中央专项资金；</w:t>
      </w:r>
    </w:p>
    <w:p>
      <w:pPr>
        <w:ind w:firstLine="640" w:firstLineChars="200"/>
        <w:rPr>
          <w:rFonts w:eastAsia="方正仿宋_GBK"/>
          <w:color w:val="auto"/>
          <w:kern w:val="0"/>
          <w:sz w:val="32"/>
          <w:szCs w:val="32"/>
        </w:rPr>
      </w:pPr>
      <w:r>
        <w:rPr>
          <w:rFonts w:eastAsia="方正仿宋_GBK"/>
          <w:color w:val="auto"/>
          <w:kern w:val="0"/>
          <w:sz w:val="32"/>
          <w:szCs w:val="32"/>
        </w:rPr>
        <w:t>经费用途：高仓街道</w:t>
      </w:r>
      <w:r>
        <w:rPr>
          <w:rFonts w:hint="eastAsia" w:eastAsia="方正仿宋_GBK"/>
          <w:color w:val="auto"/>
          <w:kern w:val="0"/>
          <w:sz w:val="32"/>
          <w:szCs w:val="32"/>
          <w:lang w:eastAsia="zh-CN"/>
        </w:rPr>
        <w:t>、</w:t>
      </w:r>
      <w:r>
        <w:rPr>
          <w:rFonts w:hint="eastAsia" w:eastAsia="方正仿宋_GBK"/>
          <w:color w:val="auto"/>
          <w:kern w:val="0"/>
          <w:sz w:val="32"/>
          <w:szCs w:val="32"/>
          <w:lang w:val="en-US" w:eastAsia="zh-CN"/>
        </w:rPr>
        <w:t>北城街道区域草谷比及可收集系数测算，高仓街道开展</w:t>
      </w:r>
      <w:r>
        <w:rPr>
          <w:rFonts w:eastAsia="方正仿宋_GBK"/>
          <w:color w:val="auto"/>
          <w:kern w:val="0"/>
          <w:sz w:val="32"/>
          <w:szCs w:val="32"/>
        </w:rPr>
        <w:t>秸秆还田后的土壤理化性质进行检测，详见附件</w:t>
      </w:r>
      <w:r>
        <w:rPr>
          <w:rFonts w:hint="eastAsia" w:eastAsia="方正仿宋_GBK"/>
          <w:color w:val="auto"/>
          <w:kern w:val="0"/>
          <w:sz w:val="32"/>
          <w:szCs w:val="32"/>
        </w:rPr>
        <w:t>4</w:t>
      </w:r>
      <w:r>
        <w:rPr>
          <w:rFonts w:eastAsia="方正仿宋_GBK"/>
          <w:color w:val="auto"/>
          <w:kern w:val="0"/>
          <w:sz w:val="32"/>
          <w:szCs w:val="32"/>
        </w:rPr>
        <w:t>；</w:t>
      </w:r>
    </w:p>
    <w:p>
      <w:pPr>
        <w:ind w:firstLine="640" w:firstLineChars="200"/>
        <w:rPr>
          <w:rFonts w:eastAsia="方正仿宋_GBK"/>
          <w:color w:val="auto"/>
          <w:kern w:val="0"/>
          <w:sz w:val="32"/>
          <w:szCs w:val="32"/>
        </w:rPr>
      </w:pPr>
      <w:r>
        <w:rPr>
          <w:rFonts w:eastAsia="方正仿宋_GBK"/>
          <w:color w:val="auto"/>
          <w:kern w:val="0"/>
          <w:sz w:val="32"/>
          <w:szCs w:val="32"/>
        </w:rPr>
        <w:t>实施主体：高校或科研院所；</w:t>
      </w:r>
    </w:p>
    <w:p>
      <w:pPr>
        <w:pStyle w:val="2"/>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按研发进度、科技成果转化效果给予中央财政资金支持。</w:t>
      </w:r>
    </w:p>
    <w:p>
      <w:pPr>
        <w:spacing w:before="120" w:after="120"/>
        <w:ind w:firstLine="643" w:firstLineChars="200"/>
        <w:rPr>
          <w:rFonts w:eastAsia="方正楷体_GBK"/>
          <w:b/>
          <w:bCs/>
          <w:color w:val="auto"/>
          <w:sz w:val="32"/>
          <w:szCs w:val="32"/>
        </w:rPr>
      </w:pPr>
      <w:bookmarkStart w:id="225" w:name="_Toc4063"/>
      <w:r>
        <w:rPr>
          <w:rFonts w:eastAsia="方正楷体_GBK"/>
          <w:b/>
          <w:bCs/>
          <w:color w:val="auto"/>
          <w:sz w:val="32"/>
          <w:szCs w:val="32"/>
        </w:rPr>
        <w:t>（七）技术培训及宣传服务</w:t>
      </w:r>
      <w:bookmarkEnd w:id="225"/>
    </w:p>
    <w:p>
      <w:pPr>
        <w:pStyle w:val="5"/>
        <w:ind w:firstLine="640"/>
        <w:rPr>
          <w:rFonts w:eastAsia="方正仿宋_GBK"/>
          <w:color w:val="auto"/>
          <w:kern w:val="0"/>
          <w:sz w:val="32"/>
          <w:szCs w:val="32"/>
        </w:rPr>
      </w:pPr>
      <w:r>
        <w:rPr>
          <w:rFonts w:eastAsia="方正仿宋_GBK"/>
          <w:color w:val="auto"/>
          <w:kern w:val="0"/>
          <w:sz w:val="32"/>
          <w:szCs w:val="32"/>
        </w:rPr>
        <w:t>开展技术指导培训与宣传，协助完成项目结题验收报告的编撰及验收等工作。</w:t>
      </w:r>
    </w:p>
    <w:p>
      <w:pPr>
        <w:ind w:firstLine="640" w:firstLineChars="200"/>
        <w:rPr>
          <w:rFonts w:eastAsia="方正仿宋_GBK"/>
          <w:color w:val="auto"/>
          <w:kern w:val="0"/>
          <w:sz w:val="32"/>
          <w:szCs w:val="32"/>
        </w:rPr>
      </w:pPr>
      <w:r>
        <w:rPr>
          <w:rFonts w:eastAsia="方正仿宋_GBK"/>
          <w:color w:val="auto"/>
          <w:kern w:val="0"/>
          <w:sz w:val="32"/>
          <w:szCs w:val="32"/>
        </w:rPr>
        <w:t>经费预算：预算2</w:t>
      </w:r>
      <w:r>
        <w:rPr>
          <w:rFonts w:hint="eastAsia" w:eastAsia="方正仿宋_GBK"/>
          <w:color w:val="auto"/>
          <w:kern w:val="0"/>
          <w:sz w:val="32"/>
          <w:szCs w:val="32"/>
          <w:lang w:val="en-US" w:eastAsia="zh-CN"/>
        </w:rPr>
        <w:t>8</w:t>
      </w:r>
      <w:r>
        <w:rPr>
          <w:rFonts w:eastAsia="方正仿宋_GBK"/>
          <w:color w:val="auto"/>
          <w:kern w:val="0"/>
          <w:sz w:val="32"/>
          <w:szCs w:val="32"/>
        </w:rPr>
        <w:t>.</w:t>
      </w:r>
      <w:r>
        <w:rPr>
          <w:rFonts w:hint="eastAsia" w:eastAsia="方正仿宋_GBK"/>
          <w:color w:val="auto"/>
          <w:kern w:val="0"/>
          <w:sz w:val="32"/>
          <w:szCs w:val="32"/>
          <w:lang w:val="en-US" w:eastAsia="zh-CN"/>
        </w:rPr>
        <w:t>95</w:t>
      </w:r>
      <w:r>
        <w:rPr>
          <w:rFonts w:eastAsia="方正仿宋_GBK"/>
          <w:color w:val="auto"/>
          <w:kern w:val="0"/>
          <w:sz w:val="32"/>
          <w:szCs w:val="32"/>
        </w:rPr>
        <w:t>万，全部为中央专项资金；</w:t>
      </w:r>
    </w:p>
    <w:p>
      <w:pPr>
        <w:ind w:firstLine="640" w:firstLineChars="200"/>
        <w:rPr>
          <w:rFonts w:hint="eastAsia" w:eastAsia="方正仿宋_GBK"/>
          <w:color w:val="auto"/>
          <w:kern w:val="0"/>
          <w:sz w:val="32"/>
          <w:szCs w:val="32"/>
          <w:lang w:eastAsia="zh-CN"/>
        </w:rPr>
      </w:pPr>
      <w:r>
        <w:rPr>
          <w:rFonts w:eastAsia="方正仿宋_GBK"/>
          <w:color w:val="auto"/>
          <w:kern w:val="0"/>
          <w:sz w:val="32"/>
          <w:szCs w:val="32"/>
        </w:rPr>
        <w:t>经费用途：实施方案编制、技术指导培训与宣传、项目验收、审计等</w:t>
      </w:r>
      <w:r>
        <w:rPr>
          <w:rFonts w:hint="eastAsia" w:eastAsia="方正仿宋_GBK"/>
          <w:color w:val="auto"/>
          <w:kern w:val="0"/>
          <w:sz w:val="32"/>
          <w:szCs w:val="32"/>
          <w:lang w:eastAsia="zh-CN"/>
        </w:rPr>
        <w:t>；</w:t>
      </w:r>
    </w:p>
    <w:p>
      <w:pPr>
        <w:ind w:firstLine="640" w:firstLineChars="200"/>
        <w:rPr>
          <w:rFonts w:eastAsia="方正仿宋_GBK"/>
          <w:color w:val="auto"/>
          <w:kern w:val="0"/>
          <w:sz w:val="32"/>
          <w:szCs w:val="32"/>
        </w:rPr>
      </w:pPr>
      <w:r>
        <w:rPr>
          <w:rFonts w:eastAsia="方正仿宋_GBK"/>
          <w:color w:val="auto"/>
          <w:kern w:val="0"/>
          <w:sz w:val="32"/>
          <w:szCs w:val="32"/>
        </w:rPr>
        <w:t>实施主体：示范企业、高校或科研院所；</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经费计划：</w:t>
      </w:r>
      <w:r>
        <w:rPr>
          <w:rFonts w:hint="eastAsia" w:eastAsia="方正仿宋_GBK"/>
          <w:color w:val="auto"/>
          <w:kern w:val="0"/>
          <w:sz w:val="32"/>
          <w:szCs w:val="32"/>
          <w:lang w:val="en-US" w:eastAsia="zh-CN"/>
        </w:rPr>
        <w:t>先建后补，</w:t>
      </w:r>
      <w:r>
        <w:rPr>
          <w:rFonts w:eastAsia="方正仿宋_GBK"/>
          <w:color w:val="auto"/>
          <w:kern w:val="0"/>
          <w:sz w:val="32"/>
          <w:szCs w:val="32"/>
        </w:rPr>
        <w:t>按项目建设进度给予中央财政资金支持。</w:t>
      </w:r>
    </w:p>
    <w:p>
      <w:pPr>
        <w:pStyle w:val="2"/>
        <w:spacing w:after="0"/>
        <w:ind w:firstLine="360" w:firstLineChars="200"/>
        <w:jc w:val="center"/>
        <w:rPr>
          <w:rFonts w:eastAsiaTheme="minorEastAsia"/>
          <w:color w:val="auto"/>
          <w:kern w:val="0"/>
          <w:sz w:val="18"/>
          <w:szCs w:val="18"/>
        </w:rPr>
      </w:pPr>
      <w:r>
        <w:rPr>
          <w:rFonts w:eastAsiaTheme="minorEastAsia"/>
          <w:color w:val="auto"/>
          <w:kern w:val="0"/>
          <w:sz w:val="18"/>
          <w:szCs w:val="18"/>
        </w:rPr>
        <w:t>表5  宣传培训资金分配</w:t>
      </w:r>
    </w:p>
    <w:tbl>
      <w:tblPr>
        <w:tblStyle w:val="10"/>
        <w:tblW w:w="896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60"/>
        <w:gridCol w:w="1703"/>
        <w:gridCol w:w="3417"/>
        <w:gridCol w:w="1317"/>
        <w:gridCol w:w="15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b/>
                <w:bCs/>
                <w:color w:val="auto"/>
                <w:sz w:val="18"/>
                <w:szCs w:val="18"/>
              </w:rPr>
            </w:pPr>
            <w:r>
              <w:rPr>
                <w:b/>
                <w:bCs/>
                <w:color w:val="auto"/>
                <w:sz w:val="18"/>
                <w:szCs w:val="18"/>
              </w:rPr>
              <w:t>序号</w:t>
            </w:r>
          </w:p>
        </w:tc>
        <w:tc>
          <w:tcPr>
            <w:tcW w:w="1703" w:type="dxa"/>
            <w:vAlign w:val="center"/>
          </w:tcPr>
          <w:p>
            <w:pPr>
              <w:pStyle w:val="5"/>
              <w:ind w:firstLine="0" w:firstLineChars="0"/>
              <w:jc w:val="center"/>
              <w:rPr>
                <w:b/>
                <w:bCs/>
                <w:color w:val="auto"/>
                <w:sz w:val="18"/>
                <w:szCs w:val="18"/>
              </w:rPr>
            </w:pPr>
            <w:r>
              <w:rPr>
                <w:b/>
                <w:bCs/>
                <w:color w:val="auto"/>
                <w:sz w:val="18"/>
                <w:szCs w:val="18"/>
              </w:rPr>
              <w:t>建设项目</w:t>
            </w:r>
          </w:p>
        </w:tc>
        <w:tc>
          <w:tcPr>
            <w:tcW w:w="3417" w:type="dxa"/>
            <w:vAlign w:val="center"/>
          </w:tcPr>
          <w:p>
            <w:pPr>
              <w:pStyle w:val="5"/>
              <w:ind w:firstLine="0" w:firstLineChars="0"/>
              <w:jc w:val="center"/>
              <w:rPr>
                <w:b/>
                <w:bCs/>
                <w:color w:val="auto"/>
                <w:sz w:val="18"/>
                <w:szCs w:val="18"/>
              </w:rPr>
            </w:pPr>
            <w:r>
              <w:rPr>
                <w:b/>
                <w:bCs/>
                <w:color w:val="auto"/>
                <w:sz w:val="18"/>
                <w:szCs w:val="18"/>
              </w:rPr>
              <w:t>建设内容</w:t>
            </w:r>
          </w:p>
        </w:tc>
        <w:tc>
          <w:tcPr>
            <w:tcW w:w="1317" w:type="dxa"/>
            <w:vAlign w:val="center"/>
          </w:tcPr>
          <w:p>
            <w:pPr>
              <w:pStyle w:val="5"/>
              <w:ind w:firstLine="0" w:firstLineChars="0"/>
              <w:jc w:val="center"/>
              <w:rPr>
                <w:b/>
                <w:bCs/>
                <w:color w:val="auto"/>
                <w:sz w:val="18"/>
                <w:szCs w:val="18"/>
              </w:rPr>
            </w:pPr>
            <w:r>
              <w:rPr>
                <w:b/>
                <w:bCs/>
                <w:color w:val="auto"/>
                <w:sz w:val="18"/>
                <w:szCs w:val="18"/>
              </w:rPr>
              <w:t>实施主体</w:t>
            </w:r>
          </w:p>
        </w:tc>
        <w:tc>
          <w:tcPr>
            <w:tcW w:w="1565" w:type="dxa"/>
            <w:vAlign w:val="center"/>
          </w:tcPr>
          <w:p>
            <w:pPr>
              <w:pStyle w:val="5"/>
              <w:ind w:firstLine="0" w:firstLineChars="0"/>
              <w:jc w:val="center"/>
              <w:rPr>
                <w:b/>
                <w:bCs/>
                <w:color w:val="auto"/>
                <w:sz w:val="18"/>
                <w:szCs w:val="18"/>
              </w:rPr>
            </w:pPr>
            <w:r>
              <w:rPr>
                <w:b/>
                <w:bCs/>
                <w:color w:val="auto"/>
                <w:sz w:val="18"/>
                <w:szCs w:val="18"/>
              </w:rPr>
              <w:t>计划支出（万元）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color w:val="auto"/>
                <w:sz w:val="18"/>
                <w:szCs w:val="18"/>
              </w:rPr>
            </w:pPr>
            <w:r>
              <w:rPr>
                <w:color w:val="auto"/>
                <w:sz w:val="18"/>
                <w:szCs w:val="18"/>
              </w:rPr>
              <w:t>1</w:t>
            </w:r>
          </w:p>
        </w:tc>
        <w:tc>
          <w:tcPr>
            <w:tcW w:w="1703" w:type="dxa"/>
            <w:vAlign w:val="center"/>
          </w:tcPr>
          <w:p>
            <w:pPr>
              <w:spacing w:line="560" w:lineRule="exact"/>
              <w:jc w:val="center"/>
              <w:rPr>
                <w:color w:val="auto"/>
                <w:sz w:val="18"/>
                <w:szCs w:val="18"/>
              </w:rPr>
            </w:pPr>
            <w:r>
              <w:rPr>
                <w:color w:val="auto"/>
                <w:sz w:val="18"/>
                <w:szCs w:val="18"/>
              </w:rPr>
              <w:t>实施方案编制</w:t>
            </w:r>
          </w:p>
        </w:tc>
        <w:tc>
          <w:tcPr>
            <w:tcW w:w="3417" w:type="dxa"/>
            <w:vAlign w:val="center"/>
          </w:tcPr>
          <w:p>
            <w:pPr>
              <w:spacing w:line="560" w:lineRule="exact"/>
              <w:jc w:val="center"/>
              <w:rPr>
                <w:color w:val="auto"/>
                <w:sz w:val="18"/>
                <w:szCs w:val="18"/>
              </w:rPr>
            </w:pPr>
            <w:r>
              <w:rPr>
                <w:color w:val="auto"/>
                <w:sz w:val="18"/>
                <w:szCs w:val="18"/>
              </w:rPr>
              <w:t>秸秆综合利用实施方案编制</w:t>
            </w:r>
          </w:p>
        </w:tc>
        <w:tc>
          <w:tcPr>
            <w:tcW w:w="1317" w:type="dxa"/>
            <w:vAlign w:val="center"/>
          </w:tcPr>
          <w:p>
            <w:pPr>
              <w:spacing w:line="560" w:lineRule="exact"/>
              <w:jc w:val="center"/>
              <w:rPr>
                <w:color w:val="auto"/>
                <w:sz w:val="18"/>
                <w:szCs w:val="18"/>
              </w:rPr>
            </w:pPr>
            <w:r>
              <w:rPr>
                <w:color w:val="auto"/>
                <w:sz w:val="18"/>
                <w:szCs w:val="18"/>
              </w:rPr>
              <w:t>委托第三方</w:t>
            </w:r>
          </w:p>
        </w:tc>
        <w:tc>
          <w:tcPr>
            <w:tcW w:w="1565" w:type="dxa"/>
            <w:vAlign w:val="center"/>
          </w:tcPr>
          <w:p>
            <w:pPr>
              <w:spacing w:line="560" w:lineRule="exact"/>
              <w:jc w:val="center"/>
              <w:rPr>
                <w:color w:val="auto"/>
                <w:sz w:val="18"/>
                <w:szCs w:val="18"/>
              </w:rPr>
            </w:pPr>
            <w:r>
              <w:rPr>
                <w:color w:val="auto"/>
                <w:sz w:val="18"/>
                <w:szCs w:val="18"/>
              </w:rPr>
              <w:t>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color w:val="auto"/>
                <w:sz w:val="18"/>
                <w:szCs w:val="18"/>
              </w:rPr>
            </w:pPr>
            <w:r>
              <w:rPr>
                <w:color w:val="auto"/>
                <w:sz w:val="18"/>
                <w:szCs w:val="18"/>
              </w:rPr>
              <w:t>2</w:t>
            </w:r>
          </w:p>
        </w:tc>
        <w:tc>
          <w:tcPr>
            <w:tcW w:w="1703" w:type="dxa"/>
            <w:vAlign w:val="center"/>
          </w:tcPr>
          <w:p>
            <w:pPr>
              <w:spacing w:line="560" w:lineRule="exact"/>
              <w:jc w:val="center"/>
              <w:rPr>
                <w:color w:val="auto"/>
                <w:sz w:val="18"/>
                <w:szCs w:val="18"/>
              </w:rPr>
            </w:pPr>
            <w:r>
              <w:rPr>
                <w:color w:val="auto"/>
                <w:sz w:val="18"/>
                <w:szCs w:val="18"/>
              </w:rPr>
              <w:t>技术宣传培训</w:t>
            </w:r>
          </w:p>
        </w:tc>
        <w:tc>
          <w:tcPr>
            <w:tcW w:w="3417" w:type="dxa"/>
            <w:vAlign w:val="center"/>
          </w:tcPr>
          <w:p>
            <w:pPr>
              <w:spacing w:line="560" w:lineRule="exact"/>
              <w:jc w:val="center"/>
              <w:rPr>
                <w:color w:val="auto"/>
                <w:sz w:val="18"/>
                <w:szCs w:val="18"/>
              </w:rPr>
            </w:pPr>
            <w:r>
              <w:rPr>
                <w:color w:val="auto"/>
                <w:sz w:val="18"/>
                <w:szCs w:val="18"/>
              </w:rPr>
              <w:t>举办相关技术培训200人次以上两期</w:t>
            </w:r>
          </w:p>
        </w:tc>
        <w:tc>
          <w:tcPr>
            <w:tcW w:w="1317" w:type="dxa"/>
            <w:vAlign w:val="center"/>
          </w:tcPr>
          <w:p>
            <w:pPr>
              <w:spacing w:line="560" w:lineRule="exact"/>
              <w:jc w:val="center"/>
              <w:rPr>
                <w:color w:val="auto"/>
                <w:sz w:val="18"/>
                <w:szCs w:val="18"/>
              </w:rPr>
            </w:pPr>
            <w:r>
              <w:rPr>
                <w:color w:val="auto"/>
                <w:sz w:val="18"/>
                <w:szCs w:val="18"/>
              </w:rPr>
              <w:t>委托第三方</w:t>
            </w:r>
          </w:p>
        </w:tc>
        <w:tc>
          <w:tcPr>
            <w:tcW w:w="1565" w:type="dxa"/>
            <w:vAlign w:val="center"/>
          </w:tcPr>
          <w:p>
            <w:pPr>
              <w:spacing w:line="560" w:lineRule="exact"/>
              <w:jc w:val="center"/>
              <w:rPr>
                <w:color w:val="auto"/>
                <w:sz w:val="18"/>
                <w:szCs w:val="18"/>
              </w:rPr>
            </w:pPr>
            <w:r>
              <w:rPr>
                <w:color w:val="auto"/>
                <w:sz w:val="18"/>
                <w:szCs w:val="18"/>
              </w:rPr>
              <w:t>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color w:val="auto"/>
                <w:sz w:val="18"/>
                <w:szCs w:val="18"/>
              </w:rPr>
            </w:pPr>
            <w:r>
              <w:rPr>
                <w:color w:val="auto"/>
                <w:sz w:val="18"/>
                <w:szCs w:val="18"/>
              </w:rPr>
              <w:t>3</w:t>
            </w:r>
          </w:p>
        </w:tc>
        <w:tc>
          <w:tcPr>
            <w:tcW w:w="1703" w:type="dxa"/>
            <w:vAlign w:val="center"/>
          </w:tcPr>
          <w:p>
            <w:pPr>
              <w:spacing w:line="560" w:lineRule="exact"/>
              <w:jc w:val="center"/>
              <w:rPr>
                <w:color w:val="auto"/>
                <w:sz w:val="18"/>
                <w:szCs w:val="18"/>
              </w:rPr>
            </w:pPr>
            <w:r>
              <w:rPr>
                <w:color w:val="auto"/>
                <w:sz w:val="18"/>
                <w:szCs w:val="18"/>
              </w:rPr>
              <w:t>宣传材料</w:t>
            </w:r>
          </w:p>
        </w:tc>
        <w:tc>
          <w:tcPr>
            <w:tcW w:w="3417" w:type="dxa"/>
            <w:vAlign w:val="center"/>
          </w:tcPr>
          <w:p>
            <w:pPr>
              <w:spacing w:line="560" w:lineRule="exact"/>
              <w:jc w:val="center"/>
              <w:rPr>
                <w:color w:val="auto"/>
                <w:sz w:val="18"/>
                <w:szCs w:val="18"/>
              </w:rPr>
            </w:pPr>
            <w:r>
              <w:rPr>
                <w:color w:val="auto"/>
                <w:sz w:val="18"/>
                <w:szCs w:val="18"/>
              </w:rPr>
              <w:t>相关宣传材料、标识牌制作等</w:t>
            </w:r>
          </w:p>
        </w:tc>
        <w:tc>
          <w:tcPr>
            <w:tcW w:w="1317" w:type="dxa"/>
            <w:vAlign w:val="center"/>
          </w:tcPr>
          <w:p>
            <w:pPr>
              <w:spacing w:line="560" w:lineRule="exact"/>
              <w:jc w:val="center"/>
              <w:rPr>
                <w:color w:val="auto"/>
                <w:sz w:val="18"/>
                <w:szCs w:val="18"/>
              </w:rPr>
            </w:pPr>
            <w:r>
              <w:rPr>
                <w:color w:val="auto"/>
                <w:sz w:val="18"/>
                <w:szCs w:val="18"/>
              </w:rPr>
              <w:t>委托第三方</w:t>
            </w:r>
          </w:p>
        </w:tc>
        <w:tc>
          <w:tcPr>
            <w:tcW w:w="1565" w:type="dxa"/>
            <w:vAlign w:val="center"/>
          </w:tcPr>
          <w:p>
            <w:pPr>
              <w:spacing w:line="560" w:lineRule="exact"/>
              <w:jc w:val="center"/>
              <w:rPr>
                <w:color w:val="auto"/>
                <w:sz w:val="18"/>
                <w:szCs w:val="18"/>
              </w:rPr>
            </w:pPr>
            <w:r>
              <w:rPr>
                <w:color w:val="auto"/>
                <w:sz w:val="18"/>
                <w:szCs w:val="18"/>
              </w:rPr>
              <w:t>8.03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color w:val="auto"/>
                <w:sz w:val="18"/>
                <w:szCs w:val="18"/>
              </w:rPr>
            </w:pPr>
            <w:r>
              <w:rPr>
                <w:color w:val="auto"/>
                <w:sz w:val="18"/>
                <w:szCs w:val="18"/>
              </w:rPr>
              <w:t>4</w:t>
            </w:r>
          </w:p>
        </w:tc>
        <w:tc>
          <w:tcPr>
            <w:tcW w:w="1703" w:type="dxa"/>
            <w:vAlign w:val="center"/>
          </w:tcPr>
          <w:p>
            <w:pPr>
              <w:spacing w:line="560" w:lineRule="exact"/>
              <w:jc w:val="center"/>
              <w:rPr>
                <w:color w:val="auto"/>
                <w:sz w:val="18"/>
                <w:szCs w:val="18"/>
              </w:rPr>
            </w:pPr>
            <w:r>
              <w:rPr>
                <w:color w:val="auto"/>
                <w:sz w:val="18"/>
                <w:szCs w:val="18"/>
              </w:rPr>
              <w:t>宣传报道</w:t>
            </w:r>
          </w:p>
        </w:tc>
        <w:tc>
          <w:tcPr>
            <w:tcW w:w="3417" w:type="dxa"/>
            <w:vAlign w:val="center"/>
          </w:tcPr>
          <w:p>
            <w:pPr>
              <w:spacing w:line="560" w:lineRule="exact"/>
              <w:jc w:val="center"/>
              <w:rPr>
                <w:color w:val="auto"/>
                <w:sz w:val="18"/>
                <w:szCs w:val="18"/>
              </w:rPr>
            </w:pPr>
            <w:r>
              <w:rPr>
                <w:color w:val="auto"/>
                <w:sz w:val="18"/>
                <w:szCs w:val="18"/>
              </w:rPr>
              <w:t>媒体中心报道</w:t>
            </w:r>
          </w:p>
        </w:tc>
        <w:tc>
          <w:tcPr>
            <w:tcW w:w="1317" w:type="dxa"/>
            <w:vAlign w:val="center"/>
          </w:tcPr>
          <w:p>
            <w:pPr>
              <w:spacing w:line="560" w:lineRule="exact"/>
              <w:jc w:val="center"/>
              <w:rPr>
                <w:color w:val="auto"/>
                <w:sz w:val="18"/>
                <w:szCs w:val="18"/>
              </w:rPr>
            </w:pPr>
            <w:r>
              <w:rPr>
                <w:color w:val="auto"/>
                <w:sz w:val="18"/>
                <w:szCs w:val="18"/>
              </w:rPr>
              <w:t>委托第三方</w:t>
            </w:r>
          </w:p>
        </w:tc>
        <w:tc>
          <w:tcPr>
            <w:tcW w:w="1565" w:type="dxa"/>
            <w:vAlign w:val="center"/>
          </w:tcPr>
          <w:p>
            <w:pPr>
              <w:spacing w:line="560" w:lineRule="exact"/>
              <w:jc w:val="center"/>
              <w:rPr>
                <w:color w:val="auto"/>
                <w:sz w:val="18"/>
                <w:szCs w:val="18"/>
              </w:rPr>
            </w:pPr>
            <w:r>
              <w:rPr>
                <w:color w:val="auto"/>
                <w:sz w:val="18"/>
                <w:szCs w:val="18"/>
              </w:rPr>
              <w:t>1.24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960" w:type="dxa"/>
            <w:vAlign w:val="center"/>
          </w:tcPr>
          <w:p>
            <w:pPr>
              <w:pStyle w:val="5"/>
              <w:ind w:firstLine="0" w:firstLineChars="0"/>
              <w:jc w:val="center"/>
              <w:rPr>
                <w:color w:val="auto"/>
                <w:sz w:val="18"/>
                <w:szCs w:val="18"/>
              </w:rPr>
            </w:pPr>
            <w:r>
              <w:rPr>
                <w:color w:val="auto"/>
                <w:sz w:val="18"/>
                <w:szCs w:val="18"/>
              </w:rPr>
              <w:t>5</w:t>
            </w:r>
          </w:p>
        </w:tc>
        <w:tc>
          <w:tcPr>
            <w:tcW w:w="1703" w:type="dxa"/>
            <w:vAlign w:val="center"/>
          </w:tcPr>
          <w:p>
            <w:pPr>
              <w:spacing w:line="560" w:lineRule="exact"/>
              <w:jc w:val="center"/>
              <w:rPr>
                <w:rFonts w:hint="eastAsia" w:eastAsia="宋体"/>
                <w:color w:val="auto"/>
                <w:sz w:val="18"/>
                <w:szCs w:val="18"/>
                <w:lang w:val="en-US" w:eastAsia="zh-CN"/>
              </w:rPr>
            </w:pPr>
            <w:r>
              <w:rPr>
                <w:color w:val="auto"/>
                <w:sz w:val="18"/>
                <w:szCs w:val="18"/>
              </w:rPr>
              <w:t>审计</w:t>
            </w:r>
            <w:r>
              <w:rPr>
                <w:rFonts w:hint="eastAsia"/>
                <w:color w:val="auto"/>
                <w:sz w:val="18"/>
                <w:szCs w:val="18"/>
                <w:lang w:val="en-US" w:eastAsia="zh-CN"/>
              </w:rPr>
              <w:t>及验收</w:t>
            </w:r>
          </w:p>
        </w:tc>
        <w:tc>
          <w:tcPr>
            <w:tcW w:w="3417" w:type="dxa"/>
            <w:vAlign w:val="center"/>
          </w:tcPr>
          <w:p>
            <w:pPr>
              <w:spacing w:line="560" w:lineRule="exact"/>
              <w:jc w:val="center"/>
              <w:rPr>
                <w:color w:val="auto"/>
                <w:sz w:val="18"/>
                <w:szCs w:val="18"/>
              </w:rPr>
            </w:pPr>
            <w:r>
              <w:rPr>
                <w:color w:val="auto"/>
                <w:sz w:val="18"/>
                <w:szCs w:val="18"/>
              </w:rPr>
              <w:t>财务规范性审查</w:t>
            </w:r>
          </w:p>
        </w:tc>
        <w:tc>
          <w:tcPr>
            <w:tcW w:w="1317" w:type="dxa"/>
            <w:vAlign w:val="center"/>
          </w:tcPr>
          <w:p>
            <w:pPr>
              <w:spacing w:line="560" w:lineRule="exact"/>
              <w:jc w:val="center"/>
              <w:rPr>
                <w:color w:val="auto"/>
                <w:sz w:val="18"/>
                <w:szCs w:val="18"/>
              </w:rPr>
            </w:pPr>
            <w:r>
              <w:rPr>
                <w:color w:val="auto"/>
                <w:sz w:val="18"/>
                <w:szCs w:val="18"/>
              </w:rPr>
              <w:t>委托第三方</w:t>
            </w:r>
          </w:p>
        </w:tc>
        <w:tc>
          <w:tcPr>
            <w:tcW w:w="1565" w:type="dxa"/>
            <w:vAlign w:val="center"/>
          </w:tcPr>
          <w:p>
            <w:pPr>
              <w:spacing w:line="560" w:lineRule="exact"/>
              <w:jc w:val="center"/>
              <w:rPr>
                <w:color w:val="auto"/>
                <w:sz w:val="18"/>
                <w:szCs w:val="18"/>
              </w:rPr>
            </w:pPr>
            <w:r>
              <w:rPr>
                <w:rFonts w:hint="eastAsia"/>
                <w:color w:val="auto"/>
                <w:sz w:val="18"/>
                <w:szCs w:val="18"/>
                <w:lang w:val="en-US" w:eastAsia="zh-CN"/>
              </w:rPr>
              <w:t>4.33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7" w:hRule="atLeast"/>
          <w:jc w:val="center"/>
        </w:trPr>
        <w:tc>
          <w:tcPr>
            <w:tcW w:w="2663" w:type="dxa"/>
            <w:gridSpan w:val="2"/>
            <w:vAlign w:val="center"/>
          </w:tcPr>
          <w:p>
            <w:pPr>
              <w:spacing w:line="560" w:lineRule="exact"/>
              <w:jc w:val="center"/>
              <w:rPr>
                <w:color w:val="auto"/>
                <w:sz w:val="18"/>
                <w:szCs w:val="18"/>
              </w:rPr>
            </w:pPr>
            <w:r>
              <w:rPr>
                <w:color w:val="auto"/>
                <w:sz w:val="18"/>
                <w:szCs w:val="18"/>
              </w:rPr>
              <w:t>合计</w:t>
            </w:r>
          </w:p>
        </w:tc>
        <w:tc>
          <w:tcPr>
            <w:tcW w:w="3417" w:type="dxa"/>
            <w:vAlign w:val="center"/>
          </w:tcPr>
          <w:p>
            <w:pPr>
              <w:spacing w:line="560" w:lineRule="exact"/>
              <w:jc w:val="center"/>
              <w:rPr>
                <w:color w:val="auto"/>
                <w:sz w:val="18"/>
                <w:szCs w:val="18"/>
              </w:rPr>
            </w:pPr>
          </w:p>
        </w:tc>
        <w:tc>
          <w:tcPr>
            <w:tcW w:w="1317" w:type="dxa"/>
            <w:vAlign w:val="center"/>
          </w:tcPr>
          <w:p>
            <w:pPr>
              <w:spacing w:line="560" w:lineRule="exact"/>
              <w:jc w:val="center"/>
              <w:rPr>
                <w:color w:val="auto"/>
                <w:sz w:val="18"/>
                <w:szCs w:val="18"/>
              </w:rPr>
            </w:pPr>
          </w:p>
        </w:tc>
        <w:tc>
          <w:tcPr>
            <w:tcW w:w="1565" w:type="dxa"/>
            <w:vAlign w:val="center"/>
          </w:tcPr>
          <w:p>
            <w:pPr>
              <w:spacing w:line="560" w:lineRule="exact"/>
              <w:jc w:val="center"/>
              <w:rPr>
                <w:color w:val="auto"/>
                <w:sz w:val="18"/>
                <w:szCs w:val="18"/>
              </w:rPr>
            </w:pPr>
            <w:r>
              <w:rPr>
                <w:color w:val="auto"/>
                <w:sz w:val="18"/>
                <w:szCs w:val="18"/>
              </w:rPr>
              <w:t>2</w:t>
            </w:r>
            <w:r>
              <w:rPr>
                <w:rFonts w:hint="eastAsia"/>
                <w:color w:val="auto"/>
                <w:sz w:val="18"/>
                <w:szCs w:val="18"/>
                <w:lang w:val="en-US" w:eastAsia="zh-CN"/>
              </w:rPr>
              <w:t>8</w:t>
            </w:r>
            <w:r>
              <w:rPr>
                <w:color w:val="auto"/>
                <w:sz w:val="18"/>
                <w:szCs w:val="18"/>
              </w:rPr>
              <w:t>.</w:t>
            </w:r>
            <w:r>
              <w:rPr>
                <w:rFonts w:hint="eastAsia"/>
                <w:color w:val="auto"/>
                <w:sz w:val="18"/>
                <w:szCs w:val="18"/>
                <w:lang w:val="en-US" w:eastAsia="zh-CN"/>
              </w:rPr>
              <w:t>95</w:t>
            </w:r>
          </w:p>
        </w:tc>
      </w:tr>
    </w:tbl>
    <w:p>
      <w:pPr>
        <w:tabs>
          <w:tab w:val="left" w:pos="3103"/>
        </w:tabs>
        <w:spacing w:before="156" w:beforeLines="50" w:after="156" w:afterLines="50"/>
        <w:jc w:val="left"/>
        <w:rPr>
          <w:rFonts w:eastAsia="方正黑体_GBK"/>
          <w:color w:val="auto"/>
          <w:sz w:val="32"/>
          <w:szCs w:val="32"/>
        </w:rPr>
      </w:pPr>
      <w:bookmarkStart w:id="226" w:name="_Toc26553"/>
      <w:r>
        <w:rPr>
          <w:rFonts w:eastAsia="方正黑体_GBK"/>
          <w:color w:val="auto"/>
          <w:sz w:val="32"/>
          <w:szCs w:val="32"/>
        </w:rPr>
        <w:t>六、实施进度及资金预算</w:t>
      </w:r>
      <w:bookmarkEnd w:id="226"/>
    </w:p>
    <w:p>
      <w:pPr>
        <w:spacing w:before="120" w:after="120"/>
        <w:ind w:firstLine="643" w:firstLineChars="200"/>
        <w:rPr>
          <w:rFonts w:eastAsia="方正楷体_GBK"/>
          <w:b/>
          <w:bCs/>
          <w:color w:val="auto"/>
          <w:sz w:val="32"/>
          <w:szCs w:val="32"/>
        </w:rPr>
      </w:pPr>
      <w:bookmarkStart w:id="227" w:name="_Toc2358"/>
      <w:r>
        <w:rPr>
          <w:rFonts w:eastAsia="方正楷体_GBK"/>
          <w:b/>
          <w:bCs/>
          <w:color w:val="auto"/>
          <w:sz w:val="32"/>
          <w:szCs w:val="32"/>
        </w:rPr>
        <w:t>（一）项目实施进度安排</w:t>
      </w:r>
      <w:bookmarkEnd w:id="227"/>
    </w:p>
    <w:p>
      <w:pPr>
        <w:pStyle w:val="2"/>
        <w:spacing w:after="0"/>
        <w:ind w:firstLine="640" w:firstLineChars="200"/>
        <w:rPr>
          <w:rFonts w:eastAsia="方正仿宋_GBK"/>
          <w:color w:val="auto"/>
          <w:sz w:val="32"/>
          <w:szCs w:val="32"/>
        </w:rPr>
      </w:pPr>
      <w:r>
        <w:rPr>
          <w:rFonts w:eastAsia="方正仿宋_GBK"/>
          <w:color w:val="auto"/>
          <w:sz w:val="32"/>
          <w:szCs w:val="32"/>
        </w:rPr>
        <w:t>建设期限为2023年3月-202</w:t>
      </w:r>
      <w:r>
        <w:rPr>
          <w:rFonts w:hint="eastAsia" w:eastAsia="方正仿宋_GBK"/>
          <w:color w:val="auto"/>
          <w:sz w:val="32"/>
          <w:szCs w:val="32"/>
          <w:lang w:val="en-US" w:eastAsia="zh-CN"/>
        </w:rPr>
        <w:t>3</w:t>
      </w:r>
      <w:r>
        <w:rPr>
          <w:rFonts w:eastAsia="方正仿宋_GBK"/>
          <w:color w:val="auto"/>
          <w:sz w:val="32"/>
          <w:szCs w:val="32"/>
        </w:rPr>
        <w:t>年</w:t>
      </w:r>
      <w:r>
        <w:rPr>
          <w:rFonts w:hint="eastAsia" w:eastAsia="方正仿宋_GBK"/>
          <w:color w:val="auto"/>
          <w:sz w:val="32"/>
          <w:szCs w:val="32"/>
          <w:lang w:val="en-US" w:eastAsia="zh-CN"/>
        </w:rPr>
        <w:t>12</w:t>
      </w:r>
      <w:r>
        <w:rPr>
          <w:rFonts w:eastAsia="方正仿宋_GBK"/>
          <w:color w:val="auto"/>
          <w:sz w:val="32"/>
          <w:szCs w:val="32"/>
        </w:rPr>
        <w:t>月。实施进度计划为：</w:t>
      </w:r>
    </w:p>
    <w:p>
      <w:pPr>
        <w:pStyle w:val="2"/>
        <w:spacing w:after="0"/>
        <w:ind w:firstLine="640" w:firstLineChars="200"/>
        <w:rPr>
          <w:rFonts w:eastAsia="方正仿宋_GBK"/>
          <w:color w:val="auto"/>
          <w:sz w:val="32"/>
          <w:szCs w:val="32"/>
        </w:rPr>
      </w:pPr>
      <w:r>
        <w:rPr>
          <w:rFonts w:eastAsia="方正仿宋_GBK"/>
          <w:color w:val="auto"/>
          <w:sz w:val="32"/>
          <w:szCs w:val="32"/>
        </w:rPr>
        <w:t>1.2023年3月-5月，编制项目实施方案上报省级；成立项目领导专家技术小组，做好各项前期准备工作。</w:t>
      </w:r>
    </w:p>
    <w:p>
      <w:pPr>
        <w:pStyle w:val="2"/>
        <w:spacing w:after="0"/>
        <w:ind w:firstLine="640" w:firstLineChars="200"/>
        <w:rPr>
          <w:rFonts w:eastAsia="方正仿宋_GBK"/>
          <w:color w:val="auto"/>
          <w:sz w:val="32"/>
          <w:szCs w:val="32"/>
        </w:rPr>
      </w:pPr>
      <w:r>
        <w:rPr>
          <w:rFonts w:eastAsia="方正仿宋_GBK"/>
          <w:color w:val="auto"/>
          <w:sz w:val="32"/>
          <w:szCs w:val="32"/>
        </w:rPr>
        <w:t>2.2023年7月-202</w:t>
      </w:r>
      <w:r>
        <w:rPr>
          <w:rFonts w:hint="eastAsia" w:eastAsia="方正仿宋_GBK"/>
          <w:color w:val="auto"/>
          <w:sz w:val="32"/>
          <w:szCs w:val="32"/>
          <w:lang w:val="en-US" w:eastAsia="zh-CN"/>
        </w:rPr>
        <w:t>3</w:t>
      </w:r>
      <w:r>
        <w:rPr>
          <w:rFonts w:eastAsia="方正仿宋_GBK"/>
          <w:color w:val="auto"/>
          <w:sz w:val="32"/>
          <w:szCs w:val="32"/>
        </w:rPr>
        <w:t>年</w:t>
      </w:r>
      <w:r>
        <w:rPr>
          <w:rFonts w:hint="eastAsia" w:eastAsia="方正仿宋_GBK"/>
          <w:color w:val="auto"/>
          <w:sz w:val="32"/>
          <w:szCs w:val="32"/>
          <w:lang w:val="en-US" w:eastAsia="zh-CN"/>
        </w:rPr>
        <w:t>12</w:t>
      </w:r>
      <w:r>
        <w:rPr>
          <w:rFonts w:eastAsia="方正仿宋_GBK"/>
          <w:color w:val="auto"/>
          <w:sz w:val="32"/>
          <w:szCs w:val="32"/>
        </w:rPr>
        <w:t>月，根据项目实施方案，有序推进各项建设工作（具体时间进度详见附表1）。</w:t>
      </w:r>
    </w:p>
    <w:p>
      <w:pPr>
        <w:pStyle w:val="2"/>
        <w:spacing w:after="0"/>
        <w:ind w:firstLine="640" w:firstLineChars="200"/>
        <w:rPr>
          <w:rFonts w:eastAsia="方正仿宋_GBK"/>
          <w:color w:val="auto"/>
          <w:sz w:val="32"/>
          <w:szCs w:val="32"/>
        </w:rPr>
      </w:pPr>
      <w:r>
        <w:rPr>
          <w:rFonts w:eastAsia="方正仿宋_GBK"/>
          <w:color w:val="auto"/>
          <w:sz w:val="32"/>
          <w:szCs w:val="32"/>
        </w:rPr>
        <w:t>3.202</w:t>
      </w:r>
      <w:r>
        <w:rPr>
          <w:rFonts w:hint="eastAsia" w:eastAsia="方正仿宋_GBK"/>
          <w:color w:val="auto"/>
          <w:sz w:val="32"/>
          <w:szCs w:val="32"/>
          <w:lang w:val="en-US" w:eastAsia="zh-CN"/>
        </w:rPr>
        <w:t>3</w:t>
      </w:r>
      <w:r>
        <w:rPr>
          <w:rFonts w:eastAsia="方正仿宋_GBK"/>
          <w:color w:val="auto"/>
          <w:sz w:val="32"/>
          <w:szCs w:val="32"/>
        </w:rPr>
        <w:t>年</w:t>
      </w:r>
      <w:r>
        <w:rPr>
          <w:rFonts w:hint="eastAsia" w:eastAsia="方正仿宋_GBK"/>
          <w:color w:val="auto"/>
          <w:sz w:val="32"/>
          <w:szCs w:val="32"/>
          <w:lang w:val="en-US" w:eastAsia="zh-CN"/>
        </w:rPr>
        <w:t>12</w:t>
      </w:r>
      <w:r>
        <w:rPr>
          <w:rFonts w:eastAsia="方正仿宋_GBK"/>
          <w:color w:val="auto"/>
          <w:sz w:val="32"/>
          <w:szCs w:val="32"/>
        </w:rPr>
        <w:t>月，收集整理项目台账，进行总结及财务审计，开展县级验收并申请上级组织验收。</w:t>
      </w:r>
    </w:p>
    <w:p>
      <w:pPr>
        <w:spacing w:before="120" w:after="120"/>
        <w:ind w:firstLine="643" w:firstLineChars="200"/>
        <w:rPr>
          <w:rFonts w:eastAsia="方正楷体_GBK"/>
          <w:b/>
          <w:bCs/>
          <w:color w:val="auto"/>
          <w:sz w:val="32"/>
          <w:szCs w:val="32"/>
        </w:rPr>
      </w:pPr>
      <w:bookmarkStart w:id="228" w:name="_Toc30285"/>
      <w:r>
        <w:rPr>
          <w:rFonts w:eastAsia="方正楷体_GBK"/>
          <w:b/>
          <w:bCs/>
          <w:color w:val="auto"/>
          <w:sz w:val="32"/>
          <w:szCs w:val="32"/>
        </w:rPr>
        <w:t>（二）资金预算</w:t>
      </w:r>
      <w:bookmarkEnd w:id="228"/>
    </w:p>
    <w:p>
      <w:pPr>
        <w:pStyle w:val="2"/>
        <w:spacing w:after="0"/>
        <w:ind w:firstLine="640" w:firstLineChars="200"/>
        <w:rPr>
          <w:rFonts w:eastAsia="方正仿宋_GBK"/>
          <w:color w:val="auto"/>
          <w:sz w:val="32"/>
          <w:szCs w:val="32"/>
        </w:rPr>
      </w:pPr>
      <w:r>
        <w:rPr>
          <w:rFonts w:eastAsia="方正仿宋_GBK"/>
          <w:color w:val="auto"/>
          <w:sz w:val="32"/>
          <w:szCs w:val="32"/>
        </w:rPr>
        <w:t>资金预算进度计划：</w:t>
      </w:r>
      <w:r>
        <w:rPr>
          <w:rFonts w:hint="eastAsia" w:eastAsia="方正仿宋_GBK"/>
          <w:color w:val="auto"/>
          <w:sz w:val="32"/>
          <w:szCs w:val="32"/>
          <w:lang w:val="en-US" w:eastAsia="zh-CN"/>
        </w:rPr>
        <w:t>采用先建后补的方式完成项目，</w:t>
      </w:r>
      <w:r>
        <w:rPr>
          <w:rFonts w:eastAsia="方正仿宋_GBK"/>
          <w:color w:val="auto"/>
          <w:sz w:val="32"/>
          <w:szCs w:val="32"/>
        </w:rPr>
        <w:t>资金到位30天内完成支付20%以上；3个月内完成40%以上，6个月内完成80%以上；确保</w:t>
      </w:r>
      <w:r>
        <w:rPr>
          <w:rFonts w:hint="eastAsia" w:eastAsia="方正仿宋_GBK"/>
          <w:color w:val="auto"/>
          <w:sz w:val="32"/>
          <w:szCs w:val="32"/>
          <w:lang w:val="en-US" w:eastAsia="zh-CN"/>
        </w:rPr>
        <w:t>项目验收1个月内</w:t>
      </w:r>
      <w:r>
        <w:rPr>
          <w:rFonts w:eastAsia="方正仿宋_GBK"/>
          <w:color w:val="auto"/>
          <w:sz w:val="32"/>
          <w:szCs w:val="32"/>
        </w:rPr>
        <w:t>完成全部项目资金支付。（详见表6、附表1）</w:t>
      </w:r>
    </w:p>
    <w:p>
      <w:pPr>
        <w:pStyle w:val="2"/>
        <w:spacing w:line="540" w:lineRule="exact"/>
        <w:ind w:firstLine="360" w:firstLineChars="200"/>
        <w:jc w:val="center"/>
        <w:rPr>
          <w:rFonts w:eastAsiaTheme="minorEastAsia"/>
          <w:color w:val="auto"/>
          <w:kern w:val="0"/>
          <w:sz w:val="18"/>
          <w:szCs w:val="18"/>
        </w:rPr>
      </w:pPr>
      <w:bookmarkStart w:id="229" w:name="_Toc31688"/>
      <w:bookmarkStart w:id="230" w:name="_Toc27165"/>
      <w:bookmarkStart w:id="231" w:name="_Toc31412"/>
      <w:bookmarkStart w:id="232" w:name="_Toc20853"/>
      <w:bookmarkStart w:id="233" w:name="_Toc12773"/>
      <w:bookmarkStart w:id="234" w:name="_Toc12197"/>
      <w:bookmarkStart w:id="235" w:name="_Toc5716"/>
      <w:bookmarkStart w:id="236" w:name="_Toc9548"/>
      <w:bookmarkStart w:id="237" w:name="_Toc16431"/>
      <w:bookmarkStart w:id="238" w:name="_Toc12975"/>
      <w:bookmarkStart w:id="239" w:name="_Toc15841"/>
      <w:bookmarkStart w:id="240" w:name="_Toc16060"/>
      <w:bookmarkStart w:id="241" w:name="_Toc2978"/>
      <w:bookmarkStart w:id="242" w:name="_Toc24221"/>
      <w:bookmarkStart w:id="243" w:name="_Toc19986"/>
      <w:bookmarkStart w:id="244" w:name="_Toc5201"/>
      <w:bookmarkStart w:id="245" w:name="_Toc29850"/>
      <w:bookmarkStart w:id="246" w:name="_Toc8236"/>
      <w:r>
        <w:rPr>
          <w:rFonts w:eastAsiaTheme="minorEastAsia"/>
          <w:color w:val="auto"/>
          <w:kern w:val="0"/>
          <w:sz w:val="18"/>
          <w:szCs w:val="18"/>
        </w:rPr>
        <w:t>表6 玉溪市红塔区2023年农作物秸秆综合利用重点县建设项目</w:t>
      </w:r>
      <w:bookmarkEnd w:id="229"/>
      <w:bookmarkEnd w:id="230"/>
      <w:bookmarkEnd w:id="231"/>
      <w:bookmarkEnd w:id="232"/>
      <w:bookmarkEnd w:id="233"/>
      <w:bookmarkEnd w:id="234"/>
      <w:bookmarkEnd w:id="235"/>
      <w:bookmarkEnd w:id="236"/>
      <w:bookmarkEnd w:id="237"/>
      <w:bookmarkEnd w:id="238"/>
      <w:bookmarkEnd w:id="239"/>
      <w:bookmarkStart w:id="247" w:name="_Toc14499"/>
      <w:bookmarkStart w:id="248" w:name="_Toc12640"/>
      <w:bookmarkStart w:id="249" w:name="_Toc13552"/>
      <w:bookmarkStart w:id="250" w:name="_Toc15651"/>
      <w:bookmarkStart w:id="251" w:name="_Toc16672"/>
      <w:bookmarkStart w:id="252" w:name="_Toc1188"/>
      <w:bookmarkStart w:id="253" w:name="_Toc24677"/>
      <w:bookmarkStart w:id="254" w:name="_Toc5567"/>
      <w:bookmarkStart w:id="255" w:name="_Toc5153"/>
      <w:bookmarkStart w:id="256" w:name="_Toc11730"/>
      <w:bookmarkStart w:id="257" w:name="_Toc6257"/>
      <w:r>
        <w:rPr>
          <w:rFonts w:eastAsiaTheme="minorEastAsia"/>
          <w:color w:val="auto"/>
          <w:kern w:val="0"/>
          <w:sz w:val="18"/>
          <w:szCs w:val="18"/>
        </w:rPr>
        <w:t>投资及资金使用汇总表</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bl>
      <w:tblPr>
        <w:tblStyle w:val="10"/>
        <w:tblW w:w="815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750"/>
        <w:gridCol w:w="1160"/>
        <w:gridCol w:w="1410"/>
        <w:gridCol w:w="1160"/>
        <w:gridCol w:w="1041"/>
        <w:gridCol w:w="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 w:hRule="atLeast"/>
          <w:jc w:val="center"/>
        </w:trPr>
        <w:tc>
          <w:tcPr>
            <w:tcW w:w="668" w:type="dxa"/>
            <w:vMerge w:val="restart"/>
            <w:tcBorders>
              <w:top w:val="single" w:color="000000" w:sz="8" w:space="0"/>
              <w:left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lang w:val="en-US" w:eastAsia="zh-CN"/>
              </w:rPr>
            </w:pPr>
            <w:bookmarkStart w:id="258" w:name="_Toc15520"/>
            <w:r>
              <w:rPr>
                <w:rFonts w:hint="eastAsia" w:ascii="宋体" w:hAnsi="宋体" w:eastAsia="宋体" w:cs="宋体"/>
                <w:b/>
                <w:bCs/>
                <w:i w:val="0"/>
                <w:iCs w:val="0"/>
                <w:color w:val="auto"/>
                <w:sz w:val="20"/>
                <w:szCs w:val="20"/>
                <w:u w:val="none"/>
                <w:lang w:val="en-US" w:eastAsia="zh-CN"/>
              </w:rPr>
              <w:t>序号</w:t>
            </w:r>
          </w:p>
        </w:tc>
        <w:tc>
          <w:tcPr>
            <w:tcW w:w="1750" w:type="dxa"/>
            <w:vMerge w:val="restart"/>
            <w:tcBorders>
              <w:top w:val="single" w:color="000000" w:sz="8" w:space="0"/>
              <w:left w:val="single" w:color="000000" w:sz="8" w:space="0"/>
              <w:right w:val="single" w:color="000000" w:sz="8" w:space="0"/>
            </w:tcBorders>
            <w:shd w:val="clear" w:color="auto" w:fill="auto"/>
            <w:vAlign w:val="center"/>
          </w:tcPr>
          <w:p>
            <w:pPr>
              <w:jc w:val="center"/>
              <w:rPr>
                <w:rFonts w:hint="default" w:ascii="宋体" w:hAnsi="宋体" w:eastAsia="宋体" w:cs="宋体"/>
                <w:b/>
                <w:bCs/>
                <w:i w:val="0"/>
                <w:iCs w:val="0"/>
                <w:color w:val="auto"/>
                <w:sz w:val="20"/>
                <w:szCs w:val="20"/>
                <w:u w:val="none"/>
                <w:lang w:val="en-US" w:eastAsia="zh-CN"/>
              </w:rPr>
            </w:pPr>
            <w:r>
              <w:rPr>
                <w:rFonts w:hint="eastAsia" w:ascii="宋体" w:hAnsi="宋体" w:eastAsia="宋体" w:cs="宋体"/>
                <w:b/>
                <w:bCs/>
                <w:i w:val="0"/>
                <w:iCs w:val="0"/>
                <w:color w:val="auto"/>
                <w:sz w:val="20"/>
                <w:szCs w:val="20"/>
                <w:u w:val="none"/>
                <w:lang w:val="en-US" w:eastAsia="zh-CN"/>
              </w:rPr>
              <w:t>模式名称</w:t>
            </w:r>
          </w:p>
        </w:tc>
        <w:tc>
          <w:tcPr>
            <w:tcW w:w="1160" w:type="dxa"/>
            <w:vMerge w:val="restart"/>
            <w:tcBorders>
              <w:top w:val="single" w:color="000000" w:sz="8" w:space="0"/>
              <w:left w:val="single" w:color="000000" w:sz="8" w:space="0"/>
              <w:right w:val="single" w:color="000000" w:sz="8" w:space="0"/>
            </w:tcBorders>
            <w:shd w:val="clear" w:color="auto" w:fill="auto"/>
            <w:vAlign w:val="center"/>
          </w:tcPr>
          <w:p>
            <w:pPr>
              <w:jc w:val="center"/>
              <w:rPr>
                <w:rFonts w:hint="default" w:ascii="宋体" w:hAnsi="宋体" w:eastAsia="宋体" w:cs="宋体"/>
                <w:b/>
                <w:bCs/>
                <w:i w:val="0"/>
                <w:iCs w:val="0"/>
                <w:color w:val="auto"/>
                <w:sz w:val="20"/>
                <w:szCs w:val="20"/>
                <w:u w:val="none"/>
                <w:lang w:val="en-US" w:eastAsia="zh-CN"/>
              </w:rPr>
            </w:pPr>
            <w:r>
              <w:rPr>
                <w:rFonts w:hint="eastAsia" w:ascii="宋体" w:hAnsi="宋体" w:eastAsia="宋体" w:cs="宋体"/>
                <w:b/>
                <w:bCs/>
                <w:i w:val="0"/>
                <w:iCs w:val="0"/>
                <w:color w:val="auto"/>
                <w:sz w:val="20"/>
                <w:szCs w:val="20"/>
                <w:u w:val="none"/>
                <w:lang w:val="en-US" w:eastAsia="zh-CN"/>
              </w:rPr>
              <w:t>项目名称</w:t>
            </w:r>
          </w:p>
        </w:tc>
        <w:tc>
          <w:tcPr>
            <w:tcW w:w="1410" w:type="dxa"/>
            <w:vMerge w:val="restart"/>
            <w:tcBorders>
              <w:top w:val="single" w:color="000000" w:sz="8" w:space="0"/>
              <w:left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预计总投资</w:t>
            </w:r>
            <w:r>
              <w:rPr>
                <w:rFonts w:hint="default" w:ascii="Times New Roman" w:hAnsi="Times New Roman" w:eastAsia="宋体" w:cs="Times New Roman"/>
                <w:b/>
                <w:bCs/>
                <w:i w:val="0"/>
                <w:iCs w:val="0"/>
                <w:color w:val="auto"/>
                <w:kern w:val="0"/>
                <w:sz w:val="20"/>
                <w:szCs w:val="20"/>
                <w:u w:val="none"/>
                <w:lang w:val="en-US" w:eastAsia="zh-CN" w:bidi="ar"/>
              </w:rPr>
              <w:t xml:space="preserve">           </w:t>
            </w:r>
            <w:r>
              <w:rPr>
                <w:rFonts w:hint="eastAsia" w:ascii="宋体" w:hAnsi="宋体" w:eastAsia="宋体" w:cs="宋体"/>
                <w:b/>
                <w:bCs/>
                <w:i w:val="0"/>
                <w:iCs w:val="0"/>
                <w:color w:val="auto"/>
                <w:kern w:val="0"/>
                <w:sz w:val="20"/>
                <w:szCs w:val="20"/>
                <w:u w:val="none"/>
                <w:lang w:val="en-US" w:eastAsia="zh-CN" w:bidi="ar"/>
              </w:rPr>
              <w:t>（万元）</w:t>
            </w:r>
          </w:p>
        </w:tc>
        <w:tc>
          <w:tcPr>
            <w:tcW w:w="220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资金构成（万元）</w:t>
            </w:r>
          </w:p>
        </w:tc>
        <w:tc>
          <w:tcPr>
            <w:tcW w:w="968" w:type="dxa"/>
            <w:vMerge w:val="restart"/>
            <w:tcBorders>
              <w:top w:val="single" w:color="000000" w:sz="8" w:space="0"/>
              <w:left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中央资金比例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5" w:hRule="atLeast"/>
          <w:jc w:val="center"/>
        </w:trPr>
        <w:tc>
          <w:tcPr>
            <w:tcW w:w="668"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1750"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1160"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1410"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116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自筹资金</w:t>
            </w:r>
          </w:p>
        </w:tc>
        <w:tc>
          <w:tcPr>
            <w:tcW w:w="104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中央资金</w:t>
            </w:r>
          </w:p>
        </w:tc>
        <w:tc>
          <w:tcPr>
            <w:tcW w:w="968"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1750" w:type="dxa"/>
            <w:tcBorders>
              <w:top w:val="nil"/>
              <w:left w:val="single" w:color="000000"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“1+1+X”收储模式</w:t>
            </w:r>
          </w:p>
        </w:tc>
        <w:tc>
          <w:tcPr>
            <w:tcW w:w="11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收储运体系完善</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175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沃土模式</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肥料化综合利用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cs="Times New Roman"/>
                <w:i w:val="0"/>
                <w:iCs w:val="0"/>
                <w:color w:val="auto"/>
                <w:kern w:val="0"/>
                <w:sz w:val="18"/>
                <w:szCs w:val="18"/>
                <w:u w:val="none"/>
                <w:lang w:val="en-US" w:eastAsia="zh-CN" w:bidi="ar"/>
              </w:rPr>
              <w:t>421.75</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cs="Times New Roman"/>
                <w:i w:val="0"/>
                <w:iCs w:val="0"/>
                <w:color w:val="auto"/>
                <w:kern w:val="0"/>
                <w:sz w:val="18"/>
                <w:szCs w:val="18"/>
                <w:u w:val="none"/>
                <w:lang w:val="en-US" w:eastAsia="zh-CN" w:bidi="ar"/>
              </w:rPr>
              <w:t>240.75</w:t>
            </w:r>
          </w:p>
        </w:tc>
        <w:tc>
          <w:tcPr>
            <w:tcW w:w="1041"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181</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23"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还田监测及系数测算</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四</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饲料化综合利用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w:t>
            </w:r>
          </w:p>
        </w:tc>
        <w:tc>
          <w:tcPr>
            <w:tcW w:w="17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秸秆代木模式</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原料化综合利用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六</w:t>
            </w:r>
          </w:p>
        </w:tc>
        <w:tc>
          <w:tcPr>
            <w:tcW w:w="17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能源模式</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燃料化综合利用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134</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七</w:t>
            </w:r>
          </w:p>
        </w:tc>
        <w:tc>
          <w:tcPr>
            <w:tcW w:w="175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技术</w:t>
            </w:r>
            <w:r>
              <w:rPr>
                <w:rFonts w:hint="eastAsia" w:ascii="宋体" w:hAnsi="宋体" w:cs="宋体"/>
                <w:i w:val="0"/>
                <w:iCs w:val="0"/>
                <w:color w:val="auto"/>
                <w:kern w:val="0"/>
                <w:sz w:val="18"/>
                <w:szCs w:val="18"/>
                <w:u w:val="none"/>
                <w:lang w:val="en-US" w:eastAsia="zh-CN" w:bidi="ar"/>
              </w:rPr>
              <w:t>培训、</w:t>
            </w:r>
            <w:r>
              <w:rPr>
                <w:rFonts w:hint="eastAsia" w:ascii="宋体" w:hAnsi="宋体" w:eastAsia="宋体" w:cs="宋体"/>
                <w:i w:val="0"/>
                <w:iCs w:val="0"/>
                <w:color w:val="auto"/>
                <w:kern w:val="0"/>
                <w:sz w:val="18"/>
                <w:szCs w:val="18"/>
                <w:u w:val="none"/>
                <w:lang w:val="en-US" w:eastAsia="zh-CN" w:bidi="ar"/>
              </w:rPr>
              <w:t>宣传</w:t>
            </w:r>
            <w:r>
              <w:rPr>
                <w:rFonts w:hint="eastAsia" w:ascii="宋体" w:hAnsi="宋体" w:cs="宋体"/>
                <w:i w:val="0"/>
                <w:iCs w:val="0"/>
                <w:color w:val="auto"/>
                <w:kern w:val="0"/>
                <w:sz w:val="18"/>
                <w:szCs w:val="18"/>
                <w:u w:val="none"/>
                <w:lang w:val="en-US" w:eastAsia="zh-CN" w:bidi="ar"/>
              </w:rPr>
              <w:t>、验收审计等</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实施方案编制</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w:t>
            </w:r>
          </w:p>
        </w:tc>
        <w:tc>
          <w:tcPr>
            <w:tcW w:w="96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9"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八</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技术宣传培训</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p>
        </w:tc>
        <w:tc>
          <w:tcPr>
            <w:tcW w:w="96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4"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九</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宣传材料</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8.03</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8.03</w:t>
            </w:r>
          </w:p>
        </w:tc>
        <w:tc>
          <w:tcPr>
            <w:tcW w:w="96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4"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十</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宣传报道</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96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4"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十一</w:t>
            </w:r>
          </w:p>
        </w:tc>
        <w:tc>
          <w:tcPr>
            <w:tcW w:w="175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审计验收</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4.28</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cs="Times New Roman"/>
                <w:i w:val="0"/>
                <w:iCs w:val="0"/>
                <w:color w:val="auto"/>
                <w:kern w:val="0"/>
                <w:sz w:val="18"/>
                <w:szCs w:val="18"/>
                <w:u w:val="none"/>
                <w:lang w:val="en-US" w:eastAsia="zh-CN" w:bidi="ar"/>
              </w:rPr>
              <w:t>33</w:t>
            </w:r>
          </w:p>
        </w:tc>
        <w:tc>
          <w:tcPr>
            <w:tcW w:w="968"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5" w:hRule="atLeast"/>
          <w:jc w:val="center"/>
        </w:trPr>
        <w:tc>
          <w:tcPr>
            <w:tcW w:w="6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Style w:val="14"/>
                <w:color w:val="auto"/>
                <w:lang w:val="en-US" w:eastAsia="zh-CN" w:bidi="ar"/>
              </w:rPr>
              <w:t>合计</w:t>
            </w:r>
          </w:p>
        </w:tc>
        <w:tc>
          <w:tcPr>
            <w:tcW w:w="175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11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bCs/>
                <w:i w:val="0"/>
                <w:iCs w:val="0"/>
                <w:color w:val="auto"/>
                <w:sz w:val="18"/>
                <w:szCs w:val="18"/>
                <w:u w:val="none"/>
              </w:rPr>
            </w:pP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9</w:t>
            </w:r>
            <w:r>
              <w:rPr>
                <w:rFonts w:hint="eastAsia" w:cs="Times New Roman"/>
                <w:b/>
                <w:bCs/>
                <w:i w:val="0"/>
                <w:iCs w:val="0"/>
                <w:color w:val="auto"/>
                <w:kern w:val="0"/>
                <w:sz w:val="18"/>
                <w:szCs w:val="18"/>
                <w:u w:val="none"/>
                <w:lang w:val="en-US" w:eastAsia="zh-CN" w:bidi="ar"/>
              </w:rPr>
              <w:t>20.75</w:t>
            </w:r>
          </w:p>
        </w:tc>
        <w:tc>
          <w:tcPr>
            <w:tcW w:w="11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lang w:val="en-US"/>
              </w:rPr>
            </w:pPr>
            <w:r>
              <w:rPr>
                <w:rFonts w:hint="eastAsia" w:ascii="Times New Roman" w:hAnsi="Times New Roman" w:eastAsia="宋体" w:cs="Times New Roman"/>
                <w:b/>
                <w:bCs/>
                <w:i w:val="0"/>
                <w:iCs w:val="0"/>
                <w:color w:val="auto"/>
                <w:kern w:val="0"/>
                <w:sz w:val="18"/>
                <w:szCs w:val="18"/>
                <w:u w:val="none"/>
                <w:lang w:val="en-US" w:eastAsia="zh-CN" w:bidi="ar"/>
              </w:rPr>
              <w:t>5</w:t>
            </w:r>
            <w:r>
              <w:rPr>
                <w:rFonts w:hint="eastAsia" w:cs="Times New Roman"/>
                <w:b/>
                <w:bCs/>
                <w:i w:val="0"/>
                <w:iCs w:val="0"/>
                <w:color w:val="auto"/>
                <w:kern w:val="0"/>
                <w:sz w:val="18"/>
                <w:szCs w:val="18"/>
                <w:u w:val="none"/>
                <w:lang w:val="en-US" w:eastAsia="zh-CN" w:bidi="ar"/>
              </w:rPr>
              <w:t>20.75</w:t>
            </w:r>
          </w:p>
        </w:tc>
        <w:tc>
          <w:tcPr>
            <w:tcW w:w="104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400</w:t>
            </w:r>
          </w:p>
        </w:tc>
        <w:tc>
          <w:tcPr>
            <w:tcW w:w="96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43%</w:t>
            </w:r>
          </w:p>
        </w:tc>
      </w:tr>
    </w:tbl>
    <w:p>
      <w:pPr>
        <w:tabs>
          <w:tab w:val="left" w:pos="3103"/>
        </w:tabs>
        <w:spacing w:before="156" w:beforeLines="50" w:after="156" w:afterLines="50"/>
        <w:jc w:val="left"/>
        <w:rPr>
          <w:rFonts w:eastAsia="方正黑体_GBK"/>
          <w:color w:val="auto"/>
          <w:sz w:val="32"/>
          <w:szCs w:val="32"/>
        </w:rPr>
      </w:pPr>
      <w:r>
        <w:rPr>
          <w:rFonts w:eastAsia="方正黑体_GBK"/>
          <w:color w:val="auto"/>
          <w:sz w:val="32"/>
          <w:szCs w:val="32"/>
        </w:rPr>
        <w:t>七、保障措施</w:t>
      </w:r>
      <w:bookmarkEnd w:id="216"/>
      <w:bookmarkEnd w:id="258"/>
    </w:p>
    <w:p>
      <w:pPr>
        <w:spacing w:before="120" w:after="120"/>
        <w:ind w:firstLine="643" w:firstLineChars="200"/>
        <w:rPr>
          <w:rFonts w:eastAsia="方正楷体_GBK"/>
          <w:b/>
          <w:bCs/>
          <w:color w:val="auto"/>
          <w:sz w:val="32"/>
          <w:szCs w:val="32"/>
        </w:rPr>
      </w:pPr>
      <w:bookmarkStart w:id="259" w:name="_Toc11895"/>
      <w:bookmarkStart w:id="260" w:name="_Toc375"/>
      <w:bookmarkStart w:id="261" w:name="_Toc26129"/>
      <w:r>
        <w:rPr>
          <w:rFonts w:eastAsia="方正楷体_GBK"/>
          <w:b/>
          <w:bCs/>
          <w:color w:val="auto"/>
          <w:sz w:val="32"/>
          <w:szCs w:val="32"/>
        </w:rPr>
        <w:t>（一）</w:t>
      </w:r>
      <w:bookmarkEnd w:id="259"/>
      <w:r>
        <w:rPr>
          <w:rFonts w:eastAsia="方正楷体_GBK"/>
          <w:b/>
          <w:bCs/>
          <w:color w:val="auto"/>
          <w:sz w:val="32"/>
          <w:szCs w:val="32"/>
        </w:rPr>
        <w:t>加强领导，落实责任</w:t>
      </w:r>
      <w:bookmarkEnd w:id="260"/>
      <w:bookmarkEnd w:id="261"/>
    </w:p>
    <w:p>
      <w:pPr>
        <w:ind w:firstLine="656"/>
        <w:rPr>
          <w:rFonts w:eastAsia="方正仿宋_GBK"/>
          <w:color w:val="auto"/>
          <w:kern w:val="0"/>
          <w:sz w:val="32"/>
          <w:szCs w:val="32"/>
        </w:rPr>
      </w:pPr>
      <w:r>
        <w:rPr>
          <w:rFonts w:eastAsia="方正仿宋_GBK"/>
          <w:bCs/>
          <w:color w:val="auto"/>
          <w:sz w:val="32"/>
          <w:szCs w:val="32"/>
        </w:rPr>
        <w:t>为切实加强对项目实施工作的领导，成立玉溪市红塔区2023年农作物秸秆综合利用重点县建设项目工作领导小组和技术指导组，领导小组人员如下：</w:t>
      </w:r>
    </w:p>
    <w:p>
      <w:pPr>
        <w:pStyle w:val="2"/>
        <w:spacing w:after="0"/>
        <w:ind w:firstLine="640" w:firstLineChars="200"/>
        <w:rPr>
          <w:rFonts w:eastAsia="方正仿宋_GBK"/>
          <w:color w:val="auto"/>
          <w:sz w:val="32"/>
          <w:szCs w:val="32"/>
        </w:rPr>
      </w:pPr>
      <w:r>
        <w:rPr>
          <w:rFonts w:eastAsia="方正仿宋_GBK"/>
          <w:color w:val="auto"/>
          <w:sz w:val="32"/>
          <w:szCs w:val="32"/>
        </w:rPr>
        <w:t>组  长：</w:t>
      </w:r>
      <w:r>
        <w:rPr>
          <w:rFonts w:hint="eastAsia" w:eastAsia="方正仿宋_GBK"/>
          <w:color w:val="auto"/>
          <w:sz w:val="32"/>
          <w:szCs w:val="32"/>
          <w:lang w:val="en-US" w:eastAsia="zh-CN"/>
        </w:rPr>
        <w:t>童进彪</w:t>
      </w:r>
      <w:r>
        <w:rPr>
          <w:rFonts w:eastAsia="方正仿宋_GBK"/>
          <w:color w:val="auto"/>
          <w:sz w:val="32"/>
          <w:szCs w:val="32"/>
        </w:rPr>
        <w:t xml:space="preserve">  区农业农村局局长</w:t>
      </w:r>
    </w:p>
    <w:p>
      <w:pPr>
        <w:pStyle w:val="2"/>
        <w:spacing w:after="0"/>
        <w:ind w:firstLine="640" w:firstLineChars="200"/>
        <w:rPr>
          <w:rFonts w:eastAsia="方正仿宋_GBK"/>
          <w:color w:val="auto"/>
          <w:sz w:val="32"/>
          <w:szCs w:val="32"/>
        </w:rPr>
      </w:pPr>
      <w:r>
        <w:rPr>
          <w:rFonts w:eastAsia="方正仿宋_GBK"/>
          <w:color w:val="auto"/>
          <w:sz w:val="32"/>
          <w:szCs w:val="32"/>
        </w:rPr>
        <w:t>副组长：姚红松  区农业农村综合开发服务中心主任</w:t>
      </w:r>
    </w:p>
    <w:p>
      <w:pPr>
        <w:pStyle w:val="2"/>
        <w:spacing w:after="0"/>
        <w:ind w:firstLine="640" w:firstLineChars="200"/>
        <w:rPr>
          <w:rFonts w:eastAsia="方正仿宋_GBK"/>
          <w:color w:val="auto"/>
          <w:sz w:val="32"/>
          <w:szCs w:val="32"/>
        </w:rPr>
      </w:pPr>
      <w:r>
        <w:rPr>
          <w:rFonts w:eastAsia="方正仿宋_GBK"/>
          <w:color w:val="auto"/>
          <w:sz w:val="32"/>
          <w:szCs w:val="32"/>
        </w:rPr>
        <w:t>成  员：普海莲  区农业农村综合开发服务中心副主任</w:t>
      </w:r>
    </w:p>
    <w:p>
      <w:pPr>
        <w:pStyle w:val="5"/>
        <w:ind w:firstLine="1920" w:firstLineChars="600"/>
        <w:rPr>
          <w:rFonts w:eastAsia="方正仿宋_GBK"/>
          <w:color w:val="auto"/>
          <w:spacing w:val="-20"/>
          <w:sz w:val="32"/>
          <w:szCs w:val="32"/>
        </w:rPr>
      </w:pPr>
      <w:r>
        <w:rPr>
          <w:rFonts w:eastAsia="方正仿宋_GBK"/>
          <w:color w:val="auto"/>
          <w:sz w:val="32"/>
          <w:szCs w:val="32"/>
        </w:rPr>
        <w:t xml:space="preserve">郭凤鸣 </w:t>
      </w:r>
      <w:r>
        <w:rPr>
          <w:rFonts w:eastAsia="方正仿宋_GBK"/>
          <w:color w:val="auto"/>
          <w:sz w:val="24"/>
        </w:rPr>
        <w:t xml:space="preserve"> </w:t>
      </w:r>
      <w:r>
        <w:rPr>
          <w:rFonts w:eastAsia="方正仿宋_GBK"/>
          <w:color w:val="auto"/>
          <w:sz w:val="32"/>
          <w:szCs w:val="32"/>
        </w:rPr>
        <w:t>区农业农村综合开发服务中心副主任</w:t>
      </w:r>
    </w:p>
    <w:p>
      <w:pPr>
        <w:pStyle w:val="5"/>
        <w:ind w:left="1281" w:firstLine="640"/>
        <w:rPr>
          <w:rFonts w:eastAsia="方正仿宋_GBK"/>
          <w:color w:val="auto"/>
          <w:sz w:val="32"/>
          <w:szCs w:val="32"/>
        </w:rPr>
      </w:pPr>
      <w:r>
        <w:rPr>
          <w:rFonts w:eastAsia="方正仿宋_GBK"/>
          <w:color w:val="auto"/>
          <w:sz w:val="32"/>
          <w:szCs w:val="32"/>
        </w:rPr>
        <w:t>吴国斌  区农业农村综合开发服务中心</w:t>
      </w:r>
    </w:p>
    <w:p>
      <w:pPr>
        <w:pStyle w:val="5"/>
        <w:ind w:firstLine="1960" w:firstLineChars="700"/>
        <w:rPr>
          <w:rFonts w:eastAsia="方正仿宋_GBK"/>
          <w:color w:val="auto"/>
          <w:sz w:val="32"/>
          <w:szCs w:val="32"/>
        </w:rPr>
      </w:pPr>
      <w:r>
        <w:rPr>
          <w:rFonts w:eastAsia="方正仿宋_GBK"/>
          <w:color w:val="auto"/>
          <w:spacing w:val="-20"/>
          <w:sz w:val="32"/>
          <w:szCs w:val="32"/>
        </w:rPr>
        <w:t xml:space="preserve">杨   云   </w:t>
      </w:r>
      <w:r>
        <w:rPr>
          <w:rFonts w:eastAsia="方正仿宋_GBK"/>
          <w:color w:val="auto"/>
          <w:sz w:val="32"/>
          <w:szCs w:val="32"/>
        </w:rPr>
        <w:t>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陈  俊  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张开敏  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肖  琳  区农业农村综合开发服务中心</w:t>
      </w:r>
    </w:p>
    <w:p>
      <w:pPr>
        <w:pStyle w:val="5"/>
        <w:ind w:left="1280" w:firstLine="640"/>
        <w:rPr>
          <w:rFonts w:eastAsia="方正仿宋_GBK"/>
          <w:color w:val="auto"/>
          <w:sz w:val="32"/>
          <w:szCs w:val="32"/>
        </w:rPr>
      </w:pPr>
      <w:r>
        <w:rPr>
          <w:rFonts w:eastAsia="方正仿宋_GBK"/>
          <w:color w:val="auto"/>
          <w:sz w:val="32"/>
          <w:szCs w:val="32"/>
        </w:rPr>
        <w:t>普方学  区农业农村综合开发服务中心</w:t>
      </w:r>
    </w:p>
    <w:p>
      <w:pPr>
        <w:pStyle w:val="2"/>
        <w:spacing w:after="0"/>
        <w:ind w:firstLine="640" w:firstLineChars="200"/>
        <w:rPr>
          <w:rFonts w:eastAsia="方正仿宋_GBK"/>
          <w:color w:val="auto"/>
          <w:sz w:val="32"/>
          <w:szCs w:val="32"/>
        </w:rPr>
      </w:pPr>
      <w:r>
        <w:rPr>
          <w:rFonts w:eastAsia="方正仿宋_GBK"/>
          <w:color w:val="auto"/>
          <w:sz w:val="32"/>
          <w:szCs w:val="32"/>
        </w:rPr>
        <w:t>领导小组负责统筹协调项目实施工作，研究确定项目实施重点内容，协调解决工作落实中的问题。领导小组下设公室，由姚红松兼任办公室主任，负责领导小组日常工作，抓好领导小组议定事项的贯彻落实，协调、督促、组织各项工作任务。</w:t>
      </w:r>
    </w:p>
    <w:p>
      <w:pPr>
        <w:pStyle w:val="2"/>
        <w:spacing w:after="0"/>
        <w:ind w:firstLine="640" w:firstLineChars="200"/>
        <w:rPr>
          <w:rFonts w:eastAsia="方正仿宋_GBK"/>
          <w:bCs/>
          <w:color w:val="auto"/>
          <w:sz w:val="32"/>
          <w:szCs w:val="32"/>
        </w:rPr>
      </w:pPr>
      <w:r>
        <w:rPr>
          <w:rFonts w:eastAsia="方正仿宋_GBK"/>
          <w:bCs/>
          <w:color w:val="auto"/>
          <w:sz w:val="32"/>
          <w:szCs w:val="32"/>
        </w:rPr>
        <w:t>技术指导组人员如下：</w:t>
      </w:r>
    </w:p>
    <w:p>
      <w:pPr>
        <w:pStyle w:val="2"/>
        <w:spacing w:after="0"/>
        <w:ind w:left="3198" w:leftChars="304" w:hanging="2560" w:hangingChars="800"/>
        <w:rPr>
          <w:rFonts w:eastAsia="方正仿宋_GBK"/>
          <w:color w:val="auto"/>
          <w:sz w:val="32"/>
          <w:szCs w:val="32"/>
        </w:rPr>
      </w:pPr>
      <w:r>
        <w:rPr>
          <w:rFonts w:eastAsia="方正仿宋_GBK"/>
          <w:color w:val="auto"/>
          <w:sz w:val="32"/>
          <w:szCs w:val="32"/>
        </w:rPr>
        <w:t>组  长：严  菘  云南省农村能源管理总站站长</w:t>
      </w:r>
    </w:p>
    <w:p>
      <w:pPr>
        <w:pStyle w:val="2"/>
        <w:spacing w:after="0"/>
        <w:ind w:firstLine="640" w:firstLineChars="200"/>
        <w:rPr>
          <w:rFonts w:eastAsia="方正仿宋_GBK"/>
          <w:color w:val="auto"/>
          <w:sz w:val="32"/>
          <w:szCs w:val="32"/>
        </w:rPr>
      </w:pPr>
      <w:r>
        <w:rPr>
          <w:rFonts w:eastAsia="方正仿宋_GBK"/>
          <w:color w:val="auto"/>
          <w:sz w:val="32"/>
          <w:szCs w:val="32"/>
        </w:rPr>
        <w:t>副组长：向  泰  云南师范大学能环学院党委副书记</w:t>
      </w:r>
    </w:p>
    <w:p>
      <w:pPr>
        <w:pStyle w:val="2"/>
        <w:spacing w:after="0"/>
        <w:ind w:left="3517" w:leftChars="913" w:hanging="1600" w:hangingChars="500"/>
        <w:rPr>
          <w:rFonts w:eastAsia="方正仿宋_GBK"/>
          <w:color w:val="auto"/>
          <w:sz w:val="32"/>
          <w:szCs w:val="32"/>
        </w:rPr>
      </w:pPr>
      <w:r>
        <w:rPr>
          <w:rFonts w:eastAsia="方正仿宋_GBK"/>
          <w:color w:val="auto"/>
          <w:sz w:val="32"/>
          <w:szCs w:val="32"/>
        </w:rPr>
        <w:t>曾维庆  玉溪市农业环境保护和农村能源工</w:t>
      </w:r>
    </w:p>
    <w:p>
      <w:pPr>
        <w:pStyle w:val="2"/>
        <w:spacing w:after="0"/>
        <w:ind w:left="3514" w:leftChars="1521" w:hanging="320" w:hangingChars="100"/>
        <w:rPr>
          <w:rFonts w:eastAsia="方正仿宋_GBK"/>
          <w:color w:val="auto"/>
          <w:sz w:val="32"/>
          <w:szCs w:val="32"/>
        </w:rPr>
      </w:pPr>
      <w:r>
        <w:rPr>
          <w:rFonts w:eastAsia="方正仿宋_GBK"/>
          <w:color w:val="auto"/>
          <w:sz w:val="32"/>
          <w:szCs w:val="32"/>
        </w:rPr>
        <w:t>作站站长</w:t>
      </w:r>
    </w:p>
    <w:p>
      <w:pPr>
        <w:pStyle w:val="2"/>
        <w:spacing w:after="0"/>
        <w:ind w:left="3198" w:leftChars="304" w:hanging="2560" w:hangingChars="800"/>
        <w:rPr>
          <w:rFonts w:eastAsia="方正仿宋_GBK"/>
          <w:color w:val="auto"/>
          <w:sz w:val="32"/>
          <w:szCs w:val="32"/>
        </w:rPr>
      </w:pPr>
      <w:r>
        <w:rPr>
          <w:rFonts w:eastAsia="方正仿宋_GBK"/>
          <w:color w:val="auto"/>
          <w:sz w:val="32"/>
          <w:szCs w:val="32"/>
        </w:rPr>
        <w:t>成  员：姚红松  区农业农村综合开发服务中心主任</w:t>
      </w:r>
    </w:p>
    <w:p>
      <w:pPr>
        <w:pStyle w:val="2"/>
        <w:spacing w:after="0"/>
        <w:ind w:firstLine="1920" w:firstLineChars="600"/>
        <w:rPr>
          <w:rFonts w:eastAsia="方正仿宋_GBK"/>
          <w:color w:val="auto"/>
          <w:sz w:val="32"/>
          <w:szCs w:val="32"/>
        </w:rPr>
      </w:pPr>
      <w:r>
        <w:rPr>
          <w:rFonts w:eastAsia="方正仿宋_GBK"/>
          <w:color w:val="auto"/>
          <w:sz w:val="32"/>
          <w:szCs w:val="32"/>
        </w:rPr>
        <w:t xml:space="preserve">普海莲 </w:t>
      </w:r>
      <w:r>
        <w:rPr>
          <w:rFonts w:eastAsia="方正仿宋_GBK"/>
          <w:color w:val="auto"/>
          <w:sz w:val="24"/>
        </w:rPr>
        <w:t xml:space="preserve"> </w:t>
      </w:r>
      <w:r>
        <w:rPr>
          <w:rFonts w:eastAsia="方正仿宋_GBK"/>
          <w:color w:val="auto"/>
          <w:sz w:val="32"/>
          <w:szCs w:val="32"/>
        </w:rPr>
        <w:t>区农业农村综合开发服务中心副主任</w:t>
      </w:r>
    </w:p>
    <w:p>
      <w:pPr>
        <w:pStyle w:val="2"/>
        <w:spacing w:after="0"/>
        <w:ind w:firstLine="1920" w:firstLineChars="600"/>
        <w:rPr>
          <w:rFonts w:eastAsia="方正仿宋_GBK"/>
          <w:color w:val="auto"/>
          <w:sz w:val="32"/>
          <w:szCs w:val="32"/>
        </w:rPr>
      </w:pPr>
      <w:r>
        <w:rPr>
          <w:rFonts w:eastAsia="方正仿宋_GBK"/>
          <w:color w:val="auto"/>
          <w:sz w:val="32"/>
          <w:szCs w:val="32"/>
        </w:rPr>
        <w:t>吴国斌  区农业农村综合开发服务中心</w:t>
      </w:r>
    </w:p>
    <w:p>
      <w:pPr>
        <w:pStyle w:val="5"/>
        <w:ind w:left="1280" w:firstLine="640"/>
        <w:rPr>
          <w:rFonts w:eastAsia="方正仿宋_GBK"/>
          <w:color w:val="auto"/>
          <w:sz w:val="32"/>
          <w:szCs w:val="32"/>
        </w:rPr>
      </w:pPr>
      <w:r>
        <w:rPr>
          <w:rFonts w:eastAsia="方正仿宋_GBK"/>
          <w:color w:val="auto"/>
          <w:sz w:val="32"/>
          <w:szCs w:val="32"/>
        </w:rPr>
        <w:t>普方学  区农业农村综合开发服务中心</w:t>
      </w:r>
    </w:p>
    <w:p>
      <w:pPr>
        <w:pStyle w:val="5"/>
        <w:ind w:left="1280" w:firstLine="640"/>
        <w:rPr>
          <w:rFonts w:eastAsia="方正仿宋_GBK"/>
          <w:color w:val="auto"/>
          <w:sz w:val="32"/>
          <w:szCs w:val="32"/>
        </w:rPr>
      </w:pPr>
      <w:r>
        <w:rPr>
          <w:rFonts w:eastAsia="方正仿宋_GBK"/>
          <w:color w:val="auto"/>
          <w:sz w:val="32"/>
          <w:szCs w:val="32"/>
        </w:rPr>
        <w:t>田  林  云南师范大学能环学院教授</w:t>
      </w:r>
    </w:p>
    <w:p>
      <w:pPr>
        <w:pStyle w:val="5"/>
        <w:ind w:left="1280" w:firstLine="640"/>
        <w:rPr>
          <w:rFonts w:eastAsia="方正仿宋_GBK"/>
          <w:color w:val="auto"/>
          <w:sz w:val="32"/>
          <w:szCs w:val="32"/>
        </w:rPr>
      </w:pPr>
      <w:r>
        <w:rPr>
          <w:rFonts w:eastAsia="方正仿宋_GBK"/>
          <w:color w:val="auto"/>
          <w:sz w:val="32"/>
          <w:szCs w:val="32"/>
        </w:rPr>
        <w:t>张  勇  云南师范大学能环学院教授</w:t>
      </w:r>
    </w:p>
    <w:p>
      <w:pPr>
        <w:pStyle w:val="5"/>
        <w:ind w:left="1280" w:firstLine="640"/>
        <w:rPr>
          <w:rFonts w:eastAsia="方正仿宋_GBK"/>
          <w:color w:val="auto"/>
          <w:sz w:val="32"/>
          <w:szCs w:val="32"/>
        </w:rPr>
      </w:pPr>
      <w:r>
        <w:rPr>
          <w:rFonts w:eastAsia="方正仿宋_GBK"/>
          <w:color w:val="auto"/>
          <w:sz w:val="32"/>
          <w:szCs w:val="32"/>
        </w:rPr>
        <w:t>王华斌  云南师范大学能环学院博士</w:t>
      </w:r>
    </w:p>
    <w:p>
      <w:pPr>
        <w:pStyle w:val="5"/>
        <w:ind w:firstLine="1920" w:firstLineChars="600"/>
        <w:rPr>
          <w:rFonts w:eastAsia="方正仿宋_GBK"/>
          <w:color w:val="auto"/>
          <w:sz w:val="32"/>
          <w:szCs w:val="32"/>
        </w:rPr>
      </w:pPr>
      <w:r>
        <w:rPr>
          <w:rFonts w:eastAsia="方正仿宋_GBK"/>
          <w:color w:val="auto"/>
          <w:sz w:val="32"/>
          <w:szCs w:val="32"/>
        </w:rPr>
        <w:t xml:space="preserve">郭凤鸣 </w:t>
      </w:r>
      <w:r>
        <w:rPr>
          <w:rFonts w:eastAsia="方正仿宋_GBK"/>
          <w:color w:val="auto"/>
          <w:sz w:val="24"/>
        </w:rPr>
        <w:t xml:space="preserve"> </w:t>
      </w:r>
      <w:r>
        <w:rPr>
          <w:rFonts w:eastAsia="方正仿宋_GBK"/>
          <w:color w:val="auto"/>
          <w:sz w:val="32"/>
          <w:szCs w:val="32"/>
        </w:rPr>
        <w:t>区农业农村综合开发服务中心副主任</w:t>
      </w:r>
    </w:p>
    <w:p>
      <w:pPr>
        <w:pStyle w:val="5"/>
        <w:ind w:firstLine="1960" w:firstLineChars="700"/>
        <w:rPr>
          <w:rFonts w:eastAsia="方正仿宋_GBK"/>
          <w:color w:val="auto"/>
          <w:sz w:val="32"/>
          <w:szCs w:val="32"/>
        </w:rPr>
      </w:pPr>
      <w:r>
        <w:rPr>
          <w:rFonts w:eastAsia="方正仿宋_GBK"/>
          <w:color w:val="auto"/>
          <w:spacing w:val="-20"/>
          <w:sz w:val="32"/>
          <w:szCs w:val="32"/>
        </w:rPr>
        <w:t xml:space="preserve">杨   云   </w:t>
      </w:r>
      <w:r>
        <w:rPr>
          <w:rFonts w:eastAsia="方正仿宋_GBK"/>
          <w:color w:val="auto"/>
          <w:sz w:val="32"/>
          <w:szCs w:val="32"/>
        </w:rPr>
        <w:t>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陈  俊  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张开敏  区农业农村综合开发服务中心</w:t>
      </w:r>
    </w:p>
    <w:p>
      <w:pPr>
        <w:pStyle w:val="5"/>
        <w:ind w:firstLine="640"/>
        <w:rPr>
          <w:rFonts w:eastAsia="方正仿宋_GBK"/>
          <w:color w:val="auto"/>
          <w:sz w:val="32"/>
          <w:szCs w:val="32"/>
        </w:rPr>
      </w:pPr>
      <w:r>
        <w:rPr>
          <w:rFonts w:eastAsia="方正仿宋_GBK"/>
          <w:color w:val="auto"/>
          <w:sz w:val="32"/>
          <w:szCs w:val="32"/>
        </w:rPr>
        <w:t xml:space="preserve">        肖  琳  区农业农村综合开发服务中心</w:t>
      </w:r>
    </w:p>
    <w:p>
      <w:pPr>
        <w:pStyle w:val="5"/>
        <w:ind w:left="1280" w:firstLine="640"/>
        <w:rPr>
          <w:rFonts w:hint="eastAsia" w:eastAsia="方正仿宋_GBK"/>
          <w:color w:val="auto"/>
          <w:sz w:val="32"/>
          <w:szCs w:val="32"/>
          <w:lang w:val="en-US" w:eastAsia="zh-CN"/>
        </w:rPr>
      </w:pPr>
      <w:r>
        <w:rPr>
          <w:rFonts w:hint="eastAsia" w:eastAsia="方正仿宋_GBK"/>
          <w:color w:val="auto"/>
          <w:sz w:val="32"/>
          <w:szCs w:val="32"/>
          <w:lang w:val="en-US" w:eastAsia="zh-CN"/>
        </w:rPr>
        <w:t>马利红  区农业机械监督管理站</w:t>
      </w:r>
    </w:p>
    <w:p>
      <w:pPr>
        <w:pStyle w:val="5"/>
        <w:ind w:left="1280" w:firstLine="640"/>
        <w:rPr>
          <w:rFonts w:hint="default" w:eastAsia="方正仿宋_GBK"/>
          <w:color w:val="auto"/>
          <w:sz w:val="32"/>
          <w:szCs w:val="32"/>
          <w:lang w:val="en-US" w:eastAsia="zh-CN"/>
        </w:rPr>
      </w:pPr>
      <w:r>
        <w:rPr>
          <w:rFonts w:hint="eastAsia" w:eastAsia="方正仿宋_GBK"/>
          <w:color w:val="auto"/>
          <w:sz w:val="32"/>
          <w:szCs w:val="32"/>
          <w:lang w:val="en-US" w:eastAsia="zh-CN"/>
        </w:rPr>
        <w:t>普芳芳  区农业机械监督管理站</w:t>
      </w:r>
    </w:p>
    <w:p>
      <w:pPr>
        <w:pStyle w:val="5"/>
        <w:ind w:firstLine="1920" w:firstLineChars="600"/>
        <w:rPr>
          <w:rFonts w:eastAsia="方正仿宋_GBK"/>
          <w:color w:val="auto"/>
          <w:sz w:val="32"/>
          <w:szCs w:val="32"/>
        </w:rPr>
      </w:pPr>
      <w:r>
        <w:rPr>
          <w:rFonts w:eastAsia="方正仿宋_GBK"/>
          <w:color w:val="auto"/>
          <w:sz w:val="32"/>
          <w:szCs w:val="32"/>
        </w:rPr>
        <w:t>刘青松  云南师范大学能环学院硕士</w:t>
      </w:r>
    </w:p>
    <w:p>
      <w:pPr>
        <w:pStyle w:val="5"/>
        <w:ind w:firstLine="1920" w:firstLineChars="600"/>
        <w:rPr>
          <w:rFonts w:eastAsia="方正仿宋_GBK"/>
          <w:color w:val="auto"/>
          <w:sz w:val="32"/>
          <w:szCs w:val="32"/>
        </w:rPr>
      </w:pPr>
      <w:r>
        <w:rPr>
          <w:rFonts w:eastAsia="方正仿宋_GBK"/>
          <w:color w:val="auto"/>
          <w:sz w:val="32"/>
          <w:szCs w:val="32"/>
        </w:rPr>
        <w:t>张炳薪  云南师范大学能环学院硕士</w:t>
      </w:r>
    </w:p>
    <w:p>
      <w:pPr>
        <w:pStyle w:val="2"/>
        <w:spacing w:after="0"/>
        <w:ind w:firstLine="640" w:firstLineChars="200"/>
        <w:rPr>
          <w:rFonts w:eastAsia="方正仿宋_GBK"/>
          <w:color w:val="auto"/>
          <w:sz w:val="32"/>
          <w:szCs w:val="32"/>
        </w:rPr>
      </w:pPr>
      <w:r>
        <w:rPr>
          <w:rFonts w:eastAsia="方正仿宋_GBK"/>
          <w:color w:val="auto"/>
          <w:sz w:val="32"/>
          <w:szCs w:val="32"/>
        </w:rPr>
        <w:t>技术指导组下设办公室在区农业农村综合开发服务中心，由姚红松兼任办公室主任，负责农作物秸秆综合利用技术的宣传、培训、指导工作，研究解决项目实施过程中的各种技术问题。</w:t>
      </w:r>
    </w:p>
    <w:p>
      <w:pPr>
        <w:spacing w:before="120" w:after="120"/>
        <w:ind w:firstLine="643" w:firstLineChars="200"/>
        <w:rPr>
          <w:rFonts w:eastAsia="方正楷体_GBK"/>
          <w:b/>
          <w:bCs/>
          <w:color w:val="auto"/>
          <w:sz w:val="32"/>
          <w:szCs w:val="32"/>
        </w:rPr>
      </w:pPr>
      <w:bookmarkStart w:id="262" w:name="_Toc18006"/>
      <w:bookmarkStart w:id="263" w:name="_Toc18408"/>
      <w:r>
        <w:rPr>
          <w:rFonts w:eastAsia="方正楷体_GBK"/>
          <w:b/>
          <w:bCs/>
          <w:color w:val="auto"/>
          <w:sz w:val="32"/>
          <w:szCs w:val="32"/>
        </w:rPr>
        <w:t>（二）制定方案，完善台账</w:t>
      </w:r>
      <w:bookmarkEnd w:id="262"/>
      <w:bookmarkEnd w:id="263"/>
    </w:p>
    <w:p>
      <w:pPr>
        <w:ind w:firstLine="640" w:firstLineChars="200"/>
        <w:rPr>
          <w:rFonts w:eastAsia="方正仿宋_GBK"/>
          <w:color w:val="auto"/>
          <w:kern w:val="0"/>
          <w:sz w:val="32"/>
          <w:szCs w:val="32"/>
        </w:rPr>
      </w:pPr>
      <w:r>
        <w:rPr>
          <w:rFonts w:eastAsia="方正仿宋_GBK"/>
          <w:color w:val="auto"/>
          <w:kern w:val="0"/>
          <w:sz w:val="32"/>
          <w:szCs w:val="32"/>
        </w:rPr>
        <w:t>指导编制2023年秸秆综合利用重点县建设项目实施方案，严格按照实施方案推进全区秸秆综合利用工作，加快有关项目的实施，及时在项目实施过程中进行指导，确保年度目标任务的实现。完善秸秆产生与利用建设调查标准与方法，健全全区秸秆资源数据平台，进一步摸清秸秆资源底数，掌握利用情况，为政府制定秸秆综合利用政策、规划布局、产业发展、秸秆禁烧等提供支撑。</w:t>
      </w:r>
    </w:p>
    <w:p>
      <w:pPr>
        <w:spacing w:before="120" w:after="120"/>
        <w:ind w:firstLine="643" w:firstLineChars="200"/>
        <w:rPr>
          <w:rFonts w:eastAsia="方正楷体_GBK"/>
          <w:b/>
          <w:bCs/>
          <w:color w:val="auto"/>
          <w:sz w:val="32"/>
          <w:szCs w:val="32"/>
        </w:rPr>
      </w:pPr>
      <w:bookmarkStart w:id="264" w:name="_Toc3357"/>
      <w:bookmarkStart w:id="265" w:name="_Toc1196"/>
      <w:bookmarkStart w:id="266" w:name="_Toc19326"/>
      <w:r>
        <w:rPr>
          <w:rFonts w:eastAsia="方正楷体_GBK"/>
          <w:b/>
          <w:bCs/>
          <w:color w:val="auto"/>
          <w:sz w:val="32"/>
          <w:szCs w:val="32"/>
        </w:rPr>
        <w:t>（三）加大投入，扶持发展</w:t>
      </w:r>
      <w:bookmarkEnd w:id="264"/>
      <w:bookmarkEnd w:id="265"/>
      <w:bookmarkEnd w:id="266"/>
    </w:p>
    <w:p>
      <w:pPr>
        <w:ind w:firstLine="640" w:firstLineChars="200"/>
        <w:rPr>
          <w:rFonts w:eastAsia="方正仿宋_GBK"/>
          <w:color w:val="auto"/>
          <w:kern w:val="0"/>
          <w:sz w:val="32"/>
          <w:szCs w:val="32"/>
        </w:rPr>
      </w:pPr>
      <w:r>
        <w:rPr>
          <w:rFonts w:eastAsia="方正仿宋_GBK"/>
          <w:color w:val="auto"/>
          <w:kern w:val="0"/>
          <w:sz w:val="32"/>
          <w:szCs w:val="32"/>
        </w:rPr>
        <w:t>积极制定出台相应激励、引导政策，完善落实有利于秸秆综合利用的扶持政策，吸引关联资金把秸秆综合利用建设与化肥减量增效行动、种植结构调整、农业面源污染控制、美丽乡村建设等政策整合实施、建立有效的收储运模式。统筹各方面资金加大秸秆有机肥、秸秆还田、秸秆收储运补贴力度。</w:t>
      </w:r>
    </w:p>
    <w:p>
      <w:pPr>
        <w:spacing w:before="120" w:after="120"/>
        <w:ind w:firstLine="643" w:firstLineChars="200"/>
        <w:rPr>
          <w:rFonts w:eastAsia="方正楷体_GBK"/>
          <w:b/>
          <w:bCs/>
          <w:color w:val="auto"/>
          <w:sz w:val="32"/>
          <w:szCs w:val="32"/>
        </w:rPr>
      </w:pPr>
      <w:bookmarkStart w:id="267" w:name="_Toc3431"/>
      <w:bookmarkStart w:id="268" w:name="_Toc9585"/>
      <w:bookmarkStart w:id="269" w:name="_Toc16881"/>
      <w:r>
        <w:rPr>
          <w:rFonts w:eastAsia="方正楷体_GBK"/>
          <w:b/>
          <w:bCs/>
          <w:color w:val="auto"/>
          <w:sz w:val="32"/>
          <w:szCs w:val="32"/>
        </w:rPr>
        <w:t>（四）分区规划，实现禁烧</w:t>
      </w:r>
      <w:bookmarkEnd w:id="267"/>
    </w:p>
    <w:p>
      <w:pPr>
        <w:ind w:firstLine="640" w:firstLineChars="200"/>
        <w:rPr>
          <w:rFonts w:eastAsia="方正仿宋_GBK"/>
          <w:color w:val="auto"/>
          <w:kern w:val="0"/>
          <w:sz w:val="32"/>
          <w:szCs w:val="32"/>
        </w:rPr>
      </w:pPr>
      <w:r>
        <w:rPr>
          <w:rFonts w:hint="eastAsia" w:eastAsia="方正仿宋_GBK"/>
          <w:color w:val="auto"/>
          <w:kern w:val="0"/>
          <w:sz w:val="32"/>
          <w:szCs w:val="32"/>
          <w:lang w:val="en-US" w:eastAsia="zh-CN"/>
        </w:rPr>
        <w:t>全面贯彻落实《中华人民共和国</w:t>
      </w:r>
      <w:r>
        <w:rPr>
          <w:rFonts w:eastAsia="方正仿宋_GBK"/>
          <w:color w:val="auto"/>
          <w:kern w:val="0"/>
          <w:sz w:val="32"/>
          <w:szCs w:val="32"/>
        </w:rPr>
        <w:t>大气污染</w:t>
      </w:r>
      <w:r>
        <w:rPr>
          <w:rFonts w:hint="eastAsia" w:eastAsia="方正仿宋_GBK"/>
          <w:color w:val="auto"/>
          <w:kern w:val="0"/>
          <w:sz w:val="32"/>
          <w:szCs w:val="32"/>
          <w:lang w:val="en-US" w:eastAsia="zh-CN"/>
        </w:rPr>
        <w:t>防治</w:t>
      </w:r>
      <w:r>
        <w:rPr>
          <w:rFonts w:eastAsia="方正仿宋_GBK"/>
          <w:color w:val="auto"/>
          <w:kern w:val="0"/>
          <w:sz w:val="32"/>
          <w:szCs w:val="32"/>
        </w:rPr>
        <w:t>法</w:t>
      </w:r>
      <w:r>
        <w:rPr>
          <w:rFonts w:hint="eastAsia" w:eastAsia="方正仿宋_GBK"/>
          <w:color w:val="auto"/>
          <w:kern w:val="0"/>
          <w:sz w:val="32"/>
          <w:szCs w:val="32"/>
          <w:lang w:val="en-US" w:eastAsia="zh-CN"/>
        </w:rPr>
        <w:t>》，在红塔区中心城区，以及风景名胜区、林地周边禁止焚烧秸秆。按照“属地管理”原则，压实各乡（街道）监管责任，实行网格化管理。进一步加大宣传引导力度，推进秸秆资源化利用，解决秸秆废弃和焚烧带来的环境污染问题。</w:t>
      </w:r>
    </w:p>
    <w:p>
      <w:pPr>
        <w:spacing w:before="120" w:after="120"/>
        <w:ind w:firstLine="643" w:firstLineChars="200"/>
        <w:rPr>
          <w:rFonts w:eastAsia="方正楷体_GBK"/>
          <w:b/>
          <w:bCs/>
          <w:color w:val="auto"/>
          <w:sz w:val="32"/>
          <w:szCs w:val="32"/>
        </w:rPr>
      </w:pPr>
      <w:bookmarkStart w:id="270" w:name="_Toc17520"/>
      <w:r>
        <w:rPr>
          <w:rFonts w:eastAsia="方正楷体_GBK"/>
          <w:b/>
          <w:bCs/>
          <w:color w:val="auto"/>
          <w:sz w:val="32"/>
          <w:szCs w:val="32"/>
        </w:rPr>
        <w:t>（五）加强监督，严格考核</w:t>
      </w:r>
      <w:bookmarkEnd w:id="268"/>
      <w:bookmarkEnd w:id="269"/>
      <w:bookmarkEnd w:id="270"/>
    </w:p>
    <w:p>
      <w:pPr>
        <w:ind w:firstLine="640" w:firstLineChars="200"/>
        <w:rPr>
          <w:rFonts w:hint="default" w:eastAsia="方正仿宋_GBK"/>
          <w:color w:val="auto"/>
          <w:kern w:val="0"/>
          <w:sz w:val="32"/>
          <w:szCs w:val="32"/>
          <w:lang w:val="en-US" w:eastAsia="zh-CN"/>
        </w:rPr>
      </w:pPr>
      <w:r>
        <w:rPr>
          <w:rFonts w:eastAsia="方正仿宋_GBK"/>
          <w:color w:val="auto"/>
          <w:kern w:val="0"/>
          <w:sz w:val="32"/>
          <w:szCs w:val="32"/>
        </w:rPr>
        <w:t>项目实施过程中，强化项目监督管理，跟踪调度，确保项目按计划顺利实施。做好秸秆数据台账以及秸秆禁烧台账，注重收集整理项目工作档案材料，为项目验收提供依据；项目实施结束后对基本情况、主要做法、取得的成效等进行认真总结，形成总结报告。严格的检查制度，实行定期检查和集中检查相结合。对秸秆综合利用工作进行目标管理和年度考核，完善工作措施，分解任务目标，明确责任要求，确保各项工作落到实处。</w:t>
      </w:r>
      <w:r>
        <w:rPr>
          <w:rFonts w:hint="eastAsia" w:eastAsia="方正仿宋_GBK"/>
          <w:color w:val="auto"/>
          <w:kern w:val="0"/>
          <w:sz w:val="32"/>
          <w:szCs w:val="32"/>
          <w:lang w:val="en-US" w:eastAsia="zh-CN"/>
        </w:rPr>
        <w:t>如个别分项工作因故未实施拨付，由红塔区农业农村局研究后用于加大其他分项投入。</w:t>
      </w:r>
    </w:p>
    <w:p>
      <w:pPr>
        <w:spacing w:before="120" w:after="120"/>
        <w:ind w:firstLine="643" w:firstLineChars="200"/>
        <w:rPr>
          <w:rFonts w:eastAsia="方正楷体_GBK"/>
          <w:b/>
          <w:bCs/>
          <w:color w:val="auto"/>
          <w:sz w:val="32"/>
          <w:szCs w:val="32"/>
        </w:rPr>
      </w:pPr>
      <w:bookmarkStart w:id="271" w:name="_Toc2343"/>
      <w:bookmarkStart w:id="272" w:name="_Toc5717"/>
      <w:bookmarkStart w:id="273" w:name="_Toc3857"/>
      <w:r>
        <w:rPr>
          <w:rFonts w:eastAsia="方正楷体_GBK"/>
          <w:b/>
          <w:bCs/>
          <w:color w:val="auto"/>
          <w:sz w:val="32"/>
          <w:szCs w:val="32"/>
        </w:rPr>
        <w:t>（六）加强宣传，积极引导</w:t>
      </w:r>
      <w:bookmarkEnd w:id="271"/>
      <w:bookmarkEnd w:id="272"/>
      <w:bookmarkEnd w:id="273"/>
    </w:p>
    <w:p>
      <w:pPr>
        <w:ind w:firstLine="640" w:firstLineChars="200"/>
        <w:rPr>
          <w:rFonts w:eastAsia="方正仿宋_GBK"/>
          <w:color w:val="auto"/>
          <w:kern w:val="0"/>
          <w:sz w:val="32"/>
          <w:szCs w:val="32"/>
        </w:rPr>
      </w:pPr>
      <w:r>
        <w:rPr>
          <w:rFonts w:eastAsia="方正仿宋_GBK"/>
          <w:color w:val="auto"/>
          <w:kern w:val="0"/>
          <w:sz w:val="32"/>
          <w:szCs w:val="32"/>
        </w:rPr>
        <w:t>充分利用广播、电视、报刊等传统媒体以及网站、微信、微视频等新媒体，多角度、全方位进行宣传推广，分层次、分环节、分对象组织开展经验交流和现场观摩。用技术指导群众，用示范带动群众，用效益吸引群众，逐步提高新型农业经营主体和农户有效利用秸秆的自觉性和主动性，引领提升各地秸秆综合利用水平。</w:t>
      </w:r>
    </w:p>
    <w:p>
      <w:pPr>
        <w:tabs>
          <w:tab w:val="left" w:pos="3103"/>
        </w:tabs>
        <w:spacing w:before="156" w:beforeLines="50" w:after="156" w:afterLines="50"/>
        <w:jc w:val="left"/>
        <w:rPr>
          <w:rFonts w:hint="eastAsia" w:eastAsia="方正黑体_GBK"/>
          <w:color w:val="auto"/>
          <w:sz w:val="32"/>
          <w:szCs w:val="32"/>
          <w:lang w:val="en-US" w:eastAsia="zh-CN"/>
        </w:rPr>
      </w:pPr>
      <w:bookmarkStart w:id="274" w:name="_Toc15257"/>
      <w:bookmarkStart w:id="275" w:name="_Toc26952"/>
      <w:r>
        <w:rPr>
          <w:rFonts w:eastAsia="方正黑体_GBK"/>
          <w:color w:val="auto"/>
          <w:sz w:val="32"/>
          <w:szCs w:val="32"/>
        </w:rPr>
        <w:t>八、效益</w:t>
      </w:r>
      <w:bookmarkEnd w:id="274"/>
      <w:bookmarkEnd w:id="275"/>
      <w:r>
        <w:rPr>
          <w:rFonts w:hint="eastAsia" w:eastAsia="方正黑体_GBK"/>
          <w:color w:val="auto"/>
          <w:sz w:val="32"/>
          <w:szCs w:val="32"/>
          <w:lang w:val="en-US" w:eastAsia="zh-CN"/>
        </w:rPr>
        <w:t>分析</w:t>
      </w:r>
    </w:p>
    <w:p>
      <w:pPr>
        <w:spacing w:before="120" w:after="120"/>
        <w:ind w:firstLine="643" w:firstLineChars="200"/>
        <w:rPr>
          <w:rFonts w:eastAsia="方正楷体_GBK"/>
          <w:b/>
          <w:bCs/>
          <w:color w:val="auto"/>
          <w:sz w:val="32"/>
          <w:szCs w:val="32"/>
        </w:rPr>
      </w:pPr>
      <w:bookmarkStart w:id="276" w:name="_Toc18249"/>
      <w:bookmarkStart w:id="277" w:name="_Toc15141"/>
      <w:bookmarkStart w:id="278" w:name="_Toc24211"/>
      <w:bookmarkStart w:id="279" w:name="_Toc4046"/>
      <w:r>
        <w:rPr>
          <w:rFonts w:eastAsia="方正楷体_GBK"/>
          <w:b/>
          <w:bCs/>
          <w:color w:val="auto"/>
          <w:sz w:val="32"/>
          <w:szCs w:val="32"/>
        </w:rPr>
        <w:t>（一）</w:t>
      </w:r>
      <w:bookmarkEnd w:id="276"/>
      <w:bookmarkEnd w:id="277"/>
      <w:bookmarkStart w:id="280" w:name="_Toc4876"/>
      <w:bookmarkStart w:id="281" w:name="_Toc28134"/>
      <w:r>
        <w:rPr>
          <w:rFonts w:eastAsia="方正楷体_GBK"/>
          <w:b/>
          <w:bCs/>
          <w:color w:val="auto"/>
          <w:sz w:val="32"/>
          <w:szCs w:val="32"/>
        </w:rPr>
        <w:t>经济效益</w:t>
      </w:r>
      <w:bookmarkEnd w:id="278"/>
      <w:bookmarkEnd w:id="279"/>
      <w:bookmarkEnd w:id="280"/>
      <w:bookmarkEnd w:id="281"/>
    </w:p>
    <w:p>
      <w:pPr>
        <w:widowControl/>
        <w:ind w:firstLine="640" w:firstLineChars="200"/>
        <w:rPr>
          <w:rFonts w:eastAsia="方正仿宋_GBK"/>
          <w:color w:val="auto"/>
          <w:sz w:val="32"/>
          <w:szCs w:val="32"/>
        </w:rPr>
      </w:pPr>
      <w:r>
        <w:rPr>
          <w:rFonts w:eastAsia="方正仿宋_GBK"/>
          <w:color w:val="auto"/>
          <w:sz w:val="32"/>
          <w:szCs w:val="32"/>
        </w:rPr>
        <w:t>通过实施秸秆资源化综合利用，预计2023秸秆资源化利用保持在92%以上高位运行，新增经济效益400万元左右。</w:t>
      </w:r>
      <w:r>
        <w:rPr>
          <w:rFonts w:hint="eastAsia" w:eastAsia="方正仿宋_GBK"/>
          <w:color w:val="auto"/>
          <w:sz w:val="32"/>
          <w:szCs w:val="32"/>
        </w:rPr>
        <w:t>“</w:t>
      </w:r>
      <w:r>
        <w:rPr>
          <w:rFonts w:eastAsia="方正仿宋_GBK"/>
          <w:color w:val="auto"/>
          <w:sz w:val="32"/>
          <w:szCs w:val="32"/>
        </w:rPr>
        <w:t>1+1+X</w:t>
      </w:r>
      <w:r>
        <w:rPr>
          <w:rFonts w:hint="eastAsia" w:eastAsia="方正仿宋_GBK"/>
          <w:color w:val="auto"/>
          <w:sz w:val="32"/>
          <w:szCs w:val="32"/>
        </w:rPr>
        <w:t>”</w:t>
      </w:r>
      <w:r>
        <w:rPr>
          <w:rFonts w:eastAsia="方正仿宋_GBK"/>
          <w:color w:val="auto"/>
          <w:sz w:val="32"/>
          <w:szCs w:val="32"/>
        </w:rPr>
        <w:t>的收储运平台的建设，可提高秸秆收集效率，预计到2023年底，秸秆肥料化加工企业将利用秸秆10000吨，新增效益150万元；原料化加工企业将多利用秸秆约6000吨，新增效益100万元；饲料化加工企业将多利用秸秆量3800吨，新增效益20万元；燃料化加工企业将多利用秸秆量9000吨，新增效益76.7万元。秸秆综合利用项目将增加就业机会和务工收入等，有效促进乡村振兴。</w:t>
      </w:r>
    </w:p>
    <w:p>
      <w:pPr>
        <w:spacing w:before="120" w:after="120"/>
        <w:ind w:firstLine="643" w:firstLineChars="200"/>
        <w:rPr>
          <w:rFonts w:eastAsia="方正楷体_GBK"/>
          <w:b/>
          <w:bCs/>
          <w:color w:val="auto"/>
          <w:sz w:val="32"/>
          <w:szCs w:val="32"/>
        </w:rPr>
      </w:pPr>
      <w:bookmarkStart w:id="282" w:name="_Toc30602"/>
      <w:bookmarkStart w:id="283" w:name="_Toc32273"/>
      <w:bookmarkStart w:id="284" w:name="_Toc6330"/>
      <w:bookmarkStart w:id="285" w:name="_Toc805"/>
      <w:bookmarkStart w:id="286" w:name="_Toc30194"/>
      <w:bookmarkStart w:id="287" w:name="_Toc23852"/>
      <w:bookmarkStart w:id="288" w:name="_Toc12891"/>
      <w:bookmarkStart w:id="289" w:name="_Toc18853"/>
      <w:bookmarkStart w:id="290" w:name="_Toc7073"/>
      <w:bookmarkStart w:id="291" w:name="_Toc22548"/>
      <w:r>
        <w:rPr>
          <w:rFonts w:eastAsia="方正楷体_GBK"/>
          <w:b/>
          <w:bCs/>
          <w:color w:val="auto"/>
          <w:sz w:val="32"/>
          <w:szCs w:val="32"/>
        </w:rPr>
        <w:t>（</w:t>
      </w:r>
      <w:r>
        <w:rPr>
          <w:rFonts w:hint="eastAsia" w:eastAsia="方正楷体_GBK"/>
          <w:b/>
          <w:bCs/>
          <w:color w:val="auto"/>
          <w:sz w:val="32"/>
          <w:szCs w:val="32"/>
          <w:lang w:val="en-US" w:eastAsia="zh-CN"/>
        </w:rPr>
        <w:t>二</w:t>
      </w:r>
      <w:r>
        <w:rPr>
          <w:rFonts w:eastAsia="方正楷体_GBK"/>
          <w:b/>
          <w:bCs/>
          <w:color w:val="auto"/>
          <w:sz w:val="32"/>
          <w:szCs w:val="32"/>
        </w:rPr>
        <w:t>）社会效益</w:t>
      </w:r>
      <w:bookmarkEnd w:id="282"/>
      <w:bookmarkEnd w:id="283"/>
      <w:bookmarkEnd w:id="284"/>
      <w:bookmarkEnd w:id="285"/>
      <w:bookmarkEnd w:id="286"/>
      <w:bookmarkEnd w:id="287"/>
      <w:bookmarkEnd w:id="288"/>
      <w:bookmarkEnd w:id="289"/>
      <w:bookmarkEnd w:id="290"/>
      <w:bookmarkEnd w:id="291"/>
    </w:p>
    <w:p>
      <w:pPr>
        <w:widowControl/>
        <w:ind w:firstLine="640" w:firstLineChars="200"/>
        <w:rPr>
          <w:rFonts w:eastAsia="方正仿宋_GBK"/>
          <w:color w:val="auto"/>
          <w:sz w:val="32"/>
          <w:szCs w:val="32"/>
        </w:rPr>
      </w:pPr>
      <w:r>
        <w:rPr>
          <w:rFonts w:eastAsia="方正仿宋_GBK"/>
          <w:color w:val="auto"/>
          <w:sz w:val="32"/>
          <w:szCs w:val="32"/>
        </w:rPr>
        <w:t>开展农作物秸秆综合利用，是提升耕地质量、改善农业农村环境、实现农业高质量发展、绿色发展的重要举措，是全面打赢农业面源污染及蓝天保卫战的重要保障。通过项目实施，一是增加了优质农产品供给。土壤有机质含量的有效提高，减少了化肥使用量，降低了农业面源污染和土壤污染，提高了农产品品质；二是增加了就业渠道。农作物秸秆综合利用体系建设，有条件的农民可直接参与秸秆收储、运输等环节，实现不离乡、不离土致富，拉动农村就业和经济发展；三是推进生态循环发展。通过项目建设，使秸秆肥料化、饲料化利用效益实现最大化，有利于土壤改良，促进农业生产向绿色、有机、生态循环发展。</w:t>
      </w:r>
    </w:p>
    <w:p>
      <w:pPr>
        <w:spacing w:before="120" w:after="120"/>
        <w:ind w:firstLine="643" w:firstLineChars="200"/>
        <w:rPr>
          <w:rFonts w:eastAsia="方正楷体_GBK"/>
          <w:b/>
          <w:bCs/>
          <w:color w:val="auto"/>
          <w:sz w:val="32"/>
          <w:szCs w:val="32"/>
        </w:rPr>
      </w:pPr>
      <w:bookmarkStart w:id="292" w:name="_Toc9217"/>
      <w:bookmarkStart w:id="293" w:name="_Toc21965"/>
      <w:bookmarkStart w:id="294" w:name="_Toc9907"/>
      <w:bookmarkStart w:id="295" w:name="_Toc13779"/>
      <w:bookmarkStart w:id="296" w:name="_Toc20647"/>
      <w:bookmarkStart w:id="297" w:name="_Toc23636"/>
      <w:r>
        <w:rPr>
          <w:rFonts w:eastAsia="方正楷体_GBK"/>
          <w:b/>
          <w:bCs/>
          <w:color w:val="auto"/>
          <w:sz w:val="32"/>
          <w:szCs w:val="32"/>
        </w:rPr>
        <w:t>（</w:t>
      </w:r>
      <w:r>
        <w:rPr>
          <w:rFonts w:hint="eastAsia" w:eastAsia="方正楷体_GBK"/>
          <w:b/>
          <w:bCs/>
          <w:color w:val="auto"/>
          <w:sz w:val="32"/>
          <w:szCs w:val="32"/>
          <w:lang w:val="en-US" w:eastAsia="zh-CN"/>
        </w:rPr>
        <w:t>三</w:t>
      </w:r>
      <w:r>
        <w:rPr>
          <w:rFonts w:eastAsia="方正楷体_GBK"/>
          <w:b/>
          <w:bCs/>
          <w:color w:val="auto"/>
          <w:sz w:val="32"/>
          <w:szCs w:val="32"/>
        </w:rPr>
        <w:t>）生态效益</w:t>
      </w:r>
      <w:bookmarkEnd w:id="292"/>
      <w:bookmarkEnd w:id="293"/>
      <w:bookmarkEnd w:id="294"/>
      <w:bookmarkEnd w:id="295"/>
      <w:bookmarkEnd w:id="296"/>
      <w:bookmarkEnd w:id="297"/>
    </w:p>
    <w:p>
      <w:pPr>
        <w:widowControl/>
        <w:ind w:firstLine="640" w:firstLineChars="200"/>
        <w:rPr>
          <w:rFonts w:eastAsia="方正仿宋_GBK"/>
          <w:color w:val="auto"/>
          <w:sz w:val="32"/>
          <w:szCs w:val="32"/>
        </w:rPr>
      </w:pPr>
      <w:r>
        <w:rPr>
          <w:rFonts w:eastAsia="方正仿宋_GBK"/>
          <w:color w:val="auto"/>
          <w:sz w:val="32"/>
          <w:szCs w:val="32"/>
        </w:rPr>
        <w:t>秸秆综合利用项目的实施，</w:t>
      </w:r>
      <w:r>
        <w:rPr>
          <w:rFonts w:hint="eastAsia" w:eastAsia="方正仿宋_GBK"/>
          <w:color w:val="auto"/>
          <w:sz w:val="32"/>
          <w:szCs w:val="32"/>
          <w:lang w:val="en-US" w:eastAsia="zh-CN"/>
        </w:rPr>
        <w:t>将</w:t>
      </w:r>
      <w:r>
        <w:rPr>
          <w:rFonts w:eastAsia="方正仿宋_GBK"/>
          <w:color w:val="auto"/>
          <w:sz w:val="32"/>
          <w:szCs w:val="32"/>
        </w:rPr>
        <w:t>有效推进红塔区农业面源污染整治进程。实现农作物秸秆的良性循环利用，革除秸秆焚烧陋习，减少秸秆废弃焚烧带来的污染，保护生态环境，美化人居环境；有利于农村环境改善，实现资源可持续利用；秸秆肥料化利用、饲料化利用，增加了有机肥的产量，通过增施有机肥可以改良土壤培肥耕地，增强土壤的保水、保肥能力，提高肥料利用率，减轻肥料流失产生的农业面源污染。有利于农业生产走上现代农业循环发展之路；助力天更蓝、水更绿，为实现乡村振兴奠定坚实的生态基础。</w:t>
      </w:r>
    </w:p>
    <w:p>
      <w:pPr>
        <w:pStyle w:val="2"/>
        <w:ind w:firstLine="210"/>
        <w:rPr>
          <w:color w:val="auto"/>
        </w:rPr>
      </w:pPr>
    </w:p>
    <w:p>
      <w:pPr>
        <w:rPr>
          <w:color w:val="auto"/>
        </w:rPr>
      </w:pPr>
      <w:r>
        <w:rPr>
          <w:color w:val="auto"/>
        </w:rPr>
        <w:br w:type="page"/>
      </w:r>
    </w:p>
    <w:p>
      <w:pPr>
        <w:spacing w:line="550" w:lineRule="exact"/>
        <w:outlineLvl w:val="0"/>
        <w:rPr>
          <w:rFonts w:eastAsia="方正黑体_GBK"/>
          <w:color w:val="auto"/>
          <w:sz w:val="32"/>
          <w:szCs w:val="32"/>
        </w:rPr>
      </w:pPr>
      <w:bookmarkStart w:id="298" w:name="_Toc5562"/>
      <w:bookmarkStart w:id="299" w:name="_Toc7608"/>
      <w:r>
        <w:rPr>
          <w:rFonts w:eastAsia="方正黑体_GBK"/>
          <w:color w:val="auto"/>
          <w:sz w:val="32"/>
          <w:szCs w:val="32"/>
        </w:rPr>
        <w:t>附表目录</w:t>
      </w:r>
      <w:bookmarkEnd w:id="298"/>
      <w:bookmarkEnd w:id="299"/>
    </w:p>
    <w:p>
      <w:pPr>
        <w:pStyle w:val="5"/>
        <w:shd w:val="clear" w:color="auto" w:fill="FFFFFF"/>
        <w:spacing w:line="550" w:lineRule="exact"/>
        <w:ind w:firstLine="640"/>
        <w:rPr>
          <w:rFonts w:eastAsia="方正仿宋_GBK"/>
          <w:color w:val="auto"/>
          <w:sz w:val="32"/>
          <w:szCs w:val="32"/>
        </w:rPr>
      </w:pPr>
      <w:r>
        <w:rPr>
          <w:rFonts w:eastAsia="方正仿宋_GBK"/>
          <w:color w:val="auto"/>
          <w:sz w:val="32"/>
          <w:szCs w:val="32"/>
        </w:rPr>
        <w:t>1.项目建设内容及经费概算</w:t>
      </w:r>
      <w:r>
        <w:rPr>
          <w:rFonts w:eastAsia="方正仿宋_GBK"/>
          <w:color w:val="auto"/>
          <w:kern w:val="0"/>
          <w:sz w:val="32"/>
          <w:szCs w:val="32"/>
        </w:rPr>
        <w:t>资金计划表</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2.项目计划进度表</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3.农作物秸秆还田地块情况调查汇总表</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4.项目目标绩效表</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5.村规民约示意图</w:t>
      </w:r>
    </w:p>
    <w:p>
      <w:pPr>
        <w:pStyle w:val="9"/>
        <w:widowControl w:val="0"/>
        <w:shd w:val="clear" w:color="auto" w:fill="FFFFFF"/>
        <w:adjustRightInd w:val="0"/>
        <w:snapToGrid w:val="0"/>
        <w:spacing w:before="0" w:beforeAutospacing="0" w:after="0" w:afterAutospacing="0" w:line="550" w:lineRule="exact"/>
        <w:rPr>
          <w:rFonts w:ascii="Times New Roman" w:hAnsi="Times New Roman" w:eastAsia="方正仿宋_GBK" w:cs="Times New Roman"/>
          <w:color w:val="auto"/>
          <w:sz w:val="32"/>
          <w:szCs w:val="32"/>
        </w:rPr>
      </w:pPr>
    </w:p>
    <w:p>
      <w:pPr>
        <w:spacing w:line="550" w:lineRule="exact"/>
        <w:outlineLvl w:val="0"/>
        <w:rPr>
          <w:color w:val="auto"/>
        </w:rPr>
      </w:pPr>
      <w:bookmarkStart w:id="300" w:name="_Toc21994"/>
      <w:bookmarkStart w:id="301" w:name="_Toc24735"/>
      <w:r>
        <w:rPr>
          <w:rFonts w:eastAsia="方正黑体_GBK"/>
          <w:color w:val="auto"/>
          <w:sz w:val="32"/>
          <w:szCs w:val="32"/>
        </w:rPr>
        <w:t>附件目录</w:t>
      </w:r>
      <w:bookmarkEnd w:id="300"/>
      <w:bookmarkEnd w:id="301"/>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1.专家评审意见表</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2.秸秆腐熟剂与粉碎机支持子方案</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3.秸秆草谷比与可收集系数监测子方案</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4.秸秆还田生态效益监测子方案</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5.烟秆高值化利用研究与技术支持子方案</w:t>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6.秸秆综合利用经纪人、主体企业遴选标准</w:t>
      </w:r>
    </w:p>
    <w:p>
      <w:pPr>
        <w:pStyle w:val="9"/>
        <w:widowControl w:val="0"/>
        <w:shd w:val="clear" w:color="auto" w:fill="FFFFFF"/>
        <w:adjustRightInd w:val="0"/>
        <w:snapToGrid w:val="0"/>
        <w:spacing w:before="0" w:beforeAutospacing="0" w:after="0" w:afterAutospacing="0" w:line="550" w:lineRule="exact"/>
        <w:rPr>
          <w:rFonts w:ascii="Times New Roman" w:hAnsi="Times New Roman" w:eastAsia="方正仿宋_GBK" w:cs="Times New Roman"/>
          <w:color w:val="auto"/>
          <w:sz w:val="32"/>
          <w:szCs w:val="32"/>
        </w:rPr>
      </w:pPr>
    </w:p>
    <w:bookmarkEnd w:id="149"/>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302" w:name="_Toc105489773"/>
      <w:bookmarkStart w:id="303" w:name="_Toc108450346"/>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附表</w:t>
      </w:r>
      <w:bookmarkEnd w:id="302"/>
      <w:r>
        <w:rPr>
          <w:rFonts w:ascii="Times New Roman" w:hAnsi="Times New Roman" w:eastAsia="方正仿宋_GBK" w:cs="Times New Roman"/>
          <w:color w:val="auto"/>
          <w:sz w:val="32"/>
          <w:szCs w:val="32"/>
        </w:rPr>
        <w:t>1 项目建设内容</w:t>
      </w:r>
      <w:bookmarkEnd w:id="303"/>
      <w:r>
        <w:rPr>
          <w:rFonts w:ascii="Times New Roman" w:hAnsi="Times New Roman" w:eastAsia="方正仿宋_GBK" w:cs="Times New Roman"/>
          <w:color w:val="auto"/>
          <w:sz w:val="32"/>
          <w:szCs w:val="32"/>
        </w:rPr>
        <w:t>及经费概算</w:t>
      </w:r>
    </w:p>
    <w:tbl>
      <w:tblPr>
        <w:tblStyle w:val="10"/>
        <w:tblpPr w:leftFromText="180" w:rightFromText="180" w:vertAnchor="text" w:horzAnchor="page" w:tblpX="1463" w:tblpY="265"/>
        <w:tblW w:w="1329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54"/>
        <w:gridCol w:w="4587"/>
        <w:gridCol w:w="684"/>
        <w:gridCol w:w="913"/>
        <w:gridCol w:w="1602"/>
        <w:gridCol w:w="1656"/>
        <w:gridCol w:w="1921"/>
        <w:gridCol w:w="14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52" w:hRule="atLeast"/>
          <w:tblHeader/>
        </w:trPr>
        <w:tc>
          <w:tcPr>
            <w:tcW w:w="5041" w:type="dxa"/>
            <w:gridSpan w:val="2"/>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实施项目</w:t>
            </w:r>
          </w:p>
        </w:tc>
        <w:tc>
          <w:tcPr>
            <w:tcW w:w="684"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数量</w:t>
            </w:r>
          </w:p>
        </w:tc>
        <w:tc>
          <w:tcPr>
            <w:tcW w:w="913"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单位</w:t>
            </w:r>
          </w:p>
        </w:tc>
        <w:tc>
          <w:tcPr>
            <w:tcW w:w="1602"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单价（万元）</w:t>
            </w:r>
          </w:p>
        </w:tc>
        <w:tc>
          <w:tcPr>
            <w:tcW w:w="1656"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资金总投入（万元）</w:t>
            </w:r>
          </w:p>
        </w:tc>
        <w:tc>
          <w:tcPr>
            <w:tcW w:w="1921"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农户/主体自筹（万元）</w:t>
            </w:r>
          </w:p>
        </w:tc>
        <w:tc>
          <w:tcPr>
            <w:tcW w:w="1479" w:type="dxa"/>
            <w:shd w:val="clear" w:color="auto" w:fill="auto"/>
            <w:vAlign w:val="center"/>
          </w:tcPr>
          <w:p>
            <w:pPr>
              <w:widowControl/>
              <w:jc w:val="center"/>
              <w:rPr>
                <w:rFonts w:eastAsia="等线"/>
                <w:color w:val="auto"/>
                <w:kern w:val="0"/>
                <w:sz w:val="22"/>
                <w:szCs w:val="22"/>
              </w:rPr>
            </w:pPr>
            <w:r>
              <w:rPr>
                <w:rFonts w:eastAsia="等线"/>
                <w:color w:val="auto"/>
                <w:kern w:val="0"/>
                <w:sz w:val="22"/>
                <w:szCs w:val="22"/>
              </w:rPr>
              <w:t>专项资金（万元）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一</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收储运体系完善</w:t>
            </w:r>
          </w:p>
        </w:tc>
        <w:tc>
          <w:tcPr>
            <w:tcW w:w="684" w:type="dxa"/>
            <w:shd w:val="clear" w:color="auto" w:fill="auto"/>
            <w:vAlign w:val="center"/>
          </w:tcPr>
          <w:p>
            <w:pPr>
              <w:widowControl/>
              <w:jc w:val="center"/>
              <w:rPr>
                <w:color w:val="auto"/>
                <w:kern w:val="0"/>
                <w:sz w:val="22"/>
                <w:szCs w:val="22"/>
              </w:rPr>
            </w:pPr>
            <w:r>
              <w:rPr>
                <w:color w:val="auto"/>
                <w:kern w:val="0"/>
                <w:sz w:val="22"/>
                <w:szCs w:val="22"/>
              </w:rPr>
              <w:t>　</w:t>
            </w:r>
          </w:p>
        </w:tc>
        <w:tc>
          <w:tcPr>
            <w:tcW w:w="913" w:type="dxa"/>
            <w:shd w:val="clear" w:color="auto" w:fill="auto"/>
            <w:vAlign w:val="center"/>
          </w:tcPr>
          <w:p>
            <w:pPr>
              <w:widowControl/>
              <w:jc w:val="center"/>
              <w:rPr>
                <w:color w:val="auto"/>
                <w:kern w:val="0"/>
                <w:sz w:val="22"/>
                <w:szCs w:val="22"/>
              </w:rPr>
            </w:pPr>
            <w:r>
              <w:rPr>
                <w:color w:val="auto"/>
                <w:kern w:val="0"/>
                <w:sz w:val="22"/>
                <w:szCs w:val="22"/>
              </w:rPr>
              <w:t>　</w:t>
            </w:r>
          </w:p>
        </w:tc>
        <w:tc>
          <w:tcPr>
            <w:tcW w:w="1602" w:type="dxa"/>
            <w:shd w:val="clear" w:color="auto" w:fill="auto"/>
            <w:vAlign w:val="center"/>
          </w:tcPr>
          <w:p>
            <w:pPr>
              <w:widowControl/>
              <w:jc w:val="center"/>
              <w:rPr>
                <w:color w:val="auto"/>
                <w:kern w:val="0"/>
                <w:sz w:val="22"/>
                <w:szCs w:val="22"/>
              </w:rPr>
            </w:pPr>
            <w:r>
              <w:rPr>
                <w:color w:val="auto"/>
                <w:kern w:val="0"/>
                <w:sz w:val="22"/>
                <w:szCs w:val="22"/>
              </w:rPr>
              <w:t>　</w:t>
            </w:r>
          </w:p>
        </w:tc>
        <w:tc>
          <w:tcPr>
            <w:tcW w:w="1656" w:type="dxa"/>
            <w:shd w:val="clear" w:color="auto" w:fill="auto"/>
            <w:vAlign w:val="center"/>
          </w:tcPr>
          <w:p>
            <w:pPr>
              <w:widowControl/>
              <w:jc w:val="center"/>
              <w:rPr>
                <w:color w:val="auto"/>
                <w:kern w:val="0"/>
                <w:sz w:val="22"/>
                <w:szCs w:val="22"/>
              </w:rPr>
            </w:pPr>
            <w:r>
              <w:rPr>
                <w:color w:val="auto"/>
                <w:kern w:val="0"/>
                <w:sz w:val="22"/>
                <w:szCs w:val="22"/>
              </w:rPr>
              <w:t>　</w:t>
            </w:r>
          </w:p>
        </w:tc>
        <w:tc>
          <w:tcPr>
            <w:tcW w:w="1921" w:type="dxa"/>
            <w:shd w:val="clear" w:color="auto" w:fill="auto"/>
            <w:vAlign w:val="center"/>
          </w:tcPr>
          <w:p>
            <w:pPr>
              <w:widowControl/>
              <w:jc w:val="center"/>
              <w:rPr>
                <w:color w:val="auto"/>
                <w:kern w:val="0"/>
                <w:sz w:val="22"/>
                <w:szCs w:val="22"/>
              </w:rPr>
            </w:pPr>
            <w:r>
              <w:rPr>
                <w:color w:val="auto"/>
                <w:kern w:val="0"/>
                <w:sz w:val="22"/>
                <w:szCs w:val="22"/>
              </w:rPr>
              <w:t>　</w:t>
            </w:r>
          </w:p>
        </w:tc>
        <w:tc>
          <w:tcPr>
            <w:tcW w:w="1479" w:type="dxa"/>
            <w:shd w:val="clear" w:color="auto" w:fill="auto"/>
            <w:vAlign w:val="center"/>
          </w:tcPr>
          <w:p>
            <w:pPr>
              <w:widowControl/>
              <w:jc w:val="center"/>
              <w:rPr>
                <w:color w:val="auto"/>
                <w:kern w:val="0"/>
                <w:sz w:val="22"/>
                <w:szCs w:val="22"/>
              </w:rPr>
            </w:pPr>
            <w:r>
              <w:rPr>
                <w:color w:val="auto"/>
                <w:kern w:val="0"/>
                <w:sz w:val="22"/>
                <w:szCs w:val="22"/>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8"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1+1+X模式建立</w:t>
            </w:r>
          </w:p>
        </w:tc>
        <w:tc>
          <w:tcPr>
            <w:tcW w:w="684" w:type="dxa"/>
            <w:shd w:val="clear" w:color="auto" w:fill="auto"/>
            <w:vAlign w:val="center"/>
          </w:tcPr>
          <w:p>
            <w:pPr>
              <w:widowControl/>
              <w:jc w:val="center"/>
              <w:rPr>
                <w:color w:val="auto"/>
                <w:kern w:val="0"/>
                <w:sz w:val="22"/>
                <w:szCs w:val="22"/>
              </w:rPr>
            </w:pPr>
            <w:r>
              <w:rPr>
                <w:rFonts w:hint="eastAsia"/>
                <w:color w:val="auto"/>
                <w:kern w:val="0"/>
                <w:sz w:val="22"/>
                <w:szCs w:val="22"/>
                <w:lang w:val="en-US" w:eastAsia="zh-CN"/>
              </w:rPr>
              <w:t>7</w:t>
            </w:r>
          </w:p>
        </w:tc>
        <w:tc>
          <w:tcPr>
            <w:tcW w:w="913" w:type="dxa"/>
            <w:shd w:val="clear" w:color="auto" w:fill="auto"/>
            <w:vAlign w:val="center"/>
          </w:tcPr>
          <w:p>
            <w:pPr>
              <w:widowControl/>
              <w:jc w:val="center"/>
              <w:rPr>
                <w:color w:val="auto"/>
                <w:kern w:val="0"/>
                <w:sz w:val="22"/>
                <w:szCs w:val="22"/>
              </w:rPr>
            </w:pPr>
            <w:r>
              <w:rPr>
                <w:rFonts w:hint="eastAsia"/>
                <w:color w:val="auto"/>
                <w:kern w:val="0"/>
                <w:sz w:val="22"/>
                <w:szCs w:val="22"/>
                <w:lang w:val="en-US" w:eastAsia="zh-CN"/>
              </w:rPr>
              <w:t>台</w:t>
            </w:r>
          </w:p>
        </w:tc>
        <w:tc>
          <w:tcPr>
            <w:tcW w:w="1602" w:type="dxa"/>
            <w:shd w:val="clear" w:color="auto" w:fill="auto"/>
            <w:vAlign w:val="center"/>
          </w:tcPr>
          <w:p>
            <w:pPr>
              <w:widowControl/>
              <w:jc w:val="center"/>
              <w:rPr>
                <w:color w:val="auto"/>
                <w:kern w:val="0"/>
                <w:sz w:val="22"/>
                <w:szCs w:val="22"/>
              </w:rPr>
            </w:pPr>
            <w:r>
              <w:rPr>
                <w:rFonts w:hint="eastAsia"/>
                <w:color w:val="auto"/>
                <w:kern w:val="0"/>
                <w:sz w:val="22"/>
                <w:szCs w:val="22"/>
                <w:lang w:val="en-US" w:eastAsia="zh-CN"/>
              </w:rPr>
              <w:t>13</w:t>
            </w:r>
          </w:p>
        </w:tc>
        <w:tc>
          <w:tcPr>
            <w:tcW w:w="1656" w:type="dxa"/>
            <w:shd w:val="clear" w:color="auto" w:fill="auto"/>
            <w:vAlign w:val="center"/>
          </w:tcPr>
          <w:p>
            <w:pPr>
              <w:widowControl/>
              <w:jc w:val="center"/>
              <w:rPr>
                <w:rFonts w:hint="eastAsia" w:eastAsia="宋体"/>
                <w:color w:val="auto"/>
                <w:kern w:val="0"/>
                <w:sz w:val="22"/>
                <w:szCs w:val="22"/>
                <w:lang w:val="en-US" w:eastAsia="zh-CN"/>
              </w:rPr>
            </w:pPr>
            <w:r>
              <w:rPr>
                <w:rFonts w:hint="eastAsia"/>
                <w:color w:val="auto"/>
                <w:kern w:val="0"/>
                <w:sz w:val="22"/>
                <w:szCs w:val="22"/>
                <w:lang w:val="en-US" w:eastAsia="zh-CN"/>
              </w:rPr>
              <w:t>91</w:t>
            </w:r>
          </w:p>
        </w:tc>
        <w:tc>
          <w:tcPr>
            <w:tcW w:w="1921"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21</w:t>
            </w:r>
          </w:p>
        </w:tc>
        <w:tc>
          <w:tcPr>
            <w:tcW w:w="1479" w:type="dxa"/>
            <w:shd w:val="clear" w:color="auto" w:fill="auto"/>
            <w:vAlign w:val="center"/>
          </w:tcPr>
          <w:p>
            <w:pPr>
              <w:widowControl/>
              <w:jc w:val="center"/>
              <w:textAlignment w:val="center"/>
              <w:rPr>
                <w:color w:val="auto"/>
                <w:kern w:val="0"/>
                <w:sz w:val="22"/>
                <w:szCs w:val="22"/>
              </w:rPr>
            </w:pPr>
            <w:r>
              <w:rPr>
                <w:color w:val="auto"/>
                <w:kern w:val="0"/>
                <w:sz w:val="22"/>
                <w:szCs w:val="22"/>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2</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长效机制建立</w:t>
            </w:r>
          </w:p>
        </w:tc>
        <w:tc>
          <w:tcPr>
            <w:tcW w:w="684" w:type="dxa"/>
            <w:shd w:val="clear" w:color="auto" w:fill="auto"/>
            <w:vAlign w:val="bottom"/>
          </w:tcPr>
          <w:p>
            <w:pPr>
              <w:widowControl/>
              <w:jc w:val="center"/>
              <w:rPr>
                <w:color w:val="auto"/>
                <w:kern w:val="0"/>
                <w:sz w:val="22"/>
                <w:szCs w:val="22"/>
              </w:rPr>
            </w:pPr>
            <w:r>
              <w:rPr>
                <w:color w:val="auto"/>
                <w:kern w:val="0"/>
                <w:sz w:val="22"/>
                <w:szCs w:val="22"/>
              </w:rPr>
              <w:t>1</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套</w:t>
            </w:r>
          </w:p>
        </w:tc>
        <w:tc>
          <w:tcPr>
            <w:tcW w:w="1602"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c>
          <w:tcPr>
            <w:tcW w:w="1921" w:type="dxa"/>
            <w:shd w:val="clear" w:color="auto" w:fill="auto"/>
            <w:vAlign w:val="bottom"/>
          </w:tcPr>
          <w:p>
            <w:pPr>
              <w:widowControl/>
              <w:jc w:val="center"/>
              <w:rPr>
                <w:color w:val="auto"/>
                <w:kern w:val="0"/>
                <w:sz w:val="22"/>
                <w:szCs w:val="22"/>
              </w:rPr>
            </w:pPr>
            <w:r>
              <w:rPr>
                <w:color w:val="auto"/>
                <w:kern w:val="0"/>
                <w:sz w:val="22"/>
                <w:szCs w:val="22"/>
              </w:rPr>
              <w:t>0</w:t>
            </w:r>
          </w:p>
        </w:tc>
        <w:tc>
          <w:tcPr>
            <w:tcW w:w="1479" w:type="dxa"/>
            <w:shd w:val="clear" w:color="auto" w:fill="auto"/>
            <w:vAlign w:val="bottom"/>
          </w:tcPr>
          <w:p>
            <w:pPr>
              <w:widowControl/>
              <w:jc w:val="center"/>
              <w:textAlignment w:val="bottom"/>
              <w:rPr>
                <w:rFonts w:hint="default" w:eastAsia="宋体"/>
                <w:color w:val="auto"/>
                <w:kern w:val="0"/>
                <w:sz w:val="22"/>
                <w:szCs w:val="22"/>
                <w:lang w:val="en-US" w:eastAsia="zh-CN"/>
              </w:rPr>
            </w:pPr>
            <w:r>
              <w:rPr>
                <w:rFonts w:hint="eastAsia"/>
                <w:color w:val="auto"/>
                <w:kern w:val="0"/>
                <w:sz w:val="22"/>
                <w:szCs w:val="22"/>
                <w:lang w:val="en-US" w:eastAsia="zh-CN"/>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02"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体系完善小计</w:t>
            </w:r>
          </w:p>
        </w:tc>
        <w:tc>
          <w:tcPr>
            <w:tcW w:w="684" w:type="dxa"/>
            <w:shd w:val="clear" w:color="auto" w:fill="E7E6E6" w:themeFill="background2"/>
            <w:vAlign w:val="bottom"/>
          </w:tcPr>
          <w:p>
            <w:pPr>
              <w:widowControl/>
              <w:jc w:val="center"/>
              <w:rPr>
                <w:color w:val="auto"/>
                <w:kern w:val="0"/>
                <w:sz w:val="22"/>
                <w:szCs w:val="22"/>
              </w:rPr>
            </w:pPr>
          </w:p>
        </w:tc>
        <w:tc>
          <w:tcPr>
            <w:tcW w:w="913" w:type="dxa"/>
            <w:shd w:val="clear" w:color="auto" w:fill="E7E6E6" w:themeFill="background2"/>
            <w:vAlign w:val="bottom"/>
          </w:tcPr>
          <w:p>
            <w:pPr>
              <w:widowControl/>
              <w:jc w:val="center"/>
              <w:rPr>
                <w:rFonts w:eastAsia="等线"/>
                <w:color w:val="auto"/>
                <w:kern w:val="0"/>
                <w:sz w:val="22"/>
                <w:szCs w:val="22"/>
              </w:rPr>
            </w:pPr>
          </w:p>
        </w:tc>
        <w:tc>
          <w:tcPr>
            <w:tcW w:w="1602" w:type="dxa"/>
            <w:shd w:val="clear" w:color="auto" w:fill="E7E6E6" w:themeFill="background2"/>
            <w:vAlign w:val="bottom"/>
          </w:tcPr>
          <w:p>
            <w:pPr>
              <w:widowControl/>
              <w:jc w:val="center"/>
              <w:rPr>
                <w:color w:val="auto"/>
                <w:kern w:val="0"/>
                <w:sz w:val="22"/>
                <w:szCs w:val="22"/>
              </w:rPr>
            </w:pPr>
          </w:p>
        </w:tc>
        <w:tc>
          <w:tcPr>
            <w:tcW w:w="1656" w:type="dxa"/>
            <w:shd w:val="clear" w:color="auto" w:fill="E7E6E6" w:themeFill="background2"/>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106</w:t>
            </w:r>
          </w:p>
        </w:tc>
        <w:tc>
          <w:tcPr>
            <w:tcW w:w="1921" w:type="dxa"/>
            <w:shd w:val="clear" w:color="auto" w:fill="E7E6E6" w:themeFill="background2"/>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21</w:t>
            </w:r>
          </w:p>
        </w:tc>
        <w:tc>
          <w:tcPr>
            <w:tcW w:w="1479" w:type="dxa"/>
            <w:shd w:val="clear" w:color="auto" w:fill="E7E6E6" w:themeFill="background2"/>
            <w:vAlign w:val="bottom"/>
          </w:tcPr>
          <w:p>
            <w:pPr>
              <w:widowControl/>
              <w:jc w:val="center"/>
              <w:textAlignment w:val="bottom"/>
              <w:rPr>
                <w:rFonts w:hint="default" w:eastAsia="宋体"/>
                <w:color w:val="auto"/>
                <w:kern w:val="0"/>
                <w:sz w:val="22"/>
                <w:szCs w:val="22"/>
                <w:lang w:val="en-US" w:eastAsia="zh-CN"/>
              </w:rPr>
            </w:pPr>
            <w:r>
              <w:rPr>
                <w:rFonts w:hint="eastAsia"/>
                <w:color w:val="auto"/>
                <w:kern w:val="0"/>
                <w:sz w:val="22"/>
                <w:szCs w:val="22"/>
                <w:lang w:val="en-US" w:eastAsia="zh-CN"/>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二</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肥料化利用</w:t>
            </w:r>
          </w:p>
        </w:tc>
        <w:tc>
          <w:tcPr>
            <w:tcW w:w="684" w:type="dxa"/>
            <w:shd w:val="clear" w:color="auto" w:fill="auto"/>
            <w:vAlign w:val="bottom"/>
          </w:tcPr>
          <w:p>
            <w:pPr>
              <w:widowControl/>
              <w:jc w:val="center"/>
              <w:rPr>
                <w:color w:val="auto"/>
                <w:kern w:val="0"/>
                <w:sz w:val="22"/>
                <w:szCs w:val="22"/>
              </w:rPr>
            </w:pPr>
          </w:p>
        </w:tc>
        <w:tc>
          <w:tcPr>
            <w:tcW w:w="913" w:type="dxa"/>
            <w:shd w:val="clear" w:color="auto" w:fill="auto"/>
            <w:vAlign w:val="bottom"/>
          </w:tcPr>
          <w:p>
            <w:pPr>
              <w:widowControl/>
              <w:jc w:val="center"/>
              <w:rPr>
                <w:rFonts w:eastAsia="等线"/>
                <w:color w:val="auto"/>
                <w:kern w:val="0"/>
                <w:sz w:val="22"/>
                <w:szCs w:val="22"/>
              </w:rPr>
            </w:pPr>
          </w:p>
        </w:tc>
        <w:tc>
          <w:tcPr>
            <w:tcW w:w="1602" w:type="dxa"/>
            <w:shd w:val="clear" w:color="auto" w:fill="auto"/>
            <w:vAlign w:val="bottom"/>
          </w:tcPr>
          <w:p>
            <w:pPr>
              <w:widowControl/>
              <w:jc w:val="center"/>
              <w:rPr>
                <w:color w:val="auto"/>
                <w:kern w:val="0"/>
                <w:sz w:val="22"/>
                <w:szCs w:val="22"/>
              </w:rPr>
            </w:pPr>
          </w:p>
        </w:tc>
        <w:tc>
          <w:tcPr>
            <w:tcW w:w="1656" w:type="dxa"/>
            <w:shd w:val="clear" w:color="auto" w:fill="auto"/>
            <w:vAlign w:val="bottom"/>
          </w:tcPr>
          <w:p>
            <w:pPr>
              <w:widowControl/>
              <w:jc w:val="center"/>
              <w:rPr>
                <w:color w:val="auto"/>
                <w:kern w:val="0"/>
                <w:sz w:val="22"/>
                <w:szCs w:val="22"/>
              </w:rPr>
            </w:pPr>
          </w:p>
        </w:tc>
        <w:tc>
          <w:tcPr>
            <w:tcW w:w="1921" w:type="dxa"/>
            <w:shd w:val="clear" w:color="auto" w:fill="auto"/>
            <w:vAlign w:val="bottom"/>
          </w:tcPr>
          <w:p>
            <w:pPr>
              <w:widowControl/>
              <w:jc w:val="center"/>
              <w:rPr>
                <w:color w:val="auto"/>
                <w:kern w:val="0"/>
                <w:sz w:val="22"/>
                <w:szCs w:val="22"/>
              </w:rPr>
            </w:pPr>
            <w:r>
              <w:rPr>
                <w:color w:val="auto"/>
                <w:kern w:val="0"/>
                <w:sz w:val="22"/>
                <w:szCs w:val="22"/>
              </w:rPr>
              <w:t>0</w:t>
            </w:r>
          </w:p>
        </w:tc>
        <w:tc>
          <w:tcPr>
            <w:tcW w:w="1479" w:type="dxa"/>
            <w:shd w:val="clear" w:color="auto" w:fill="auto"/>
            <w:vAlign w:val="bottom"/>
          </w:tcPr>
          <w:p>
            <w:pPr>
              <w:widowControl/>
              <w:jc w:val="center"/>
              <w:textAlignment w:val="bottom"/>
              <w:rPr>
                <w:color w:val="auto"/>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腐熟还田</w:t>
            </w:r>
          </w:p>
        </w:tc>
        <w:tc>
          <w:tcPr>
            <w:tcW w:w="684" w:type="dxa"/>
            <w:shd w:val="clear" w:color="auto" w:fill="auto"/>
            <w:vAlign w:val="bottom"/>
          </w:tcPr>
          <w:p>
            <w:pPr>
              <w:widowControl/>
              <w:jc w:val="center"/>
              <w:rPr>
                <w:color w:val="auto"/>
                <w:kern w:val="0"/>
                <w:sz w:val="22"/>
                <w:szCs w:val="22"/>
              </w:rPr>
            </w:pPr>
            <w:r>
              <w:rPr>
                <w:rFonts w:hint="eastAsia"/>
                <w:color w:val="auto"/>
                <w:kern w:val="0"/>
                <w:sz w:val="22"/>
                <w:szCs w:val="22"/>
                <w:lang w:val="en-US" w:eastAsia="zh-CN"/>
              </w:rPr>
              <w:t>7</w:t>
            </w:r>
            <w:r>
              <w:rPr>
                <w:color w:val="auto"/>
                <w:kern w:val="0"/>
                <w:sz w:val="22"/>
                <w:szCs w:val="22"/>
              </w:rPr>
              <w:t>0</w:t>
            </w:r>
          </w:p>
        </w:tc>
        <w:tc>
          <w:tcPr>
            <w:tcW w:w="913" w:type="dxa"/>
            <w:shd w:val="clear" w:color="auto" w:fill="auto"/>
            <w:vAlign w:val="bottom"/>
          </w:tcPr>
          <w:p>
            <w:pPr>
              <w:widowControl/>
              <w:jc w:val="center"/>
              <w:rPr>
                <w:color w:val="auto"/>
                <w:kern w:val="0"/>
                <w:sz w:val="22"/>
                <w:szCs w:val="22"/>
              </w:rPr>
            </w:pPr>
            <w:r>
              <w:rPr>
                <w:color w:val="auto"/>
                <w:kern w:val="0"/>
                <w:sz w:val="22"/>
                <w:szCs w:val="22"/>
              </w:rPr>
              <w:t>吨</w:t>
            </w:r>
          </w:p>
        </w:tc>
        <w:tc>
          <w:tcPr>
            <w:tcW w:w="1602" w:type="dxa"/>
            <w:shd w:val="clear" w:color="auto" w:fill="auto"/>
            <w:vAlign w:val="bottom"/>
          </w:tcPr>
          <w:p>
            <w:pPr>
              <w:widowControl/>
              <w:jc w:val="center"/>
              <w:rPr>
                <w:color w:val="auto"/>
                <w:kern w:val="0"/>
                <w:sz w:val="22"/>
                <w:szCs w:val="22"/>
              </w:rPr>
            </w:pPr>
            <w:r>
              <w:rPr>
                <w:color w:val="auto"/>
                <w:kern w:val="0"/>
                <w:sz w:val="22"/>
                <w:szCs w:val="22"/>
              </w:rPr>
              <w:t>0.6</w:t>
            </w: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42</w:t>
            </w:r>
          </w:p>
        </w:tc>
        <w:tc>
          <w:tcPr>
            <w:tcW w:w="1921" w:type="dxa"/>
            <w:shd w:val="clear" w:color="auto" w:fill="auto"/>
            <w:vAlign w:val="bottom"/>
          </w:tcPr>
          <w:p>
            <w:pPr>
              <w:widowControl/>
              <w:jc w:val="center"/>
              <w:rPr>
                <w:color w:val="auto"/>
                <w:kern w:val="0"/>
                <w:sz w:val="22"/>
                <w:szCs w:val="22"/>
              </w:rPr>
            </w:pPr>
            <w:r>
              <w:rPr>
                <w:color w:val="auto"/>
                <w:kern w:val="0"/>
                <w:sz w:val="22"/>
                <w:szCs w:val="22"/>
              </w:rPr>
              <w:t>0</w:t>
            </w:r>
          </w:p>
        </w:tc>
        <w:tc>
          <w:tcPr>
            <w:tcW w:w="1479"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2</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辅助还田粉碎机</w:t>
            </w:r>
          </w:p>
        </w:tc>
        <w:tc>
          <w:tcPr>
            <w:tcW w:w="684"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215</w:t>
            </w:r>
          </w:p>
        </w:tc>
        <w:tc>
          <w:tcPr>
            <w:tcW w:w="913" w:type="dxa"/>
            <w:shd w:val="clear" w:color="auto" w:fill="auto"/>
            <w:vAlign w:val="bottom"/>
          </w:tcPr>
          <w:p>
            <w:pPr>
              <w:widowControl/>
              <w:jc w:val="center"/>
              <w:rPr>
                <w:color w:val="auto"/>
                <w:kern w:val="0"/>
                <w:sz w:val="22"/>
                <w:szCs w:val="22"/>
              </w:rPr>
            </w:pPr>
            <w:r>
              <w:rPr>
                <w:color w:val="auto"/>
                <w:kern w:val="0"/>
                <w:sz w:val="22"/>
                <w:szCs w:val="22"/>
              </w:rPr>
              <w:t>台</w:t>
            </w:r>
          </w:p>
        </w:tc>
        <w:tc>
          <w:tcPr>
            <w:tcW w:w="1602"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0.2</w:t>
            </w: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53.75</w:t>
            </w:r>
          </w:p>
        </w:tc>
        <w:tc>
          <w:tcPr>
            <w:tcW w:w="1921" w:type="dxa"/>
            <w:shd w:val="clear" w:color="auto" w:fill="auto"/>
            <w:vAlign w:val="bottom"/>
          </w:tcPr>
          <w:p>
            <w:pPr>
              <w:widowControl/>
              <w:jc w:val="center"/>
              <w:rPr>
                <w:color w:val="auto"/>
                <w:kern w:val="0"/>
                <w:sz w:val="22"/>
                <w:szCs w:val="22"/>
              </w:rPr>
            </w:pPr>
            <w:r>
              <w:rPr>
                <w:rFonts w:hint="eastAsia"/>
                <w:color w:val="auto"/>
                <w:kern w:val="0"/>
                <w:sz w:val="22"/>
                <w:szCs w:val="22"/>
                <w:lang w:val="en-US" w:eastAsia="zh-CN"/>
              </w:rPr>
              <w:t>10.75</w:t>
            </w:r>
          </w:p>
        </w:tc>
        <w:tc>
          <w:tcPr>
            <w:tcW w:w="1479"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3</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烟秆肥料化研究</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项</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c>
          <w:tcPr>
            <w:tcW w:w="1921" w:type="dxa"/>
            <w:shd w:val="clear" w:color="auto" w:fill="auto"/>
            <w:vAlign w:val="bottom"/>
          </w:tcPr>
          <w:p>
            <w:pPr>
              <w:widowControl/>
              <w:jc w:val="center"/>
              <w:rPr>
                <w:rFonts w:hint="eastAsia" w:eastAsia="宋体"/>
                <w:color w:val="auto"/>
                <w:kern w:val="0"/>
                <w:sz w:val="22"/>
                <w:szCs w:val="22"/>
                <w:lang w:val="en-US" w:eastAsia="zh-CN"/>
              </w:rPr>
            </w:pPr>
            <w:r>
              <w:rPr>
                <w:rFonts w:hint="eastAsia"/>
                <w:color w:val="auto"/>
                <w:kern w:val="0"/>
                <w:sz w:val="22"/>
                <w:szCs w:val="22"/>
                <w:lang w:val="en-US" w:eastAsia="zh-CN"/>
              </w:rPr>
              <w:t>0</w:t>
            </w:r>
          </w:p>
        </w:tc>
        <w:tc>
          <w:tcPr>
            <w:tcW w:w="1479"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4</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示范企业支持</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套</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bottom"/>
          </w:tcPr>
          <w:p>
            <w:pPr>
              <w:widowControl/>
              <w:jc w:val="center"/>
              <w:rPr>
                <w:color w:val="auto"/>
                <w:kern w:val="0"/>
                <w:sz w:val="22"/>
                <w:szCs w:val="22"/>
              </w:rPr>
            </w:pPr>
            <w:r>
              <w:rPr>
                <w:rFonts w:hint="eastAsia"/>
                <w:color w:val="auto"/>
                <w:kern w:val="0"/>
                <w:sz w:val="22"/>
                <w:szCs w:val="22"/>
                <w:lang w:val="en-US" w:eastAsia="zh-CN"/>
              </w:rPr>
              <w:t>31</w:t>
            </w:r>
            <w:r>
              <w:rPr>
                <w:color w:val="auto"/>
                <w:kern w:val="0"/>
                <w:sz w:val="22"/>
                <w:szCs w:val="22"/>
              </w:rPr>
              <w:t>1.05</w:t>
            </w:r>
          </w:p>
        </w:tc>
        <w:tc>
          <w:tcPr>
            <w:tcW w:w="1921" w:type="dxa"/>
            <w:shd w:val="clear" w:color="auto" w:fill="auto"/>
            <w:vAlign w:val="bottom"/>
          </w:tcPr>
          <w:p>
            <w:pPr>
              <w:widowControl/>
              <w:jc w:val="center"/>
              <w:rPr>
                <w:color w:val="auto"/>
                <w:kern w:val="0"/>
                <w:sz w:val="22"/>
                <w:szCs w:val="22"/>
              </w:rPr>
            </w:pPr>
            <w:r>
              <w:rPr>
                <w:color w:val="auto"/>
                <w:kern w:val="0"/>
                <w:sz w:val="22"/>
                <w:szCs w:val="22"/>
              </w:rPr>
              <w:t>230</w:t>
            </w:r>
          </w:p>
        </w:tc>
        <w:tc>
          <w:tcPr>
            <w:tcW w:w="1479" w:type="dxa"/>
            <w:shd w:val="clear" w:color="auto" w:fill="auto"/>
            <w:vAlign w:val="bottom"/>
          </w:tcPr>
          <w:p>
            <w:pPr>
              <w:widowControl/>
              <w:jc w:val="center"/>
              <w:rPr>
                <w:color w:val="auto"/>
                <w:kern w:val="0"/>
                <w:sz w:val="22"/>
                <w:szCs w:val="22"/>
              </w:rPr>
            </w:pPr>
            <w:r>
              <w:rPr>
                <w:rFonts w:hint="eastAsia"/>
                <w:color w:val="auto"/>
                <w:kern w:val="0"/>
                <w:sz w:val="22"/>
                <w:szCs w:val="22"/>
                <w:lang w:val="en-US" w:eastAsia="zh-CN"/>
              </w:rPr>
              <w:t>8</w:t>
            </w:r>
            <w:r>
              <w:rPr>
                <w:color w:val="auto"/>
                <w:kern w:val="0"/>
                <w:sz w:val="22"/>
                <w:szCs w:val="22"/>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29"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肥料化利用小计</w:t>
            </w:r>
          </w:p>
        </w:tc>
        <w:tc>
          <w:tcPr>
            <w:tcW w:w="684" w:type="dxa"/>
            <w:shd w:val="clear" w:color="auto" w:fill="E7E6E6" w:themeFill="background2"/>
            <w:vAlign w:val="center"/>
          </w:tcPr>
          <w:p>
            <w:pPr>
              <w:widowControl/>
              <w:jc w:val="center"/>
              <w:rPr>
                <w:color w:val="auto"/>
                <w:kern w:val="0"/>
                <w:sz w:val="22"/>
                <w:szCs w:val="22"/>
              </w:rPr>
            </w:pPr>
          </w:p>
        </w:tc>
        <w:tc>
          <w:tcPr>
            <w:tcW w:w="913" w:type="dxa"/>
            <w:shd w:val="clear" w:color="auto" w:fill="E7E6E6" w:themeFill="background2"/>
            <w:vAlign w:val="center"/>
          </w:tcPr>
          <w:p>
            <w:pPr>
              <w:widowControl/>
              <w:jc w:val="center"/>
              <w:rPr>
                <w:color w:val="auto"/>
                <w:kern w:val="0"/>
                <w:sz w:val="22"/>
                <w:szCs w:val="22"/>
              </w:rPr>
            </w:pP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421.75</w:t>
            </w:r>
          </w:p>
        </w:tc>
        <w:tc>
          <w:tcPr>
            <w:tcW w:w="1921" w:type="dxa"/>
            <w:shd w:val="clear" w:color="auto" w:fill="E7E6E6" w:themeFill="background2"/>
            <w:vAlign w:val="bottom"/>
          </w:tcPr>
          <w:p>
            <w:pPr>
              <w:widowControl/>
              <w:jc w:val="center"/>
              <w:rPr>
                <w:rFonts w:hint="default" w:eastAsia="宋体"/>
                <w:color w:val="auto"/>
                <w:kern w:val="0"/>
                <w:sz w:val="22"/>
                <w:szCs w:val="22"/>
                <w:lang w:val="en-US" w:eastAsia="zh-CN"/>
              </w:rPr>
            </w:pPr>
            <w:r>
              <w:rPr>
                <w:color w:val="auto"/>
                <w:kern w:val="0"/>
                <w:sz w:val="22"/>
                <w:szCs w:val="22"/>
              </w:rPr>
              <w:t>2</w:t>
            </w:r>
            <w:r>
              <w:rPr>
                <w:rFonts w:hint="eastAsia"/>
                <w:color w:val="auto"/>
                <w:kern w:val="0"/>
                <w:sz w:val="22"/>
                <w:szCs w:val="22"/>
                <w:lang w:val="en-US" w:eastAsia="zh-CN"/>
              </w:rPr>
              <w:t>40.7</w:t>
            </w:r>
          </w:p>
        </w:tc>
        <w:tc>
          <w:tcPr>
            <w:tcW w:w="1479" w:type="dxa"/>
            <w:shd w:val="clear" w:color="auto" w:fill="E7E6E6" w:themeFill="background2"/>
            <w:vAlign w:val="bottom"/>
          </w:tcPr>
          <w:p>
            <w:pPr>
              <w:widowControl/>
              <w:jc w:val="center"/>
              <w:rPr>
                <w:rFonts w:hint="default"/>
                <w:color w:val="auto"/>
                <w:kern w:val="0"/>
                <w:sz w:val="22"/>
                <w:szCs w:val="22"/>
                <w:lang w:val="en-US"/>
              </w:rPr>
            </w:pPr>
            <w:r>
              <w:rPr>
                <w:rFonts w:hint="eastAsia"/>
                <w:color w:val="auto"/>
                <w:kern w:val="0"/>
                <w:sz w:val="22"/>
                <w:szCs w:val="22"/>
                <w:lang w:val="en-US" w:eastAsia="zh-CN"/>
              </w:rPr>
              <w:t>181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三</w:t>
            </w:r>
          </w:p>
        </w:tc>
        <w:tc>
          <w:tcPr>
            <w:tcW w:w="4587" w:type="dxa"/>
            <w:shd w:val="clear" w:color="auto" w:fill="auto"/>
            <w:vAlign w:val="bottom"/>
          </w:tcPr>
          <w:p>
            <w:pPr>
              <w:widowControl/>
              <w:jc w:val="center"/>
              <w:rPr>
                <w:rFonts w:eastAsia="等线"/>
                <w:color w:val="auto"/>
                <w:kern w:val="0"/>
                <w:sz w:val="22"/>
                <w:szCs w:val="22"/>
              </w:rPr>
            </w:pPr>
            <w:r>
              <w:rPr>
                <w:rFonts w:hint="eastAsia" w:eastAsia="等线"/>
                <w:color w:val="auto"/>
                <w:kern w:val="0"/>
                <w:sz w:val="22"/>
                <w:szCs w:val="22"/>
                <w:lang w:val="en-US" w:eastAsia="zh-CN"/>
              </w:rPr>
              <w:t>过腹还田</w:t>
            </w:r>
            <w:r>
              <w:rPr>
                <w:rFonts w:eastAsia="等线"/>
                <w:color w:val="auto"/>
                <w:kern w:val="0"/>
                <w:sz w:val="22"/>
                <w:szCs w:val="22"/>
              </w:rPr>
              <w:t>利用</w:t>
            </w:r>
          </w:p>
        </w:tc>
        <w:tc>
          <w:tcPr>
            <w:tcW w:w="684" w:type="dxa"/>
            <w:shd w:val="clear" w:color="auto" w:fill="auto"/>
            <w:vAlign w:val="center"/>
          </w:tcPr>
          <w:p>
            <w:pPr>
              <w:widowControl/>
              <w:jc w:val="center"/>
              <w:rPr>
                <w:color w:val="auto"/>
                <w:kern w:val="0"/>
                <w:sz w:val="22"/>
                <w:szCs w:val="22"/>
              </w:rPr>
            </w:pPr>
          </w:p>
        </w:tc>
        <w:tc>
          <w:tcPr>
            <w:tcW w:w="913" w:type="dxa"/>
            <w:shd w:val="clear" w:color="auto" w:fill="auto"/>
            <w:vAlign w:val="center"/>
          </w:tcPr>
          <w:p>
            <w:pPr>
              <w:widowControl/>
              <w:jc w:val="center"/>
              <w:rPr>
                <w:color w:val="auto"/>
                <w:kern w:val="0"/>
                <w:sz w:val="22"/>
                <w:szCs w:val="22"/>
              </w:rPr>
            </w:pP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示范企业支持</w:t>
            </w:r>
          </w:p>
        </w:tc>
        <w:tc>
          <w:tcPr>
            <w:tcW w:w="684" w:type="dxa"/>
            <w:shd w:val="clear" w:color="auto" w:fill="auto"/>
            <w:vAlign w:val="center"/>
          </w:tcPr>
          <w:p>
            <w:pPr>
              <w:widowControl/>
              <w:jc w:val="center"/>
              <w:rPr>
                <w:color w:val="auto"/>
                <w:kern w:val="0"/>
                <w:sz w:val="22"/>
                <w:szCs w:val="22"/>
              </w:rPr>
            </w:pPr>
            <w:r>
              <w:rPr>
                <w:color w:val="auto"/>
                <w:kern w:val="0"/>
                <w:sz w:val="22"/>
                <w:szCs w:val="22"/>
              </w:rPr>
              <w:t>3</w:t>
            </w:r>
          </w:p>
        </w:tc>
        <w:tc>
          <w:tcPr>
            <w:tcW w:w="913" w:type="dxa"/>
            <w:shd w:val="clear" w:color="auto" w:fill="auto"/>
            <w:vAlign w:val="center"/>
          </w:tcPr>
          <w:p>
            <w:pPr>
              <w:widowControl/>
              <w:jc w:val="center"/>
              <w:rPr>
                <w:color w:val="auto"/>
                <w:kern w:val="0"/>
                <w:sz w:val="22"/>
                <w:szCs w:val="22"/>
              </w:rPr>
            </w:pPr>
            <w:r>
              <w:rPr>
                <w:color w:val="auto"/>
                <w:kern w:val="0"/>
                <w:sz w:val="22"/>
                <w:szCs w:val="22"/>
              </w:rPr>
              <w:t>组</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r>
              <w:rPr>
                <w:color w:val="auto"/>
                <w:kern w:val="0"/>
                <w:sz w:val="22"/>
                <w:szCs w:val="22"/>
              </w:rPr>
              <w:t>110</w:t>
            </w:r>
          </w:p>
        </w:tc>
        <w:tc>
          <w:tcPr>
            <w:tcW w:w="1921" w:type="dxa"/>
            <w:shd w:val="clear" w:color="auto" w:fill="auto"/>
            <w:vAlign w:val="center"/>
          </w:tcPr>
          <w:p>
            <w:pPr>
              <w:widowControl/>
              <w:jc w:val="center"/>
              <w:rPr>
                <w:color w:val="auto"/>
                <w:kern w:val="0"/>
                <w:sz w:val="22"/>
                <w:szCs w:val="22"/>
              </w:rPr>
            </w:pPr>
            <w:r>
              <w:rPr>
                <w:color w:val="auto"/>
                <w:kern w:val="0"/>
                <w:sz w:val="22"/>
                <w:szCs w:val="22"/>
              </w:rPr>
              <w:t>80</w:t>
            </w:r>
          </w:p>
        </w:tc>
        <w:tc>
          <w:tcPr>
            <w:tcW w:w="1479" w:type="dxa"/>
            <w:shd w:val="clear" w:color="auto" w:fill="auto"/>
            <w:vAlign w:val="center"/>
          </w:tcPr>
          <w:p>
            <w:pPr>
              <w:jc w:val="center"/>
              <w:rPr>
                <w:color w:val="auto"/>
                <w:kern w:val="0"/>
                <w:sz w:val="22"/>
                <w:szCs w:val="22"/>
              </w:rPr>
            </w:pPr>
            <w:r>
              <w:rPr>
                <w:color w:val="auto"/>
                <w:kern w:val="0"/>
                <w:sz w:val="22"/>
                <w:szCs w:val="22"/>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hint="eastAsia" w:eastAsia="等线"/>
                <w:color w:val="auto"/>
                <w:kern w:val="0"/>
                <w:sz w:val="22"/>
                <w:szCs w:val="22"/>
                <w:lang w:val="en-US" w:eastAsia="zh-CN"/>
              </w:rPr>
              <w:t>过腹还田</w:t>
            </w:r>
            <w:r>
              <w:rPr>
                <w:rFonts w:eastAsia="等线"/>
                <w:color w:val="auto"/>
                <w:kern w:val="0"/>
                <w:sz w:val="22"/>
                <w:szCs w:val="22"/>
              </w:rPr>
              <w:t>利用小计</w:t>
            </w:r>
          </w:p>
        </w:tc>
        <w:tc>
          <w:tcPr>
            <w:tcW w:w="684" w:type="dxa"/>
            <w:shd w:val="clear" w:color="auto" w:fill="E7E6E6" w:themeFill="background2"/>
            <w:vAlign w:val="center"/>
          </w:tcPr>
          <w:p>
            <w:pPr>
              <w:widowControl/>
              <w:jc w:val="center"/>
              <w:rPr>
                <w:color w:val="auto"/>
                <w:kern w:val="0"/>
                <w:sz w:val="22"/>
                <w:szCs w:val="22"/>
              </w:rPr>
            </w:pPr>
          </w:p>
        </w:tc>
        <w:tc>
          <w:tcPr>
            <w:tcW w:w="913" w:type="dxa"/>
            <w:shd w:val="clear" w:color="auto" w:fill="E7E6E6" w:themeFill="background2"/>
            <w:vAlign w:val="center"/>
          </w:tcPr>
          <w:p>
            <w:pPr>
              <w:widowControl/>
              <w:jc w:val="center"/>
              <w:rPr>
                <w:color w:val="auto"/>
                <w:kern w:val="0"/>
                <w:sz w:val="22"/>
                <w:szCs w:val="22"/>
              </w:rPr>
            </w:pP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center"/>
          </w:tcPr>
          <w:p>
            <w:pPr>
              <w:widowControl/>
              <w:jc w:val="center"/>
              <w:rPr>
                <w:color w:val="auto"/>
                <w:kern w:val="0"/>
                <w:sz w:val="22"/>
                <w:szCs w:val="22"/>
              </w:rPr>
            </w:pPr>
            <w:r>
              <w:rPr>
                <w:color w:val="auto"/>
                <w:kern w:val="0"/>
                <w:sz w:val="22"/>
                <w:szCs w:val="22"/>
              </w:rPr>
              <w:t>110</w:t>
            </w:r>
          </w:p>
        </w:tc>
        <w:tc>
          <w:tcPr>
            <w:tcW w:w="1921" w:type="dxa"/>
            <w:shd w:val="clear" w:color="auto" w:fill="E7E6E6" w:themeFill="background2"/>
            <w:vAlign w:val="center"/>
          </w:tcPr>
          <w:p>
            <w:pPr>
              <w:widowControl/>
              <w:jc w:val="center"/>
              <w:rPr>
                <w:color w:val="auto"/>
                <w:kern w:val="0"/>
                <w:sz w:val="22"/>
                <w:szCs w:val="22"/>
              </w:rPr>
            </w:pPr>
            <w:r>
              <w:rPr>
                <w:color w:val="auto"/>
                <w:kern w:val="0"/>
                <w:sz w:val="22"/>
                <w:szCs w:val="22"/>
              </w:rPr>
              <w:t>80</w:t>
            </w:r>
          </w:p>
        </w:tc>
        <w:tc>
          <w:tcPr>
            <w:tcW w:w="1479" w:type="dxa"/>
            <w:shd w:val="clear" w:color="auto" w:fill="E7E6E6" w:themeFill="background2"/>
            <w:vAlign w:val="center"/>
          </w:tcPr>
          <w:p>
            <w:pPr>
              <w:jc w:val="center"/>
              <w:rPr>
                <w:color w:val="auto"/>
                <w:kern w:val="0"/>
                <w:sz w:val="22"/>
                <w:szCs w:val="22"/>
              </w:rPr>
            </w:pPr>
            <w:r>
              <w:rPr>
                <w:color w:val="auto"/>
                <w:kern w:val="0"/>
                <w:sz w:val="22"/>
                <w:szCs w:val="22"/>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四</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燃料化利用</w:t>
            </w:r>
          </w:p>
        </w:tc>
        <w:tc>
          <w:tcPr>
            <w:tcW w:w="684" w:type="dxa"/>
            <w:shd w:val="clear" w:color="auto" w:fill="auto"/>
            <w:vAlign w:val="center"/>
          </w:tcPr>
          <w:p>
            <w:pPr>
              <w:widowControl/>
              <w:jc w:val="center"/>
              <w:rPr>
                <w:color w:val="auto"/>
                <w:kern w:val="0"/>
                <w:sz w:val="22"/>
                <w:szCs w:val="22"/>
              </w:rPr>
            </w:pPr>
          </w:p>
        </w:tc>
        <w:tc>
          <w:tcPr>
            <w:tcW w:w="913" w:type="dxa"/>
            <w:shd w:val="clear" w:color="auto" w:fill="auto"/>
            <w:vAlign w:val="center"/>
          </w:tcPr>
          <w:p>
            <w:pPr>
              <w:widowControl/>
              <w:jc w:val="center"/>
              <w:rPr>
                <w:color w:val="auto"/>
                <w:kern w:val="0"/>
                <w:sz w:val="22"/>
                <w:szCs w:val="22"/>
              </w:rPr>
            </w:pP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支持生产线建设</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套</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119</w:t>
            </w:r>
          </w:p>
        </w:tc>
        <w:tc>
          <w:tcPr>
            <w:tcW w:w="1921" w:type="dxa"/>
            <w:shd w:val="clear" w:color="auto" w:fill="auto"/>
            <w:vAlign w:val="center"/>
          </w:tcPr>
          <w:p>
            <w:pPr>
              <w:widowControl/>
              <w:jc w:val="center"/>
              <w:rPr>
                <w:color w:val="auto"/>
                <w:kern w:val="0"/>
                <w:sz w:val="22"/>
                <w:szCs w:val="22"/>
              </w:rPr>
            </w:pPr>
            <w:r>
              <w:rPr>
                <w:color w:val="auto"/>
                <w:kern w:val="0"/>
                <w:sz w:val="22"/>
                <w:szCs w:val="22"/>
              </w:rPr>
              <w:t>99</w:t>
            </w:r>
          </w:p>
        </w:tc>
        <w:tc>
          <w:tcPr>
            <w:tcW w:w="1479"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2</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科研研发</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个</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燃料化利用小计</w:t>
            </w:r>
          </w:p>
        </w:tc>
        <w:tc>
          <w:tcPr>
            <w:tcW w:w="684" w:type="dxa"/>
            <w:shd w:val="clear" w:color="auto" w:fill="E7E6E6" w:themeFill="background2"/>
            <w:vAlign w:val="center"/>
          </w:tcPr>
          <w:p>
            <w:pPr>
              <w:widowControl/>
              <w:jc w:val="center"/>
              <w:rPr>
                <w:color w:val="auto"/>
                <w:kern w:val="0"/>
                <w:sz w:val="22"/>
                <w:szCs w:val="22"/>
              </w:rPr>
            </w:pPr>
          </w:p>
        </w:tc>
        <w:tc>
          <w:tcPr>
            <w:tcW w:w="913" w:type="dxa"/>
            <w:shd w:val="clear" w:color="auto" w:fill="E7E6E6" w:themeFill="background2"/>
            <w:vAlign w:val="center"/>
          </w:tcPr>
          <w:p>
            <w:pPr>
              <w:widowControl/>
              <w:jc w:val="center"/>
              <w:rPr>
                <w:color w:val="auto"/>
                <w:kern w:val="0"/>
                <w:sz w:val="22"/>
                <w:szCs w:val="22"/>
              </w:rPr>
            </w:pP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134</w:t>
            </w:r>
          </w:p>
        </w:tc>
        <w:tc>
          <w:tcPr>
            <w:tcW w:w="1921" w:type="dxa"/>
            <w:shd w:val="clear" w:color="auto" w:fill="E7E6E6" w:themeFill="background2"/>
            <w:vAlign w:val="center"/>
          </w:tcPr>
          <w:p>
            <w:pPr>
              <w:widowControl/>
              <w:jc w:val="center"/>
              <w:rPr>
                <w:color w:val="auto"/>
                <w:kern w:val="0"/>
                <w:sz w:val="22"/>
                <w:szCs w:val="22"/>
              </w:rPr>
            </w:pPr>
            <w:r>
              <w:rPr>
                <w:color w:val="auto"/>
                <w:kern w:val="0"/>
                <w:sz w:val="22"/>
                <w:szCs w:val="22"/>
              </w:rPr>
              <w:t>99</w:t>
            </w:r>
          </w:p>
        </w:tc>
        <w:tc>
          <w:tcPr>
            <w:tcW w:w="1479" w:type="dxa"/>
            <w:shd w:val="clear" w:color="auto" w:fill="E7E6E6" w:themeFill="background2"/>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0"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五</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原料化利用</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套</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rFonts w:hint="eastAsia" w:eastAsia="宋体"/>
                <w:color w:val="auto"/>
                <w:kern w:val="0"/>
                <w:sz w:val="22"/>
                <w:szCs w:val="22"/>
                <w:lang w:eastAsia="zh-CN"/>
              </w:rPr>
            </w:pPr>
            <w:r>
              <w:rPr>
                <w:color w:val="auto"/>
                <w:kern w:val="0"/>
                <w:sz w:val="22"/>
                <w:szCs w:val="22"/>
              </w:rPr>
              <w:t>1</w:t>
            </w:r>
            <w:r>
              <w:rPr>
                <w:rFonts w:hint="eastAsia"/>
                <w:color w:val="auto"/>
                <w:kern w:val="0"/>
                <w:sz w:val="22"/>
                <w:szCs w:val="22"/>
                <w:lang w:val="en-US" w:eastAsia="zh-CN"/>
              </w:rPr>
              <w:t>00</w:t>
            </w:r>
          </w:p>
        </w:tc>
        <w:tc>
          <w:tcPr>
            <w:tcW w:w="1921" w:type="dxa"/>
            <w:shd w:val="clear" w:color="auto" w:fill="auto"/>
            <w:vAlign w:val="center"/>
          </w:tcPr>
          <w:p>
            <w:pPr>
              <w:widowControl/>
              <w:jc w:val="center"/>
              <w:rPr>
                <w:color w:val="auto"/>
                <w:kern w:val="0"/>
                <w:sz w:val="22"/>
                <w:szCs w:val="22"/>
              </w:rPr>
            </w:pPr>
            <w:r>
              <w:rPr>
                <w:color w:val="auto"/>
                <w:kern w:val="0"/>
                <w:sz w:val="22"/>
                <w:szCs w:val="22"/>
              </w:rPr>
              <w:t>80</w:t>
            </w:r>
          </w:p>
        </w:tc>
        <w:tc>
          <w:tcPr>
            <w:tcW w:w="1479" w:type="dxa"/>
            <w:shd w:val="clear" w:color="auto" w:fill="auto"/>
            <w:vAlign w:val="center"/>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原料化利用小计</w:t>
            </w:r>
          </w:p>
        </w:tc>
        <w:tc>
          <w:tcPr>
            <w:tcW w:w="684" w:type="dxa"/>
            <w:shd w:val="clear" w:color="auto" w:fill="E7E6E6" w:themeFill="background2"/>
            <w:vAlign w:val="center"/>
          </w:tcPr>
          <w:p>
            <w:pPr>
              <w:widowControl/>
              <w:jc w:val="center"/>
              <w:rPr>
                <w:color w:val="auto"/>
                <w:kern w:val="0"/>
                <w:sz w:val="22"/>
                <w:szCs w:val="22"/>
              </w:rPr>
            </w:pPr>
          </w:p>
        </w:tc>
        <w:tc>
          <w:tcPr>
            <w:tcW w:w="913" w:type="dxa"/>
            <w:shd w:val="clear" w:color="auto" w:fill="E7E6E6" w:themeFill="background2"/>
            <w:vAlign w:val="center"/>
          </w:tcPr>
          <w:p>
            <w:pPr>
              <w:widowControl/>
              <w:jc w:val="center"/>
              <w:rPr>
                <w:color w:val="auto"/>
                <w:kern w:val="0"/>
                <w:sz w:val="22"/>
                <w:szCs w:val="22"/>
              </w:rPr>
            </w:pP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center"/>
          </w:tcPr>
          <w:p>
            <w:pPr>
              <w:widowControl/>
              <w:jc w:val="center"/>
              <w:rPr>
                <w:rFonts w:hint="eastAsia" w:eastAsia="宋体"/>
                <w:color w:val="auto"/>
                <w:kern w:val="0"/>
                <w:sz w:val="22"/>
                <w:szCs w:val="22"/>
                <w:lang w:eastAsia="zh-CN"/>
              </w:rPr>
            </w:pPr>
            <w:r>
              <w:rPr>
                <w:color w:val="auto"/>
                <w:kern w:val="0"/>
                <w:sz w:val="22"/>
                <w:szCs w:val="22"/>
              </w:rPr>
              <w:t>1</w:t>
            </w:r>
            <w:r>
              <w:rPr>
                <w:rFonts w:hint="eastAsia"/>
                <w:color w:val="auto"/>
                <w:kern w:val="0"/>
                <w:sz w:val="22"/>
                <w:szCs w:val="22"/>
                <w:lang w:val="en-US" w:eastAsia="zh-CN"/>
              </w:rPr>
              <w:t>00</w:t>
            </w:r>
          </w:p>
        </w:tc>
        <w:tc>
          <w:tcPr>
            <w:tcW w:w="1921" w:type="dxa"/>
            <w:shd w:val="clear" w:color="auto" w:fill="E7E6E6" w:themeFill="background2"/>
            <w:vAlign w:val="center"/>
          </w:tcPr>
          <w:p>
            <w:pPr>
              <w:widowControl/>
              <w:jc w:val="center"/>
              <w:rPr>
                <w:color w:val="auto"/>
                <w:kern w:val="0"/>
                <w:sz w:val="22"/>
                <w:szCs w:val="22"/>
              </w:rPr>
            </w:pPr>
            <w:r>
              <w:rPr>
                <w:color w:val="auto"/>
                <w:kern w:val="0"/>
                <w:sz w:val="22"/>
                <w:szCs w:val="22"/>
              </w:rPr>
              <w:t>80</w:t>
            </w:r>
          </w:p>
        </w:tc>
        <w:tc>
          <w:tcPr>
            <w:tcW w:w="1479" w:type="dxa"/>
            <w:shd w:val="clear" w:color="auto" w:fill="E7E6E6" w:themeFill="background2"/>
            <w:vAlign w:val="center"/>
          </w:tcPr>
          <w:p>
            <w:pPr>
              <w:jc w:val="center"/>
              <w:rPr>
                <w:rFonts w:hint="default" w:eastAsia="宋体"/>
                <w:color w:val="auto"/>
                <w:kern w:val="0"/>
                <w:sz w:val="22"/>
                <w:szCs w:val="22"/>
                <w:lang w:val="en-US" w:eastAsia="zh-CN"/>
              </w:rPr>
            </w:pPr>
            <w:r>
              <w:rPr>
                <w:rFonts w:hint="eastAsia"/>
                <w:color w:val="auto"/>
                <w:kern w:val="0"/>
                <w:sz w:val="22"/>
                <w:szCs w:val="22"/>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六</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还田监测及数据测算</w:t>
            </w:r>
          </w:p>
        </w:tc>
        <w:tc>
          <w:tcPr>
            <w:tcW w:w="684" w:type="dxa"/>
            <w:shd w:val="clear" w:color="auto" w:fill="auto"/>
            <w:vAlign w:val="center"/>
          </w:tcPr>
          <w:p>
            <w:pPr>
              <w:widowControl/>
              <w:jc w:val="center"/>
              <w:rPr>
                <w:color w:val="auto"/>
                <w:kern w:val="0"/>
                <w:sz w:val="22"/>
                <w:szCs w:val="22"/>
              </w:rPr>
            </w:pPr>
          </w:p>
        </w:tc>
        <w:tc>
          <w:tcPr>
            <w:tcW w:w="913" w:type="dxa"/>
            <w:shd w:val="clear" w:color="auto" w:fill="auto"/>
            <w:vAlign w:val="center"/>
          </w:tcPr>
          <w:p>
            <w:pPr>
              <w:widowControl/>
              <w:jc w:val="center"/>
              <w:rPr>
                <w:color w:val="auto"/>
                <w:kern w:val="0"/>
                <w:sz w:val="22"/>
                <w:szCs w:val="22"/>
              </w:rPr>
            </w:pPr>
            <w:r>
              <w:rPr>
                <w:color w:val="auto"/>
                <w:kern w:val="0"/>
                <w:sz w:val="22"/>
                <w:szCs w:val="22"/>
              </w:rPr>
              <w:t>　</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还田监测</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组</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r>
              <w:rPr>
                <w:color w:val="auto"/>
                <w:kern w:val="0"/>
                <w:sz w:val="22"/>
                <w:szCs w:val="22"/>
              </w:rPr>
              <w:t>10</w:t>
            </w: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r>
              <w:rPr>
                <w:color w:val="auto"/>
                <w:kern w:val="0"/>
                <w:sz w:val="22"/>
                <w:szCs w:val="22"/>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2</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数据测算</w:t>
            </w:r>
          </w:p>
        </w:tc>
        <w:tc>
          <w:tcPr>
            <w:tcW w:w="684" w:type="dxa"/>
            <w:shd w:val="clear" w:color="auto" w:fill="auto"/>
            <w:vAlign w:val="center"/>
          </w:tcPr>
          <w:p>
            <w:pPr>
              <w:widowControl/>
              <w:jc w:val="center"/>
              <w:rPr>
                <w:color w:val="auto"/>
                <w:kern w:val="0"/>
                <w:sz w:val="22"/>
                <w:szCs w:val="22"/>
              </w:rPr>
            </w:pPr>
            <w:r>
              <w:rPr>
                <w:color w:val="auto"/>
                <w:kern w:val="0"/>
                <w:sz w:val="22"/>
                <w:szCs w:val="22"/>
              </w:rPr>
              <w:t>1</w:t>
            </w:r>
          </w:p>
        </w:tc>
        <w:tc>
          <w:tcPr>
            <w:tcW w:w="913" w:type="dxa"/>
            <w:shd w:val="clear" w:color="auto" w:fill="auto"/>
            <w:vAlign w:val="center"/>
          </w:tcPr>
          <w:p>
            <w:pPr>
              <w:widowControl/>
              <w:jc w:val="center"/>
              <w:rPr>
                <w:color w:val="auto"/>
                <w:kern w:val="0"/>
                <w:sz w:val="22"/>
                <w:szCs w:val="22"/>
              </w:rPr>
            </w:pPr>
            <w:r>
              <w:rPr>
                <w:color w:val="auto"/>
                <w:kern w:val="0"/>
                <w:sz w:val="22"/>
                <w:szCs w:val="22"/>
              </w:rPr>
              <w:t>组</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r>
              <w:rPr>
                <w:color w:val="auto"/>
                <w:kern w:val="0"/>
                <w:sz w:val="22"/>
                <w:szCs w:val="22"/>
              </w:rPr>
              <w:t>10</w:t>
            </w: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r>
              <w:rPr>
                <w:color w:val="auto"/>
                <w:kern w:val="0"/>
                <w:sz w:val="22"/>
                <w:szCs w:val="22"/>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还田监测小计</w:t>
            </w:r>
          </w:p>
        </w:tc>
        <w:tc>
          <w:tcPr>
            <w:tcW w:w="684" w:type="dxa"/>
            <w:shd w:val="clear" w:color="auto" w:fill="E7E6E6" w:themeFill="background2"/>
            <w:vAlign w:val="center"/>
          </w:tcPr>
          <w:p>
            <w:pPr>
              <w:widowControl/>
              <w:jc w:val="center"/>
              <w:rPr>
                <w:color w:val="auto"/>
                <w:kern w:val="0"/>
                <w:sz w:val="22"/>
                <w:szCs w:val="22"/>
              </w:rPr>
            </w:pPr>
          </w:p>
        </w:tc>
        <w:tc>
          <w:tcPr>
            <w:tcW w:w="913" w:type="dxa"/>
            <w:shd w:val="clear" w:color="auto" w:fill="E7E6E6" w:themeFill="background2"/>
            <w:vAlign w:val="center"/>
          </w:tcPr>
          <w:p>
            <w:pPr>
              <w:widowControl/>
              <w:jc w:val="center"/>
              <w:rPr>
                <w:color w:val="auto"/>
                <w:kern w:val="0"/>
                <w:sz w:val="22"/>
                <w:szCs w:val="22"/>
              </w:rPr>
            </w:pP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center"/>
          </w:tcPr>
          <w:p>
            <w:pPr>
              <w:widowControl/>
              <w:jc w:val="center"/>
              <w:rPr>
                <w:color w:val="auto"/>
                <w:kern w:val="0"/>
                <w:sz w:val="22"/>
                <w:szCs w:val="22"/>
              </w:rPr>
            </w:pPr>
            <w:r>
              <w:rPr>
                <w:color w:val="auto"/>
                <w:kern w:val="0"/>
                <w:sz w:val="22"/>
                <w:szCs w:val="22"/>
              </w:rPr>
              <w:t>20</w:t>
            </w:r>
          </w:p>
        </w:tc>
        <w:tc>
          <w:tcPr>
            <w:tcW w:w="1921" w:type="dxa"/>
            <w:shd w:val="clear" w:color="auto" w:fill="E7E6E6" w:themeFill="background2"/>
            <w:vAlign w:val="center"/>
          </w:tcPr>
          <w:p>
            <w:pPr>
              <w:widowControl/>
              <w:jc w:val="center"/>
              <w:rPr>
                <w:color w:val="auto"/>
                <w:kern w:val="0"/>
                <w:sz w:val="22"/>
                <w:szCs w:val="22"/>
              </w:rPr>
            </w:pPr>
          </w:p>
        </w:tc>
        <w:tc>
          <w:tcPr>
            <w:tcW w:w="1479" w:type="dxa"/>
            <w:shd w:val="clear" w:color="auto" w:fill="E7E6E6" w:themeFill="background2"/>
            <w:vAlign w:val="center"/>
          </w:tcPr>
          <w:p>
            <w:pPr>
              <w:jc w:val="center"/>
              <w:rPr>
                <w:color w:val="auto"/>
                <w:kern w:val="0"/>
                <w:sz w:val="22"/>
                <w:szCs w:val="22"/>
              </w:rPr>
            </w:pPr>
            <w:r>
              <w:rPr>
                <w:color w:val="auto"/>
                <w:kern w:val="0"/>
                <w:sz w:val="22"/>
                <w:szCs w:val="22"/>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七</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技术服务</w:t>
            </w:r>
          </w:p>
        </w:tc>
        <w:tc>
          <w:tcPr>
            <w:tcW w:w="684" w:type="dxa"/>
            <w:shd w:val="clear" w:color="auto" w:fill="auto"/>
            <w:vAlign w:val="center"/>
          </w:tcPr>
          <w:p>
            <w:pPr>
              <w:widowControl/>
              <w:jc w:val="center"/>
              <w:rPr>
                <w:color w:val="auto"/>
                <w:kern w:val="0"/>
                <w:sz w:val="22"/>
                <w:szCs w:val="22"/>
              </w:rPr>
            </w:pPr>
          </w:p>
        </w:tc>
        <w:tc>
          <w:tcPr>
            <w:tcW w:w="913" w:type="dxa"/>
            <w:shd w:val="clear" w:color="auto" w:fill="auto"/>
            <w:vAlign w:val="center"/>
          </w:tcPr>
          <w:p>
            <w:pPr>
              <w:widowControl/>
              <w:jc w:val="center"/>
              <w:rPr>
                <w:color w:val="auto"/>
                <w:kern w:val="0"/>
                <w:sz w:val="22"/>
                <w:szCs w:val="22"/>
              </w:rPr>
            </w:pPr>
            <w:r>
              <w:rPr>
                <w:color w:val="auto"/>
                <w:kern w:val="0"/>
                <w:sz w:val="22"/>
                <w:szCs w:val="22"/>
              </w:rPr>
              <w:t>　</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center"/>
          </w:tcPr>
          <w:p>
            <w:pPr>
              <w:widowControl/>
              <w:jc w:val="center"/>
              <w:rPr>
                <w:color w:val="auto"/>
                <w:kern w:val="0"/>
                <w:sz w:val="22"/>
                <w:szCs w:val="22"/>
              </w:rPr>
            </w:pPr>
          </w:p>
        </w:tc>
        <w:tc>
          <w:tcPr>
            <w:tcW w:w="1921" w:type="dxa"/>
            <w:shd w:val="clear" w:color="auto" w:fill="auto"/>
            <w:vAlign w:val="center"/>
          </w:tcPr>
          <w:p>
            <w:pPr>
              <w:widowControl/>
              <w:jc w:val="center"/>
              <w:rPr>
                <w:color w:val="auto"/>
                <w:kern w:val="0"/>
                <w:sz w:val="22"/>
                <w:szCs w:val="22"/>
              </w:rPr>
            </w:pPr>
          </w:p>
        </w:tc>
        <w:tc>
          <w:tcPr>
            <w:tcW w:w="1479" w:type="dxa"/>
            <w:shd w:val="clear" w:color="auto" w:fill="auto"/>
            <w:vAlign w:val="center"/>
          </w:tcPr>
          <w:p>
            <w:pPr>
              <w:jc w:val="center"/>
              <w:rPr>
                <w:color w:val="auto"/>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8"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1</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综合利用方案编制</w:t>
            </w:r>
          </w:p>
        </w:tc>
        <w:tc>
          <w:tcPr>
            <w:tcW w:w="684" w:type="dxa"/>
            <w:shd w:val="clear" w:color="auto" w:fill="auto"/>
            <w:vAlign w:val="bottom"/>
          </w:tcPr>
          <w:p>
            <w:pPr>
              <w:widowControl/>
              <w:jc w:val="center"/>
              <w:rPr>
                <w:color w:val="auto"/>
                <w:kern w:val="0"/>
                <w:sz w:val="22"/>
                <w:szCs w:val="22"/>
              </w:rPr>
            </w:pPr>
            <w:r>
              <w:rPr>
                <w:color w:val="auto"/>
                <w:kern w:val="0"/>
                <w:sz w:val="22"/>
                <w:szCs w:val="22"/>
              </w:rPr>
              <w:t>1</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项</w:t>
            </w:r>
          </w:p>
        </w:tc>
        <w:tc>
          <w:tcPr>
            <w:tcW w:w="1602" w:type="dxa"/>
            <w:shd w:val="clear" w:color="auto" w:fill="auto"/>
            <w:vAlign w:val="bottom"/>
          </w:tcPr>
          <w:p>
            <w:pPr>
              <w:widowControl/>
              <w:jc w:val="center"/>
              <w:rPr>
                <w:color w:val="auto"/>
                <w:kern w:val="0"/>
                <w:sz w:val="22"/>
                <w:szCs w:val="22"/>
              </w:rPr>
            </w:pPr>
            <w:r>
              <w:rPr>
                <w:color w:val="auto"/>
                <w:kern w:val="0"/>
                <w:sz w:val="22"/>
                <w:szCs w:val="22"/>
              </w:rPr>
              <w:t>9.8</w:t>
            </w:r>
          </w:p>
        </w:tc>
        <w:tc>
          <w:tcPr>
            <w:tcW w:w="1656" w:type="dxa"/>
            <w:shd w:val="clear" w:color="auto" w:fill="auto"/>
            <w:vAlign w:val="bottom"/>
          </w:tcPr>
          <w:p>
            <w:pPr>
              <w:widowControl/>
              <w:jc w:val="center"/>
              <w:rPr>
                <w:color w:val="auto"/>
                <w:kern w:val="0"/>
                <w:sz w:val="22"/>
                <w:szCs w:val="22"/>
              </w:rPr>
            </w:pPr>
            <w:r>
              <w:rPr>
                <w:color w:val="auto"/>
                <w:kern w:val="0"/>
                <w:sz w:val="22"/>
                <w:szCs w:val="22"/>
              </w:rPr>
              <w:t>9.8</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color w:val="auto"/>
                <w:kern w:val="0"/>
                <w:sz w:val="22"/>
                <w:szCs w:val="22"/>
              </w:rPr>
            </w:pPr>
            <w:r>
              <w:rPr>
                <w:color w:val="auto"/>
                <w:kern w:val="0"/>
                <w:sz w:val="22"/>
                <w:szCs w:val="22"/>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2</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技术宣传培训</w:t>
            </w:r>
          </w:p>
        </w:tc>
        <w:tc>
          <w:tcPr>
            <w:tcW w:w="684" w:type="dxa"/>
            <w:shd w:val="clear" w:color="auto" w:fill="auto"/>
            <w:vAlign w:val="bottom"/>
          </w:tcPr>
          <w:p>
            <w:pPr>
              <w:widowControl/>
              <w:jc w:val="center"/>
              <w:rPr>
                <w:color w:val="auto"/>
                <w:kern w:val="0"/>
                <w:sz w:val="22"/>
                <w:szCs w:val="22"/>
              </w:rPr>
            </w:pPr>
            <w:r>
              <w:rPr>
                <w:color w:val="auto"/>
                <w:kern w:val="0"/>
                <w:sz w:val="22"/>
                <w:szCs w:val="22"/>
              </w:rPr>
              <w:t>2</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次</w:t>
            </w:r>
          </w:p>
        </w:tc>
        <w:tc>
          <w:tcPr>
            <w:tcW w:w="1602" w:type="dxa"/>
            <w:shd w:val="clear" w:color="auto" w:fill="auto"/>
            <w:vAlign w:val="bottom"/>
          </w:tcPr>
          <w:p>
            <w:pPr>
              <w:widowControl/>
              <w:jc w:val="center"/>
              <w:rPr>
                <w:color w:val="auto"/>
                <w:kern w:val="0"/>
                <w:sz w:val="22"/>
                <w:szCs w:val="22"/>
              </w:rPr>
            </w:pPr>
            <w:r>
              <w:rPr>
                <w:color w:val="auto"/>
                <w:kern w:val="0"/>
                <w:sz w:val="22"/>
                <w:szCs w:val="22"/>
              </w:rPr>
              <w:t>2.8</w:t>
            </w:r>
          </w:p>
        </w:tc>
        <w:tc>
          <w:tcPr>
            <w:tcW w:w="1656" w:type="dxa"/>
            <w:shd w:val="clear" w:color="auto" w:fill="auto"/>
            <w:vAlign w:val="bottom"/>
          </w:tcPr>
          <w:p>
            <w:pPr>
              <w:widowControl/>
              <w:jc w:val="center"/>
              <w:rPr>
                <w:color w:val="auto"/>
                <w:kern w:val="0"/>
                <w:sz w:val="22"/>
                <w:szCs w:val="22"/>
              </w:rPr>
            </w:pPr>
            <w:r>
              <w:rPr>
                <w:color w:val="auto"/>
                <w:kern w:val="0"/>
                <w:sz w:val="22"/>
                <w:szCs w:val="22"/>
              </w:rPr>
              <w:t>5.6</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color w:val="auto"/>
                <w:kern w:val="0"/>
                <w:sz w:val="22"/>
                <w:szCs w:val="22"/>
              </w:rPr>
            </w:pPr>
            <w:r>
              <w:rPr>
                <w:color w:val="auto"/>
                <w:kern w:val="0"/>
                <w:sz w:val="22"/>
                <w:szCs w:val="22"/>
              </w:rPr>
              <w:t>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3</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宣传视频制作</w:t>
            </w:r>
          </w:p>
        </w:tc>
        <w:tc>
          <w:tcPr>
            <w:tcW w:w="684" w:type="dxa"/>
            <w:shd w:val="clear" w:color="auto" w:fill="auto"/>
            <w:vAlign w:val="bottom"/>
          </w:tcPr>
          <w:p>
            <w:pPr>
              <w:widowControl/>
              <w:jc w:val="center"/>
              <w:rPr>
                <w:color w:val="auto"/>
                <w:kern w:val="0"/>
                <w:sz w:val="22"/>
                <w:szCs w:val="22"/>
              </w:rPr>
            </w:pPr>
            <w:r>
              <w:rPr>
                <w:color w:val="auto"/>
                <w:kern w:val="0"/>
                <w:sz w:val="22"/>
                <w:szCs w:val="22"/>
              </w:rPr>
              <w:t>1</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个</w:t>
            </w:r>
          </w:p>
        </w:tc>
        <w:tc>
          <w:tcPr>
            <w:tcW w:w="1602" w:type="dxa"/>
            <w:shd w:val="clear" w:color="auto" w:fill="auto"/>
            <w:vAlign w:val="bottom"/>
          </w:tcPr>
          <w:p>
            <w:pPr>
              <w:widowControl/>
              <w:jc w:val="center"/>
              <w:rPr>
                <w:color w:val="auto"/>
                <w:kern w:val="0"/>
                <w:sz w:val="22"/>
                <w:szCs w:val="22"/>
              </w:rPr>
            </w:pPr>
            <w:r>
              <w:rPr>
                <w:color w:val="auto"/>
                <w:kern w:val="0"/>
                <w:sz w:val="22"/>
                <w:szCs w:val="22"/>
              </w:rPr>
              <w:t>0.83</w:t>
            </w:r>
          </w:p>
        </w:tc>
        <w:tc>
          <w:tcPr>
            <w:tcW w:w="1656" w:type="dxa"/>
            <w:shd w:val="clear" w:color="auto" w:fill="auto"/>
            <w:vAlign w:val="bottom"/>
          </w:tcPr>
          <w:p>
            <w:pPr>
              <w:widowControl/>
              <w:jc w:val="center"/>
              <w:rPr>
                <w:color w:val="auto"/>
                <w:kern w:val="0"/>
                <w:sz w:val="22"/>
                <w:szCs w:val="22"/>
              </w:rPr>
            </w:pPr>
            <w:r>
              <w:rPr>
                <w:color w:val="auto"/>
                <w:kern w:val="0"/>
                <w:sz w:val="22"/>
                <w:szCs w:val="22"/>
              </w:rPr>
              <w:t>0.83</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color w:val="auto"/>
                <w:kern w:val="0"/>
                <w:sz w:val="22"/>
                <w:szCs w:val="22"/>
              </w:rPr>
            </w:pPr>
            <w:r>
              <w:rPr>
                <w:color w:val="auto"/>
                <w:kern w:val="0"/>
                <w:sz w:val="22"/>
                <w:szCs w:val="22"/>
              </w:rPr>
              <w:t>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4</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宣传标识牌建设</w:t>
            </w:r>
          </w:p>
        </w:tc>
        <w:tc>
          <w:tcPr>
            <w:tcW w:w="684" w:type="dxa"/>
            <w:shd w:val="clear" w:color="auto" w:fill="auto"/>
            <w:vAlign w:val="bottom"/>
          </w:tcPr>
          <w:p>
            <w:pPr>
              <w:widowControl/>
              <w:jc w:val="center"/>
              <w:rPr>
                <w:color w:val="auto"/>
                <w:kern w:val="0"/>
                <w:sz w:val="22"/>
                <w:szCs w:val="22"/>
              </w:rPr>
            </w:pPr>
            <w:r>
              <w:rPr>
                <w:color w:val="auto"/>
                <w:kern w:val="0"/>
                <w:sz w:val="22"/>
                <w:szCs w:val="22"/>
              </w:rPr>
              <w:t>12</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次</w:t>
            </w:r>
          </w:p>
        </w:tc>
        <w:tc>
          <w:tcPr>
            <w:tcW w:w="1602" w:type="dxa"/>
            <w:shd w:val="clear" w:color="auto" w:fill="auto"/>
            <w:vAlign w:val="bottom"/>
          </w:tcPr>
          <w:p>
            <w:pPr>
              <w:widowControl/>
              <w:jc w:val="center"/>
              <w:rPr>
                <w:color w:val="auto"/>
                <w:kern w:val="0"/>
                <w:sz w:val="22"/>
                <w:szCs w:val="22"/>
              </w:rPr>
            </w:pPr>
            <w:r>
              <w:rPr>
                <w:color w:val="auto"/>
                <w:kern w:val="0"/>
                <w:sz w:val="22"/>
                <w:szCs w:val="22"/>
              </w:rPr>
              <w:t>0.6</w:t>
            </w:r>
          </w:p>
        </w:tc>
        <w:tc>
          <w:tcPr>
            <w:tcW w:w="1656" w:type="dxa"/>
            <w:shd w:val="clear" w:color="auto" w:fill="auto"/>
            <w:vAlign w:val="bottom"/>
          </w:tcPr>
          <w:p>
            <w:pPr>
              <w:widowControl/>
              <w:jc w:val="center"/>
              <w:rPr>
                <w:color w:val="auto"/>
                <w:kern w:val="0"/>
                <w:sz w:val="22"/>
                <w:szCs w:val="22"/>
              </w:rPr>
            </w:pPr>
            <w:r>
              <w:rPr>
                <w:color w:val="auto"/>
                <w:kern w:val="0"/>
                <w:sz w:val="22"/>
                <w:szCs w:val="22"/>
              </w:rPr>
              <w:t>7.2</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color w:val="auto"/>
                <w:kern w:val="0"/>
                <w:sz w:val="22"/>
                <w:szCs w:val="22"/>
                <w:lang w:bidi="ar"/>
              </w:rPr>
            </w:pPr>
            <w:r>
              <w:rPr>
                <w:color w:val="auto"/>
                <w:kern w:val="0"/>
                <w:sz w:val="22"/>
                <w:szCs w:val="22"/>
              </w:rPr>
              <w:t>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5</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媒体报道</w:t>
            </w:r>
          </w:p>
        </w:tc>
        <w:tc>
          <w:tcPr>
            <w:tcW w:w="684" w:type="dxa"/>
            <w:shd w:val="clear" w:color="auto" w:fill="auto"/>
            <w:vAlign w:val="bottom"/>
          </w:tcPr>
          <w:p>
            <w:pPr>
              <w:widowControl/>
              <w:jc w:val="center"/>
              <w:rPr>
                <w:color w:val="auto"/>
                <w:kern w:val="0"/>
                <w:sz w:val="22"/>
                <w:szCs w:val="22"/>
              </w:rPr>
            </w:pPr>
            <w:r>
              <w:rPr>
                <w:color w:val="auto"/>
                <w:kern w:val="0"/>
                <w:sz w:val="22"/>
                <w:szCs w:val="22"/>
              </w:rPr>
              <w:t>2</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次</w:t>
            </w:r>
          </w:p>
        </w:tc>
        <w:tc>
          <w:tcPr>
            <w:tcW w:w="1602" w:type="dxa"/>
            <w:shd w:val="clear" w:color="auto" w:fill="auto"/>
            <w:vAlign w:val="bottom"/>
          </w:tcPr>
          <w:p>
            <w:pPr>
              <w:widowControl/>
              <w:jc w:val="center"/>
              <w:rPr>
                <w:color w:val="auto"/>
                <w:kern w:val="0"/>
                <w:sz w:val="22"/>
                <w:szCs w:val="22"/>
              </w:rPr>
            </w:pPr>
            <w:r>
              <w:rPr>
                <w:color w:val="auto"/>
                <w:kern w:val="0"/>
                <w:sz w:val="22"/>
                <w:szCs w:val="22"/>
              </w:rPr>
              <w:t>0.62</w:t>
            </w:r>
          </w:p>
        </w:tc>
        <w:tc>
          <w:tcPr>
            <w:tcW w:w="1656" w:type="dxa"/>
            <w:shd w:val="clear" w:color="auto" w:fill="auto"/>
            <w:vAlign w:val="bottom"/>
          </w:tcPr>
          <w:p>
            <w:pPr>
              <w:widowControl/>
              <w:jc w:val="center"/>
              <w:rPr>
                <w:color w:val="auto"/>
                <w:kern w:val="0"/>
                <w:sz w:val="22"/>
                <w:szCs w:val="22"/>
              </w:rPr>
            </w:pPr>
            <w:r>
              <w:rPr>
                <w:color w:val="auto"/>
                <w:kern w:val="0"/>
                <w:sz w:val="22"/>
                <w:szCs w:val="22"/>
              </w:rPr>
              <w:t>1.24</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color w:val="auto"/>
                <w:kern w:val="0"/>
                <w:sz w:val="22"/>
                <w:szCs w:val="22"/>
              </w:rPr>
            </w:pPr>
            <w:r>
              <w:rPr>
                <w:color w:val="auto"/>
                <w:kern w:val="0"/>
                <w:sz w:val="22"/>
                <w:szCs w:val="22"/>
              </w:rPr>
              <w:t>1.24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454" w:type="dxa"/>
            <w:shd w:val="clear" w:color="auto" w:fill="auto"/>
            <w:vAlign w:val="bottom"/>
          </w:tcPr>
          <w:p>
            <w:pPr>
              <w:widowControl/>
              <w:jc w:val="center"/>
              <w:rPr>
                <w:color w:val="auto"/>
                <w:kern w:val="0"/>
                <w:sz w:val="22"/>
                <w:szCs w:val="22"/>
              </w:rPr>
            </w:pPr>
            <w:r>
              <w:rPr>
                <w:color w:val="auto"/>
                <w:kern w:val="0"/>
                <w:sz w:val="22"/>
                <w:szCs w:val="22"/>
              </w:rPr>
              <w:t>6</w:t>
            </w:r>
          </w:p>
        </w:tc>
        <w:tc>
          <w:tcPr>
            <w:tcW w:w="4587"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验收、审计费用</w:t>
            </w:r>
          </w:p>
        </w:tc>
        <w:tc>
          <w:tcPr>
            <w:tcW w:w="684" w:type="dxa"/>
            <w:shd w:val="clear" w:color="auto" w:fill="auto"/>
            <w:vAlign w:val="bottom"/>
          </w:tcPr>
          <w:p>
            <w:pPr>
              <w:widowControl/>
              <w:jc w:val="center"/>
              <w:rPr>
                <w:color w:val="auto"/>
                <w:kern w:val="0"/>
                <w:sz w:val="22"/>
                <w:szCs w:val="22"/>
              </w:rPr>
            </w:pPr>
            <w:r>
              <w:rPr>
                <w:color w:val="auto"/>
                <w:kern w:val="0"/>
                <w:sz w:val="22"/>
                <w:szCs w:val="22"/>
              </w:rPr>
              <w:t>1</w:t>
            </w:r>
          </w:p>
        </w:tc>
        <w:tc>
          <w:tcPr>
            <w:tcW w:w="913" w:type="dxa"/>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次</w:t>
            </w:r>
          </w:p>
        </w:tc>
        <w:tc>
          <w:tcPr>
            <w:tcW w:w="1602" w:type="dxa"/>
            <w:shd w:val="clear" w:color="auto" w:fill="auto"/>
            <w:vAlign w:val="bottom"/>
          </w:tcPr>
          <w:p>
            <w:pPr>
              <w:widowControl/>
              <w:jc w:val="center"/>
              <w:rPr>
                <w:color w:val="auto"/>
                <w:kern w:val="0"/>
                <w:sz w:val="22"/>
                <w:szCs w:val="22"/>
              </w:rPr>
            </w:pPr>
            <w:r>
              <w:rPr>
                <w:rFonts w:hint="eastAsia"/>
                <w:color w:val="auto"/>
                <w:kern w:val="0"/>
                <w:sz w:val="22"/>
                <w:szCs w:val="22"/>
                <w:lang w:val="en-US" w:eastAsia="zh-CN"/>
              </w:rPr>
              <w:t>4.28</w:t>
            </w: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4.28</w:t>
            </w:r>
          </w:p>
        </w:tc>
        <w:tc>
          <w:tcPr>
            <w:tcW w:w="1921" w:type="dxa"/>
            <w:shd w:val="clear" w:color="auto" w:fill="auto"/>
            <w:vAlign w:val="bottom"/>
          </w:tcPr>
          <w:p>
            <w:pPr>
              <w:widowControl/>
              <w:jc w:val="center"/>
              <w:rPr>
                <w:color w:val="auto"/>
                <w:kern w:val="0"/>
                <w:sz w:val="22"/>
                <w:szCs w:val="22"/>
              </w:rPr>
            </w:pPr>
          </w:p>
        </w:tc>
        <w:tc>
          <w:tcPr>
            <w:tcW w:w="1479"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4.33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trPr>
        <w:tc>
          <w:tcPr>
            <w:tcW w:w="5041" w:type="dxa"/>
            <w:gridSpan w:val="2"/>
            <w:shd w:val="clear" w:color="auto" w:fill="E7E6E6" w:themeFill="background2"/>
            <w:vAlign w:val="bottom"/>
          </w:tcPr>
          <w:p>
            <w:pPr>
              <w:widowControl/>
              <w:jc w:val="center"/>
              <w:rPr>
                <w:rFonts w:eastAsia="等线"/>
                <w:color w:val="auto"/>
                <w:kern w:val="0"/>
                <w:sz w:val="22"/>
                <w:szCs w:val="22"/>
              </w:rPr>
            </w:pPr>
            <w:r>
              <w:rPr>
                <w:rFonts w:eastAsia="等线"/>
                <w:color w:val="auto"/>
                <w:kern w:val="0"/>
                <w:sz w:val="22"/>
                <w:szCs w:val="22"/>
              </w:rPr>
              <w:t>技术服务小计</w:t>
            </w:r>
          </w:p>
        </w:tc>
        <w:tc>
          <w:tcPr>
            <w:tcW w:w="684" w:type="dxa"/>
            <w:shd w:val="clear" w:color="auto" w:fill="E7E6E6" w:themeFill="background2"/>
            <w:vAlign w:val="center"/>
          </w:tcPr>
          <w:p>
            <w:pPr>
              <w:widowControl/>
              <w:jc w:val="center"/>
              <w:rPr>
                <w:color w:val="auto"/>
                <w:kern w:val="0"/>
                <w:sz w:val="22"/>
                <w:szCs w:val="22"/>
              </w:rPr>
            </w:pPr>
            <w:r>
              <w:rPr>
                <w:color w:val="auto"/>
                <w:kern w:val="0"/>
                <w:sz w:val="22"/>
                <w:szCs w:val="22"/>
              </w:rPr>
              <w:t>　</w:t>
            </w:r>
          </w:p>
        </w:tc>
        <w:tc>
          <w:tcPr>
            <w:tcW w:w="913" w:type="dxa"/>
            <w:shd w:val="clear" w:color="auto" w:fill="E7E6E6" w:themeFill="background2"/>
            <w:vAlign w:val="center"/>
          </w:tcPr>
          <w:p>
            <w:pPr>
              <w:widowControl/>
              <w:jc w:val="center"/>
              <w:rPr>
                <w:color w:val="auto"/>
                <w:kern w:val="0"/>
                <w:sz w:val="22"/>
                <w:szCs w:val="22"/>
              </w:rPr>
            </w:pPr>
            <w:r>
              <w:rPr>
                <w:color w:val="auto"/>
                <w:kern w:val="0"/>
                <w:sz w:val="22"/>
                <w:szCs w:val="22"/>
              </w:rPr>
              <w:t>　</w:t>
            </w:r>
          </w:p>
        </w:tc>
        <w:tc>
          <w:tcPr>
            <w:tcW w:w="1602" w:type="dxa"/>
            <w:shd w:val="clear" w:color="auto" w:fill="E7E6E6" w:themeFill="background2"/>
            <w:vAlign w:val="center"/>
          </w:tcPr>
          <w:p>
            <w:pPr>
              <w:widowControl/>
              <w:jc w:val="center"/>
              <w:rPr>
                <w:color w:val="auto"/>
                <w:kern w:val="0"/>
                <w:sz w:val="22"/>
                <w:szCs w:val="22"/>
              </w:rPr>
            </w:pPr>
          </w:p>
        </w:tc>
        <w:tc>
          <w:tcPr>
            <w:tcW w:w="1656" w:type="dxa"/>
            <w:shd w:val="clear" w:color="auto" w:fill="E7E6E6" w:themeFill="background2"/>
            <w:vAlign w:val="bottom"/>
          </w:tcPr>
          <w:p>
            <w:pPr>
              <w:widowControl/>
              <w:jc w:val="center"/>
              <w:rPr>
                <w:rFonts w:hint="default" w:eastAsia="宋体"/>
                <w:color w:val="auto"/>
                <w:kern w:val="0"/>
                <w:sz w:val="22"/>
                <w:szCs w:val="22"/>
                <w:lang w:val="en-US" w:eastAsia="zh-CN"/>
              </w:rPr>
            </w:pPr>
            <w:r>
              <w:rPr>
                <w:color w:val="auto"/>
                <w:kern w:val="0"/>
                <w:sz w:val="22"/>
                <w:szCs w:val="22"/>
              </w:rPr>
              <w:t>2</w:t>
            </w:r>
            <w:r>
              <w:rPr>
                <w:rFonts w:hint="eastAsia"/>
                <w:color w:val="auto"/>
                <w:kern w:val="0"/>
                <w:sz w:val="22"/>
                <w:szCs w:val="22"/>
                <w:lang w:val="en-US" w:eastAsia="zh-CN"/>
              </w:rPr>
              <w:t>8</w:t>
            </w:r>
            <w:r>
              <w:rPr>
                <w:color w:val="auto"/>
                <w:kern w:val="0"/>
                <w:sz w:val="22"/>
                <w:szCs w:val="22"/>
              </w:rPr>
              <w:t>.</w:t>
            </w:r>
            <w:r>
              <w:rPr>
                <w:rFonts w:hint="eastAsia"/>
                <w:color w:val="auto"/>
                <w:kern w:val="0"/>
                <w:sz w:val="22"/>
                <w:szCs w:val="22"/>
                <w:lang w:val="en-US" w:eastAsia="zh-CN"/>
              </w:rPr>
              <w:t>95</w:t>
            </w:r>
          </w:p>
        </w:tc>
        <w:tc>
          <w:tcPr>
            <w:tcW w:w="1921" w:type="dxa"/>
            <w:shd w:val="clear" w:color="auto" w:fill="E7E6E6" w:themeFill="background2"/>
            <w:vAlign w:val="bottom"/>
          </w:tcPr>
          <w:p>
            <w:pPr>
              <w:widowControl/>
              <w:jc w:val="center"/>
              <w:rPr>
                <w:color w:val="auto"/>
                <w:kern w:val="0"/>
                <w:sz w:val="22"/>
                <w:szCs w:val="22"/>
              </w:rPr>
            </w:pPr>
          </w:p>
        </w:tc>
        <w:tc>
          <w:tcPr>
            <w:tcW w:w="1479" w:type="dxa"/>
            <w:shd w:val="clear" w:color="auto" w:fill="E7E6E6" w:themeFill="background2"/>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28.95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13" w:hRule="atLeast"/>
        </w:trPr>
        <w:tc>
          <w:tcPr>
            <w:tcW w:w="5041" w:type="dxa"/>
            <w:gridSpan w:val="2"/>
            <w:shd w:val="clear" w:color="auto" w:fill="auto"/>
            <w:vAlign w:val="bottom"/>
          </w:tcPr>
          <w:p>
            <w:pPr>
              <w:widowControl/>
              <w:jc w:val="center"/>
              <w:rPr>
                <w:rFonts w:eastAsia="等线"/>
                <w:color w:val="auto"/>
                <w:kern w:val="0"/>
                <w:sz w:val="22"/>
                <w:szCs w:val="22"/>
              </w:rPr>
            </w:pPr>
            <w:r>
              <w:rPr>
                <w:rFonts w:eastAsia="等线"/>
                <w:color w:val="auto"/>
                <w:kern w:val="0"/>
                <w:sz w:val="22"/>
                <w:szCs w:val="22"/>
              </w:rPr>
              <w:t>合计</w:t>
            </w:r>
          </w:p>
        </w:tc>
        <w:tc>
          <w:tcPr>
            <w:tcW w:w="684" w:type="dxa"/>
            <w:shd w:val="clear" w:color="auto" w:fill="auto"/>
            <w:vAlign w:val="center"/>
          </w:tcPr>
          <w:p>
            <w:pPr>
              <w:widowControl/>
              <w:jc w:val="center"/>
              <w:rPr>
                <w:color w:val="auto"/>
                <w:kern w:val="0"/>
                <w:sz w:val="22"/>
                <w:szCs w:val="22"/>
              </w:rPr>
            </w:pPr>
            <w:r>
              <w:rPr>
                <w:color w:val="auto"/>
                <w:kern w:val="0"/>
                <w:sz w:val="22"/>
                <w:szCs w:val="22"/>
              </w:rPr>
              <w:t>　</w:t>
            </w:r>
          </w:p>
        </w:tc>
        <w:tc>
          <w:tcPr>
            <w:tcW w:w="913" w:type="dxa"/>
            <w:shd w:val="clear" w:color="auto" w:fill="auto"/>
            <w:vAlign w:val="center"/>
          </w:tcPr>
          <w:p>
            <w:pPr>
              <w:widowControl/>
              <w:jc w:val="center"/>
              <w:rPr>
                <w:color w:val="auto"/>
                <w:kern w:val="0"/>
                <w:sz w:val="22"/>
                <w:szCs w:val="22"/>
              </w:rPr>
            </w:pPr>
            <w:r>
              <w:rPr>
                <w:color w:val="auto"/>
                <w:kern w:val="0"/>
                <w:sz w:val="22"/>
                <w:szCs w:val="22"/>
              </w:rPr>
              <w:t>　</w:t>
            </w:r>
          </w:p>
        </w:tc>
        <w:tc>
          <w:tcPr>
            <w:tcW w:w="1602" w:type="dxa"/>
            <w:shd w:val="clear" w:color="auto" w:fill="auto"/>
            <w:vAlign w:val="center"/>
          </w:tcPr>
          <w:p>
            <w:pPr>
              <w:widowControl/>
              <w:jc w:val="center"/>
              <w:rPr>
                <w:color w:val="auto"/>
                <w:kern w:val="0"/>
                <w:sz w:val="22"/>
                <w:szCs w:val="22"/>
              </w:rPr>
            </w:pPr>
          </w:p>
        </w:tc>
        <w:tc>
          <w:tcPr>
            <w:tcW w:w="1656"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920.75</w:t>
            </w:r>
          </w:p>
        </w:tc>
        <w:tc>
          <w:tcPr>
            <w:tcW w:w="1921" w:type="dxa"/>
            <w:shd w:val="clear" w:color="auto" w:fill="auto"/>
            <w:vAlign w:val="bottom"/>
          </w:tcPr>
          <w:p>
            <w:pPr>
              <w:widowControl/>
              <w:jc w:val="center"/>
              <w:rPr>
                <w:rFonts w:hint="default" w:eastAsia="宋体"/>
                <w:color w:val="auto"/>
                <w:kern w:val="0"/>
                <w:sz w:val="22"/>
                <w:szCs w:val="22"/>
                <w:lang w:val="en-US" w:eastAsia="zh-CN"/>
              </w:rPr>
            </w:pPr>
            <w:r>
              <w:rPr>
                <w:rFonts w:hint="eastAsia"/>
                <w:color w:val="auto"/>
                <w:kern w:val="0"/>
                <w:sz w:val="22"/>
                <w:szCs w:val="22"/>
                <w:lang w:val="en-US" w:eastAsia="zh-CN"/>
              </w:rPr>
              <w:t>520.75</w:t>
            </w:r>
          </w:p>
        </w:tc>
        <w:tc>
          <w:tcPr>
            <w:tcW w:w="1479" w:type="dxa"/>
            <w:shd w:val="clear" w:color="auto" w:fill="auto"/>
            <w:vAlign w:val="bottom"/>
          </w:tcPr>
          <w:p>
            <w:pPr>
              <w:widowControl/>
              <w:jc w:val="center"/>
              <w:rPr>
                <w:color w:val="auto"/>
                <w:kern w:val="0"/>
                <w:sz w:val="22"/>
                <w:szCs w:val="22"/>
              </w:rPr>
            </w:pPr>
            <w:r>
              <w:rPr>
                <w:color w:val="auto"/>
                <w:kern w:val="0"/>
                <w:sz w:val="22"/>
                <w:szCs w:val="22"/>
              </w:rPr>
              <w:t>400</w:t>
            </w:r>
          </w:p>
        </w:tc>
      </w:tr>
    </w:tbl>
    <w:p>
      <w:pPr>
        <w:pStyle w:val="9"/>
        <w:widowControl w:val="0"/>
        <w:shd w:val="clear" w:color="auto" w:fill="FFFFFF"/>
        <w:adjustRightInd w:val="0"/>
        <w:snapToGrid w:val="0"/>
        <w:spacing w:before="0" w:beforeAutospacing="0" w:after="0" w:afterAutospacing="0" w:line="550" w:lineRule="exact"/>
        <w:rPr>
          <w:rFonts w:ascii="Times New Roman" w:hAnsi="Times New Roman" w:eastAsia="方正仿宋_GBK" w:cs="Times New Roman"/>
          <w:color w:val="auto"/>
          <w:sz w:val="32"/>
          <w:szCs w:val="32"/>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0" w:firstLineChars="0"/>
        <w:rPr>
          <w:color w:val="auto"/>
        </w:rPr>
      </w:pPr>
      <w:r>
        <w:rPr>
          <w:color w:val="auto"/>
        </w:rPr>
        <w:br w:type="page"/>
      </w:r>
    </w:p>
    <w:p>
      <w:pPr>
        <w:pStyle w:val="9"/>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cs="Times New Roman"/>
          <w:color w:val="auto"/>
        </w:rPr>
      </w:pPr>
      <w:bookmarkStart w:id="304" w:name="_Toc108450348"/>
      <w:r>
        <w:rPr>
          <w:rFonts w:ascii="Times New Roman" w:hAnsi="Times New Roman" w:eastAsia="方正仿宋_GBK" w:cs="Times New Roman"/>
          <w:color w:val="auto"/>
          <w:sz w:val="32"/>
          <w:szCs w:val="32"/>
        </w:rPr>
        <w:t>附表2 项目计划进度表（</w:t>
      </w:r>
      <w:r>
        <w:rPr>
          <w:rFonts w:ascii="Times New Roman" w:hAnsi="Times New Roman" w:eastAsia="MS Gothic" w:cs="Times New Roman"/>
          <w:color w:val="auto"/>
          <w:sz w:val="32"/>
          <w:szCs w:val="32"/>
        </w:rPr>
        <w:t>✔</w:t>
      </w:r>
      <w:r>
        <w:rPr>
          <w:rFonts w:ascii="Times New Roman" w:hAnsi="Times New Roman" w:eastAsia="方正仿宋_GBK" w:cs="Times New Roman"/>
          <w:color w:val="auto"/>
          <w:sz w:val="32"/>
          <w:szCs w:val="32"/>
        </w:rPr>
        <w:t>表示工作开展；</w:t>
      </w:r>
      <w:r>
        <w:rPr>
          <w:rFonts w:ascii="Times New Roman" w:hAnsi="Times New Roman" w:cs="Times New Roman"/>
          <w:color w:val="auto"/>
          <w:sz w:val="32"/>
          <w:szCs w:val="32"/>
        </w:rPr>
        <w:t>★</w:t>
      </w:r>
      <w:r>
        <w:rPr>
          <w:rFonts w:ascii="Times New Roman" w:hAnsi="Times New Roman" w:eastAsia="方正仿宋_GBK" w:cs="Times New Roman"/>
          <w:color w:val="auto"/>
          <w:sz w:val="32"/>
          <w:szCs w:val="32"/>
        </w:rPr>
        <w:t>表示检查验收）</w:t>
      </w:r>
      <w:bookmarkEnd w:id="304"/>
    </w:p>
    <w:tbl>
      <w:tblPr>
        <w:tblStyle w:val="10"/>
        <w:tblpPr w:leftFromText="180" w:rightFromText="180" w:vertAnchor="text" w:horzAnchor="page" w:tblpX="1458" w:tblpY="186"/>
        <w:tblOverlap w:val="never"/>
        <w:tblW w:w="13499" w:type="dxa"/>
        <w:tblInd w:w="0" w:type="dxa"/>
        <w:tblLayout w:type="fixed"/>
        <w:tblCellMar>
          <w:top w:w="0" w:type="dxa"/>
          <w:left w:w="108" w:type="dxa"/>
          <w:bottom w:w="0" w:type="dxa"/>
          <w:right w:w="108" w:type="dxa"/>
        </w:tblCellMar>
      </w:tblPr>
      <w:tblGrid>
        <w:gridCol w:w="835"/>
        <w:gridCol w:w="5085"/>
        <w:gridCol w:w="748"/>
        <w:gridCol w:w="768"/>
        <w:gridCol w:w="765"/>
        <w:gridCol w:w="658"/>
        <w:gridCol w:w="672"/>
        <w:gridCol w:w="695"/>
        <w:gridCol w:w="773"/>
        <w:gridCol w:w="839"/>
        <w:gridCol w:w="808"/>
        <w:gridCol w:w="853"/>
      </w:tblGrid>
      <w:tr>
        <w:tblPrEx>
          <w:tblLayout w:type="fixed"/>
          <w:tblCellMar>
            <w:top w:w="0" w:type="dxa"/>
            <w:left w:w="108" w:type="dxa"/>
            <w:bottom w:w="0" w:type="dxa"/>
            <w:right w:w="108" w:type="dxa"/>
          </w:tblCellMar>
        </w:tblPrEx>
        <w:trPr>
          <w:trHeight w:val="443" w:hRule="atLeast"/>
        </w:trPr>
        <w:tc>
          <w:tcPr>
            <w:tcW w:w="592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实施项目</w:t>
            </w:r>
          </w:p>
        </w:tc>
        <w:tc>
          <w:tcPr>
            <w:tcW w:w="7579" w:type="dxa"/>
            <w:gridSpan w:val="10"/>
            <w:tcBorders>
              <w:top w:val="single" w:color="auto" w:sz="4" w:space="0"/>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2023年</w:t>
            </w:r>
          </w:p>
        </w:tc>
      </w:tr>
      <w:tr>
        <w:tblPrEx>
          <w:tblLayout w:type="fixed"/>
          <w:tblCellMar>
            <w:top w:w="0" w:type="dxa"/>
            <w:left w:w="108" w:type="dxa"/>
            <w:bottom w:w="0" w:type="dxa"/>
            <w:right w:w="108" w:type="dxa"/>
          </w:tblCellMar>
        </w:tblPrEx>
        <w:trPr>
          <w:trHeight w:val="375" w:hRule="atLeast"/>
        </w:trPr>
        <w:tc>
          <w:tcPr>
            <w:tcW w:w="59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_GBK"/>
                <w:color w:val="auto"/>
                <w:kern w:val="0"/>
                <w:szCs w:val="21"/>
              </w:rPr>
            </w:pPr>
          </w:p>
        </w:tc>
        <w:tc>
          <w:tcPr>
            <w:tcW w:w="748" w:type="dxa"/>
            <w:tcBorders>
              <w:top w:val="nil"/>
              <w:left w:val="nil"/>
              <w:bottom w:val="single" w:color="auto" w:sz="4" w:space="0"/>
              <w:right w:val="single" w:color="auto" w:sz="4" w:space="0"/>
            </w:tcBorders>
            <w:shd w:val="clear" w:color="auto" w:fill="E7E6E6" w:themeFill="background2"/>
            <w:vAlign w:val="center"/>
          </w:tcPr>
          <w:p>
            <w:pPr>
              <w:widowControl/>
              <w:jc w:val="center"/>
              <w:rPr>
                <w:rFonts w:eastAsia="方正仿宋_GBK"/>
                <w:color w:val="auto"/>
                <w:kern w:val="0"/>
                <w:szCs w:val="21"/>
              </w:rPr>
            </w:pPr>
            <w:r>
              <w:rPr>
                <w:rFonts w:eastAsia="方正仿宋_GBK"/>
                <w:color w:val="auto"/>
                <w:kern w:val="0"/>
                <w:szCs w:val="21"/>
              </w:rPr>
              <w:t>3</w:t>
            </w:r>
          </w:p>
        </w:tc>
        <w:tc>
          <w:tcPr>
            <w:tcW w:w="768"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4</w:t>
            </w:r>
          </w:p>
        </w:tc>
        <w:tc>
          <w:tcPr>
            <w:tcW w:w="765"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5</w:t>
            </w:r>
          </w:p>
        </w:tc>
        <w:tc>
          <w:tcPr>
            <w:tcW w:w="658"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6</w:t>
            </w:r>
          </w:p>
        </w:tc>
        <w:tc>
          <w:tcPr>
            <w:tcW w:w="672"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7</w:t>
            </w:r>
          </w:p>
        </w:tc>
        <w:tc>
          <w:tcPr>
            <w:tcW w:w="695"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8</w:t>
            </w:r>
          </w:p>
        </w:tc>
        <w:tc>
          <w:tcPr>
            <w:tcW w:w="773"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9</w:t>
            </w:r>
          </w:p>
        </w:tc>
        <w:tc>
          <w:tcPr>
            <w:tcW w:w="839"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10</w:t>
            </w:r>
          </w:p>
        </w:tc>
        <w:tc>
          <w:tcPr>
            <w:tcW w:w="808"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szCs w:val="21"/>
              </w:rPr>
            </w:pPr>
            <w:r>
              <w:rPr>
                <w:rFonts w:eastAsia="方正仿宋_GBK"/>
                <w:color w:val="auto"/>
                <w:szCs w:val="21"/>
              </w:rPr>
              <w:t>11</w:t>
            </w:r>
          </w:p>
        </w:tc>
        <w:tc>
          <w:tcPr>
            <w:tcW w:w="853" w:type="dxa"/>
            <w:tcBorders>
              <w:top w:val="nil"/>
              <w:left w:val="nil"/>
              <w:bottom w:val="single" w:color="auto" w:sz="4" w:space="0"/>
              <w:right w:val="single" w:color="auto" w:sz="4" w:space="0"/>
            </w:tcBorders>
            <w:shd w:val="clear" w:color="auto" w:fill="E7E6E6" w:themeFill="background2"/>
            <w:vAlign w:val="bottom"/>
          </w:tcPr>
          <w:p>
            <w:pPr>
              <w:widowControl/>
              <w:jc w:val="center"/>
              <w:rPr>
                <w:rFonts w:eastAsia="方正仿宋_GBK"/>
                <w:color w:val="auto"/>
                <w:kern w:val="0"/>
                <w:szCs w:val="21"/>
              </w:rPr>
            </w:pPr>
            <w:r>
              <w:rPr>
                <w:rFonts w:eastAsia="方正仿宋_GBK"/>
                <w:color w:val="auto"/>
                <w:kern w:val="0"/>
                <w:szCs w:val="21"/>
              </w:rPr>
              <w:t>12</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一</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主体建设</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1　</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收储运体系</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MS Gothic"/>
                <w:color w:val="auto"/>
                <w:kern w:val="0"/>
                <w:szCs w:val="21"/>
              </w:rPr>
              <w:t>✔</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color w:val="auto"/>
                <w:kern w:val="0"/>
                <w:szCs w:val="21"/>
              </w:rPr>
              <w:t>★</w:t>
            </w:r>
          </w:p>
        </w:tc>
        <w:tc>
          <w:tcPr>
            <w:tcW w:w="77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2</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燃料化利用</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MS Gothic"/>
                <w:color w:val="auto"/>
                <w:kern w:val="0"/>
                <w:szCs w:val="21"/>
              </w:rPr>
              <w:t>✔</w:t>
            </w: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color w:val="auto"/>
                <w:kern w:val="0"/>
                <w:szCs w:val="21"/>
              </w:rPr>
              <w:t>★</w:t>
            </w: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3</w:t>
            </w:r>
            <w:r>
              <w:rPr>
                <w:rFonts w:eastAsia="方正仿宋_GBK"/>
                <w:color w:val="auto"/>
                <w:kern w:val="0"/>
                <w:szCs w:val="21"/>
              </w:rPr>
              <w:t>　</w:t>
            </w:r>
          </w:p>
        </w:tc>
        <w:tc>
          <w:tcPr>
            <w:tcW w:w="5085"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肥料化利用</w:t>
            </w:r>
          </w:p>
        </w:tc>
        <w:tc>
          <w:tcPr>
            <w:tcW w:w="7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9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73"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MS Gothic"/>
                <w:color w:val="auto"/>
                <w:kern w:val="0"/>
                <w:szCs w:val="21"/>
              </w:rPr>
              <w:t>✔</w:t>
            </w:r>
          </w:p>
        </w:tc>
        <w:tc>
          <w:tcPr>
            <w:tcW w:w="8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color w:val="auto"/>
                <w:kern w:val="0"/>
                <w:szCs w:val="21"/>
              </w:rPr>
              <w:t>★</w:t>
            </w:r>
          </w:p>
        </w:tc>
        <w:tc>
          <w:tcPr>
            <w:tcW w:w="808"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4</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lang w:val="en-US" w:eastAsia="zh-CN"/>
              </w:rPr>
              <w:t>过腹还田</w:t>
            </w:r>
            <w:r>
              <w:rPr>
                <w:rFonts w:eastAsia="方正仿宋_GBK"/>
                <w:color w:val="auto"/>
                <w:kern w:val="0"/>
                <w:szCs w:val="21"/>
              </w:rPr>
              <w:t>利用</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MS Gothic"/>
                <w:color w:val="auto"/>
                <w:kern w:val="0"/>
                <w:szCs w:val="21"/>
              </w:rPr>
              <w:t>✔</w:t>
            </w: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color w:val="auto"/>
                <w:kern w:val="0"/>
                <w:szCs w:val="21"/>
              </w:rPr>
              <w:t>★</w:t>
            </w: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5</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企业第一批补助</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MS Gothic"/>
                <w:color w:val="auto"/>
                <w:kern w:val="0"/>
                <w:szCs w:val="21"/>
              </w:rPr>
              <w:t>✔</w:t>
            </w:r>
            <w:r>
              <w:rPr>
                <w:rFonts w:eastAsia="方正仿宋_GBK"/>
                <w:color w:val="auto"/>
                <w:kern w:val="0"/>
                <w:szCs w:val="21"/>
              </w:rPr>
              <w:t>　</w:t>
            </w:r>
          </w:p>
        </w:tc>
        <w:tc>
          <w:tcPr>
            <w:tcW w:w="839"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color w:val="auto"/>
                <w:kern w:val="0"/>
                <w:szCs w:val="21"/>
              </w:rPr>
              <w:t>★</w:t>
            </w: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6</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企业第二批补助</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r>
              <w:rPr>
                <w:rFonts w:eastAsia="方正仿宋_GBK"/>
                <w:color w:val="auto"/>
                <w:kern w:val="0"/>
                <w:szCs w:val="21"/>
              </w:rPr>
              <w:t>　</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hint="eastAsia" w:eastAsia="方正仿宋_GBK"/>
                <w:color w:val="auto"/>
                <w:kern w:val="0"/>
                <w:szCs w:val="21"/>
              </w:rPr>
              <w:t>7</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企业第三批补助</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二</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技术服务</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1</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综合利用方案编制</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MS Gothic"/>
                <w:color w:val="auto"/>
                <w:kern w:val="0"/>
                <w:szCs w:val="21"/>
              </w:rPr>
              <w:t>✔</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color w:val="auto"/>
                <w:kern w:val="0"/>
                <w:szCs w:val="21"/>
              </w:rPr>
              <w:t>★</w:t>
            </w: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0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2</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宣传培训</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3</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视频制作</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4</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媒体报道</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65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375"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5</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宣传标识牌建设</w:t>
            </w:r>
          </w:p>
        </w:tc>
        <w:tc>
          <w:tcPr>
            <w:tcW w:w="74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76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p>
        </w:tc>
        <w:tc>
          <w:tcPr>
            <w:tcW w:w="773"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p>
        </w:tc>
        <w:tc>
          <w:tcPr>
            <w:tcW w:w="839"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p>
        </w:tc>
        <w:tc>
          <w:tcPr>
            <w:tcW w:w="80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rFonts w:eastAsia="MS Gothic"/>
                <w:color w:val="auto"/>
                <w:kern w:val="0"/>
                <w:szCs w:val="21"/>
              </w:rPr>
              <w:t>✔</w:t>
            </w:r>
          </w:p>
        </w:tc>
        <w:tc>
          <w:tcPr>
            <w:tcW w:w="85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方正仿宋_GBK" w:cs="Times New Roman"/>
                <w:color w:val="auto"/>
                <w:kern w:val="0"/>
                <w:sz w:val="21"/>
                <w:szCs w:val="21"/>
                <w:lang w:val="en-US" w:eastAsia="zh-CN" w:bidi="ar-SA"/>
              </w:rPr>
            </w:pPr>
            <w:r>
              <w:rPr>
                <w:color w:val="auto"/>
                <w:kern w:val="0"/>
                <w:szCs w:val="21"/>
              </w:rPr>
              <w:t>★</w:t>
            </w:r>
          </w:p>
        </w:tc>
      </w:tr>
      <w:tr>
        <w:tblPrEx>
          <w:tblLayout w:type="fixed"/>
          <w:tblCellMar>
            <w:top w:w="0" w:type="dxa"/>
            <w:left w:w="108" w:type="dxa"/>
            <w:bottom w:w="0" w:type="dxa"/>
            <w:right w:w="108" w:type="dxa"/>
          </w:tblCellMar>
        </w:tblPrEx>
        <w:trPr>
          <w:trHeight w:val="423" w:hRule="atLeast"/>
        </w:trPr>
        <w:tc>
          <w:tcPr>
            <w:tcW w:w="835"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6</w:t>
            </w:r>
          </w:p>
        </w:tc>
        <w:tc>
          <w:tcPr>
            <w:tcW w:w="5085" w:type="dxa"/>
            <w:tcBorders>
              <w:top w:val="nil"/>
              <w:left w:val="nil"/>
              <w:bottom w:val="single" w:color="auto" w:sz="4" w:space="0"/>
              <w:right w:val="single" w:color="auto" w:sz="4" w:space="0"/>
            </w:tcBorders>
            <w:shd w:val="clear" w:color="auto" w:fill="auto"/>
            <w:vAlign w:val="bottom"/>
          </w:tcPr>
          <w:p>
            <w:pPr>
              <w:widowControl/>
              <w:jc w:val="center"/>
              <w:rPr>
                <w:rFonts w:eastAsia="方正仿宋_GBK"/>
                <w:color w:val="auto"/>
                <w:kern w:val="0"/>
                <w:szCs w:val="21"/>
              </w:rPr>
            </w:pPr>
            <w:r>
              <w:rPr>
                <w:rFonts w:eastAsia="方正仿宋_GBK"/>
                <w:color w:val="auto"/>
                <w:kern w:val="0"/>
                <w:szCs w:val="21"/>
              </w:rPr>
              <w:t>审计</w:t>
            </w:r>
          </w:p>
        </w:tc>
        <w:tc>
          <w:tcPr>
            <w:tcW w:w="748"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768"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765"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658"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672"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695"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773"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839"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808" w:type="dxa"/>
            <w:tcBorders>
              <w:top w:val="nil"/>
              <w:left w:val="nil"/>
              <w:bottom w:val="single" w:color="auto" w:sz="4" w:space="0"/>
              <w:right w:val="single" w:color="auto" w:sz="4" w:space="0"/>
            </w:tcBorders>
            <w:shd w:val="clear" w:color="auto" w:fill="auto"/>
            <w:vAlign w:val="center"/>
          </w:tcPr>
          <w:p>
            <w:pPr>
              <w:widowControl/>
              <w:jc w:val="left"/>
              <w:rPr>
                <w:rFonts w:eastAsia="方正仿宋_GBK"/>
                <w:color w:val="auto"/>
                <w:kern w:val="0"/>
                <w:szCs w:val="21"/>
              </w:rPr>
            </w:pPr>
            <w:r>
              <w:rPr>
                <w:rFonts w:eastAsia="方正仿宋_GBK"/>
                <w:color w:val="auto"/>
                <w:kern w:val="0"/>
                <w:szCs w:val="21"/>
              </w:rPr>
              <w:t>　</w:t>
            </w:r>
          </w:p>
        </w:tc>
        <w:tc>
          <w:tcPr>
            <w:tcW w:w="853" w:type="dxa"/>
            <w:tcBorders>
              <w:top w:val="nil"/>
              <w:left w:val="nil"/>
              <w:bottom w:val="single" w:color="auto" w:sz="4" w:space="0"/>
              <w:right w:val="single" w:color="auto" w:sz="4" w:space="0"/>
            </w:tcBorders>
            <w:shd w:val="clear" w:color="auto" w:fill="auto"/>
            <w:vAlign w:val="center"/>
          </w:tcPr>
          <w:p>
            <w:pPr>
              <w:widowControl/>
              <w:jc w:val="center"/>
              <w:rPr>
                <w:rFonts w:eastAsia="方正仿宋_GBK"/>
                <w:color w:val="auto"/>
                <w:kern w:val="0"/>
                <w:szCs w:val="21"/>
              </w:rPr>
            </w:pPr>
            <w:r>
              <w:rPr>
                <w:rFonts w:eastAsia="MS Gothic"/>
                <w:color w:val="auto"/>
                <w:kern w:val="0"/>
                <w:szCs w:val="21"/>
              </w:rPr>
              <w:t>✔</w:t>
            </w:r>
          </w:p>
        </w:tc>
      </w:tr>
    </w:tbl>
    <w:p>
      <w:pPr>
        <w:pStyle w:val="9"/>
        <w:widowControl w:val="0"/>
        <w:shd w:val="clear" w:color="auto" w:fill="FFFFFF"/>
        <w:adjustRightInd w:val="0"/>
        <w:snapToGrid w:val="0"/>
        <w:spacing w:before="0" w:beforeAutospacing="0" w:after="0" w:afterAutospacing="0" w:line="550" w:lineRule="exact"/>
        <w:ind w:firstLine="480" w:firstLineChars="200"/>
        <w:rPr>
          <w:rFonts w:ascii="Times New Roman" w:hAnsi="Times New Roman"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hd w:val="clear" w:color="auto" w:fill="FFFFFF"/>
        <w:adjustRightInd w:val="0"/>
        <w:snapToGrid w:val="0"/>
        <w:spacing w:line="550" w:lineRule="exact"/>
        <w:ind w:firstLine="640" w:firstLineChars="200"/>
        <w:rPr>
          <w:rFonts w:eastAsia="方正仿宋_GBK"/>
          <w:color w:val="auto"/>
          <w:sz w:val="32"/>
          <w:szCs w:val="32"/>
        </w:rPr>
      </w:pPr>
      <w:r>
        <w:rPr>
          <w:rFonts w:eastAsia="方正仿宋_GBK"/>
          <w:color w:val="auto"/>
          <w:sz w:val="32"/>
          <w:szCs w:val="32"/>
        </w:rPr>
        <w:t>附表3 验收标准</w:t>
      </w:r>
    </w:p>
    <w:tbl>
      <w:tblPr>
        <w:tblStyle w:val="11"/>
        <w:tblW w:w="9237" w:type="dxa"/>
        <w:tblInd w:w="-78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731"/>
        <w:gridCol w:w="1760"/>
        <w:gridCol w:w="1845"/>
        <w:gridCol w:w="1875"/>
        <w:gridCol w:w="1335"/>
        <w:gridCol w:w="169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992" w:hRule="atLeast"/>
        </w:trPr>
        <w:tc>
          <w:tcPr>
            <w:tcW w:w="731" w:type="dxa"/>
            <w:vAlign w:val="center"/>
          </w:tcPr>
          <w:p>
            <w:pPr>
              <w:pStyle w:val="5"/>
              <w:ind w:firstLine="0" w:firstLineChars="0"/>
              <w:jc w:val="center"/>
              <w:rPr>
                <w:b/>
                <w:bCs/>
                <w:color w:val="auto"/>
                <w:sz w:val="18"/>
                <w:szCs w:val="18"/>
              </w:rPr>
            </w:pPr>
            <w:r>
              <w:rPr>
                <w:b/>
                <w:bCs/>
                <w:color w:val="auto"/>
                <w:sz w:val="18"/>
                <w:szCs w:val="18"/>
              </w:rPr>
              <w:t>序号</w:t>
            </w:r>
          </w:p>
        </w:tc>
        <w:tc>
          <w:tcPr>
            <w:tcW w:w="1760" w:type="dxa"/>
            <w:vAlign w:val="center"/>
          </w:tcPr>
          <w:p>
            <w:pPr>
              <w:pStyle w:val="5"/>
              <w:ind w:firstLine="0" w:firstLineChars="0"/>
              <w:jc w:val="center"/>
              <w:rPr>
                <w:b/>
                <w:bCs/>
                <w:color w:val="auto"/>
                <w:sz w:val="18"/>
                <w:szCs w:val="18"/>
              </w:rPr>
            </w:pPr>
            <w:r>
              <w:rPr>
                <w:b/>
                <w:bCs/>
                <w:color w:val="auto"/>
                <w:sz w:val="18"/>
                <w:szCs w:val="18"/>
              </w:rPr>
              <w:t>建设项目</w:t>
            </w:r>
          </w:p>
        </w:tc>
        <w:tc>
          <w:tcPr>
            <w:tcW w:w="1845" w:type="dxa"/>
            <w:vAlign w:val="center"/>
          </w:tcPr>
          <w:p>
            <w:pPr>
              <w:pStyle w:val="5"/>
              <w:ind w:firstLine="0" w:firstLineChars="0"/>
              <w:jc w:val="center"/>
              <w:rPr>
                <w:b/>
                <w:bCs/>
                <w:color w:val="auto"/>
                <w:sz w:val="18"/>
                <w:szCs w:val="18"/>
              </w:rPr>
            </w:pPr>
            <w:r>
              <w:rPr>
                <w:b/>
                <w:bCs/>
                <w:color w:val="auto"/>
                <w:sz w:val="18"/>
                <w:szCs w:val="18"/>
              </w:rPr>
              <w:t>建设内容</w:t>
            </w:r>
          </w:p>
        </w:tc>
        <w:tc>
          <w:tcPr>
            <w:tcW w:w="1875" w:type="dxa"/>
            <w:vAlign w:val="center"/>
          </w:tcPr>
          <w:p>
            <w:pPr>
              <w:pStyle w:val="5"/>
              <w:ind w:firstLine="0" w:firstLineChars="0"/>
              <w:jc w:val="center"/>
              <w:rPr>
                <w:b/>
                <w:bCs/>
                <w:color w:val="auto"/>
                <w:sz w:val="18"/>
                <w:szCs w:val="18"/>
              </w:rPr>
            </w:pPr>
            <w:r>
              <w:rPr>
                <w:b/>
                <w:bCs/>
                <w:color w:val="auto"/>
                <w:sz w:val="18"/>
                <w:szCs w:val="18"/>
              </w:rPr>
              <w:t>实施主体</w:t>
            </w:r>
          </w:p>
        </w:tc>
        <w:tc>
          <w:tcPr>
            <w:tcW w:w="1335" w:type="dxa"/>
            <w:vAlign w:val="center"/>
          </w:tcPr>
          <w:p>
            <w:pPr>
              <w:pStyle w:val="5"/>
              <w:ind w:firstLine="0" w:firstLineChars="0"/>
              <w:jc w:val="center"/>
              <w:rPr>
                <w:b/>
                <w:bCs/>
                <w:color w:val="auto"/>
                <w:kern w:val="0"/>
                <w:sz w:val="18"/>
                <w:szCs w:val="18"/>
              </w:rPr>
            </w:pPr>
            <w:r>
              <w:rPr>
                <w:b/>
                <w:bCs/>
                <w:color w:val="auto"/>
                <w:sz w:val="18"/>
                <w:szCs w:val="18"/>
              </w:rPr>
              <w:t>验收标准</w:t>
            </w:r>
          </w:p>
        </w:tc>
        <w:tc>
          <w:tcPr>
            <w:tcW w:w="1691" w:type="dxa"/>
            <w:vAlign w:val="center"/>
          </w:tcPr>
          <w:p>
            <w:pPr>
              <w:pStyle w:val="5"/>
              <w:ind w:firstLine="0" w:firstLineChars="0"/>
              <w:jc w:val="center"/>
              <w:rPr>
                <w:b/>
                <w:bCs/>
                <w:color w:val="auto"/>
                <w:kern w:val="0"/>
                <w:sz w:val="18"/>
                <w:szCs w:val="18"/>
              </w:rPr>
            </w:pPr>
            <w:r>
              <w:rPr>
                <w:b/>
                <w:bCs/>
                <w:color w:val="auto"/>
                <w:sz w:val="18"/>
                <w:szCs w:val="18"/>
              </w:rPr>
              <w:t>备注</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982" w:hRule="atLeast"/>
        </w:trPr>
        <w:tc>
          <w:tcPr>
            <w:tcW w:w="731" w:type="dxa"/>
            <w:vAlign w:val="center"/>
          </w:tcPr>
          <w:p>
            <w:pPr>
              <w:pStyle w:val="5"/>
              <w:ind w:firstLine="0" w:firstLineChars="0"/>
              <w:jc w:val="center"/>
              <w:rPr>
                <w:color w:val="auto"/>
                <w:sz w:val="18"/>
                <w:szCs w:val="18"/>
              </w:rPr>
            </w:pPr>
            <w:r>
              <w:rPr>
                <w:color w:val="auto"/>
                <w:sz w:val="18"/>
                <w:szCs w:val="18"/>
              </w:rPr>
              <w:t>1</w:t>
            </w:r>
          </w:p>
        </w:tc>
        <w:tc>
          <w:tcPr>
            <w:tcW w:w="1760" w:type="dxa"/>
            <w:vAlign w:val="center"/>
          </w:tcPr>
          <w:p>
            <w:pPr>
              <w:widowControl/>
              <w:jc w:val="center"/>
              <w:textAlignment w:val="center"/>
              <w:rPr>
                <w:color w:val="auto"/>
                <w:kern w:val="0"/>
                <w:sz w:val="18"/>
                <w:szCs w:val="18"/>
              </w:rPr>
            </w:pPr>
            <w:r>
              <w:rPr>
                <w:color w:val="auto"/>
                <w:kern w:val="0"/>
                <w:sz w:val="18"/>
                <w:szCs w:val="18"/>
                <w:lang w:bidi="ar"/>
              </w:rPr>
              <w:t>收储运体系完善</w:t>
            </w:r>
          </w:p>
        </w:tc>
        <w:tc>
          <w:tcPr>
            <w:tcW w:w="1845" w:type="dxa"/>
            <w:vAlign w:val="center"/>
          </w:tcPr>
          <w:p>
            <w:pPr>
              <w:pStyle w:val="5"/>
              <w:ind w:firstLine="0" w:firstLineChars="0"/>
              <w:jc w:val="center"/>
              <w:rPr>
                <w:color w:val="auto"/>
                <w:kern w:val="0"/>
                <w:sz w:val="18"/>
                <w:szCs w:val="18"/>
              </w:rPr>
            </w:pPr>
            <w:r>
              <w:rPr>
                <w:color w:val="auto"/>
                <w:kern w:val="0"/>
                <w:sz w:val="18"/>
                <w:szCs w:val="18"/>
                <w:lang w:bidi="ar"/>
              </w:rPr>
              <w:t>依托五个主要街道建立3-5个收集示范点</w:t>
            </w:r>
          </w:p>
        </w:tc>
        <w:tc>
          <w:tcPr>
            <w:tcW w:w="1875" w:type="dxa"/>
            <w:vAlign w:val="center"/>
          </w:tcPr>
          <w:p>
            <w:pPr>
              <w:spacing w:line="560" w:lineRule="exact"/>
              <w:rPr>
                <w:color w:val="auto"/>
                <w:kern w:val="0"/>
                <w:sz w:val="18"/>
                <w:szCs w:val="18"/>
              </w:rPr>
            </w:pPr>
            <w:r>
              <w:rPr>
                <w:color w:val="auto"/>
                <w:kern w:val="0"/>
                <w:sz w:val="18"/>
                <w:szCs w:val="18"/>
                <w:lang w:bidi="ar"/>
              </w:rPr>
              <w:t>玉溪市红塔区北城街道、研和街道、高仓街道、洛河乡、小石桥彝族乡</w:t>
            </w:r>
            <w:r>
              <w:rPr>
                <w:rFonts w:hint="eastAsia"/>
                <w:color w:val="auto"/>
                <w:kern w:val="0"/>
                <w:sz w:val="18"/>
                <w:szCs w:val="18"/>
                <w:lang w:val="en-US" w:eastAsia="zh-CN" w:bidi="ar"/>
              </w:rPr>
              <w:t>等</w:t>
            </w:r>
            <w:r>
              <w:rPr>
                <w:color w:val="auto"/>
                <w:kern w:val="0"/>
                <w:sz w:val="18"/>
                <w:szCs w:val="18"/>
                <w:lang w:bidi="ar"/>
              </w:rPr>
              <w:t>。</w:t>
            </w:r>
          </w:p>
        </w:tc>
        <w:tc>
          <w:tcPr>
            <w:tcW w:w="1335" w:type="dxa"/>
            <w:vAlign w:val="center"/>
          </w:tcPr>
          <w:p>
            <w:pPr>
              <w:pStyle w:val="5"/>
              <w:ind w:firstLine="0" w:firstLineChars="0"/>
              <w:jc w:val="center"/>
              <w:rPr>
                <w:color w:val="auto"/>
                <w:kern w:val="0"/>
                <w:sz w:val="18"/>
                <w:szCs w:val="18"/>
              </w:rPr>
            </w:pPr>
            <w:r>
              <w:rPr>
                <w:color w:val="auto"/>
                <w:kern w:val="0"/>
                <w:sz w:val="18"/>
                <w:szCs w:val="18"/>
                <w:lang w:bidi="ar"/>
              </w:rPr>
              <w:t>建立收集点，为企业提供收集便利</w:t>
            </w:r>
          </w:p>
        </w:tc>
        <w:tc>
          <w:tcPr>
            <w:tcW w:w="1691" w:type="dxa"/>
            <w:vAlign w:val="center"/>
          </w:tcPr>
          <w:p>
            <w:pPr>
              <w:pStyle w:val="5"/>
              <w:ind w:firstLine="0" w:firstLineChars="0"/>
              <w:jc w:val="center"/>
              <w:rPr>
                <w:color w:val="auto"/>
                <w:kern w:val="0"/>
                <w:sz w:val="18"/>
                <w:szCs w:val="18"/>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153" w:hRule="atLeast"/>
        </w:trPr>
        <w:tc>
          <w:tcPr>
            <w:tcW w:w="731" w:type="dxa"/>
            <w:vAlign w:val="center"/>
          </w:tcPr>
          <w:p>
            <w:pPr>
              <w:pStyle w:val="5"/>
              <w:ind w:firstLine="0" w:firstLineChars="0"/>
              <w:jc w:val="center"/>
              <w:rPr>
                <w:color w:val="auto"/>
                <w:sz w:val="18"/>
                <w:szCs w:val="18"/>
              </w:rPr>
            </w:pPr>
            <w:r>
              <w:rPr>
                <w:color w:val="auto"/>
                <w:sz w:val="18"/>
                <w:szCs w:val="18"/>
              </w:rPr>
              <w:t>2</w:t>
            </w:r>
          </w:p>
        </w:tc>
        <w:tc>
          <w:tcPr>
            <w:tcW w:w="1760" w:type="dxa"/>
            <w:vAlign w:val="center"/>
          </w:tcPr>
          <w:p>
            <w:pPr>
              <w:widowControl/>
              <w:jc w:val="center"/>
              <w:textAlignment w:val="center"/>
              <w:rPr>
                <w:color w:val="auto"/>
                <w:kern w:val="0"/>
                <w:sz w:val="18"/>
                <w:szCs w:val="18"/>
              </w:rPr>
            </w:pPr>
            <w:r>
              <w:rPr>
                <w:rFonts w:hint="eastAsia"/>
                <w:color w:val="auto"/>
                <w:kern w:val="0"/>
                <w:sz w:val="18"/>
                <w:szCs w:val="18"/>
                <w:lang w:val="en-US" w:eastAsia="zh-CN" w:bidi="ar"/>
              </w:rPr>
              <w:t>过腹还田</w:t>
            </w:r>
          </w:p>
        </w:tc>
        <w:tc>
          <w:tcPr>
            <w:tcW w:w="1845" w:type="dxa"/>
            <w:vAlign w:val="center"/>
          </w:tcPr>
          <w:p>
            <w:pPr>
              <w:pStyle w:val="5"/>
              <w:ind w:firstLine="0" w:firstLineChars="0"/>
              <w:jc w:val="center"/>
              <w:rPr>
                <w:color w:val="auto"/>
                <w:kern w:val="0"/>
                <w:sz w:val="18"/>
                <w:szCs w:val="18"/>
                <w:lang w:bidi="ar"/>
              </w:rPr>
            </w:pPr>
            <w:r>
              <w:rPr>
                <w:color w:val="auto"/>
                <w:kern w:val="0"/>
                <w:sz w:val="18"/>
                <w:szCs w:val="18"/>
                <w:lang w:bidi="ar"/>
              </w:rPr>
              <w:t>依托大型养殖户，补贴粉碎机、青储池等秸秆处理设备、处理等</w:t>
            </w:r>
          </w:p>
        </w:tc>
        <w:tc>
          <w:tcPr>
            <w:tcW w:w="1875" w:type="dxa"/>
            <w:vAlign w:val="center"/>
          </w:tcPr>
          <w:p>
            <w:pPr>
              <w:pStyle w:val="5"/>
              <w:ind w:firstLine="0" w:firstLineChars="0"/>
              <w:jc w:val="center"/>
              <w:rPr>
                <w:color w:val="auto"/>
                <w:kern w:val="0"/>
                <w:sz w:val="18"/>
                <w:szCs w:val="18"/>
                <w:lang w:bidi="ar"/>
              </w:rPr>
            </w:pPr>
            <w:r>
              <w:rPr>
                <w:rFonts w:hint="eastAsia"/>
                <w:color w:val="auto"/>
                <w:kern w:val="0"/>
                <w:sz w:val="18"/>
                <w:szCs w:val="18"/>
                <w:lang w:val="en-US" w:eastAsia="zh-CN" w:bidi="ar"/>
              </w:rPr>
              <w:t>各相关街道</w:t>
            </w:r>
          </w:p>
        </w:tc>
        <w:tc>
          <w:tcPr>
            <w:tcW w:w="1335" w:type="dxa"/>
            <w:vAlign w:val="center"/>
          </w:tcPr>
          <w:p>
            <w:pPr>
              <w:pStyle w:val="5"/>
              <w:ind w:firstLine="0" w:firstLineChars="0"/>
              <w:jc w:val="center"/>
              <w:rPr>
                <w:color w:val="auto"/>
                <w:kern w:val="0"/>
                <w:sz w:val="18"/>
                <w:szCs w:val="18"/>
                <w:lang w:bidi="ar"/>
              </w:rPr>
            </w:pPr>
            <w:r>
              <w:rPr>
                <w:color w:val="auto"/>
                <w:kern w:val="0"/>
                <w:sz w:val="18"/>
                <w:szCs w:val="18"/>
                <w:lang w:bidi="ar"/>
              </w:rPr>
              <w:t>实际完成的设施设备规模及实现秸秆收集处理目标量台账记录</w:t>
            </w:r>
          </w:p>
        </w:tc>
        <w:tc>
          <w:tcPr>
            <w:tcW w:w="1691" w:type="dxa"/>
            <w:vAlign w:val="center"/>
          </w:tcPr>
          <w:p>
            <w:pPr>
              <w:pStyle w:val="5"/>
              <w:ind w:firstLine="0" w:firstLineChars="0"/>
              <w:jc w:val="center"/>
              <w:rPr>
                <w:color w:val="auto"/>
                <w:kern w:val="0"/>
                <w:sz w:val="18"/>
                <w:szCs w:val="18"/>
                <w:lang w:bidi="ar"/>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06" w:hRule="atLeast"/>
        </w:trPr>
        <w:tc>
          <w:tcPr>
            <w:tcW w:w="731" w:type="dxa"/>
            <w:vAlign w:val="center"/>
          </w:tcPr>
          <w:p>
            <w:pPr>
              <w:pStyle w:val="5"/>
              <w:ind w:firstLine="0" w:firstLineChars="0"/>
              <w:jc w:val="center"/>
              <w:rPr>
                <w:color w:val="auto"/>
                <w:sz w:val="18"/>
                <w:szCs w:val="18"/>
              </w:rPr>
            </w:pPr>
            <w:r>
              <w:rPr>
                <w:color w:val="auto"/>
                <w:sz w:val="18"/>
                <w:szCs w:val="18"/>
              </w:rPr>
              <w:t>3</w:t>
            </w:r>
          </w:p>
        </w:tc>
        <w:tc>
          <w:tcPr>
            <w:tcW w:w="1760" w:type="dxa"/>
            <w:vAlign w:val="center"/>
          </w:tcPr>
          <w:p>
            <w:pPr>
              <w:widowControl/>
              <w:jc w:val="center"/>
              <w:textAlignment w:val="center"/>
              <w:rPr>
                <w:color w:val="auto"/>
                <w:kern w:val="0"/>
                <w:sz w:val="18"/>
                <w:szCs w:val="18"/>
              </w:rPr>
            </w:pPr>
            <w:r>
              <w:rPr>
                <w:color w:val="auto"/>
                <w:kern w:val="0"/>
                <w:sz w:val="18"/>
                <w:szCs w:val="18"/>
                <w:lang w:bidi="ar"/>
              </w:rPr>
              <w:t>肥料化综合利用</w:t>
            </w:r>
          </w:p>
        </w:tc>
        <w:tc>
          <w:tcPr>
            <w:tcW w:w="1845" w:type="dxa"/>
            <w:vAlign w:val="center"/>
          </w:tcPr>
          <w:p>
            <w:pPr>
              <w:pStyle w:val="5"/>
              <w:ind w:firstLine="0" w:firstLineChars="0"/>
              <w:jc w:val="center"/>
              <w:rPr>
                <w:color w:val="auto"/>
                <w:kern w:val="0"/>
                <w:sz w:val="18"/>
                <w:szCs w:val="18"/>
                <w:lang w:bidi="ar"/>
              </w:rPr>
            </w:pPr>
            <w:r>
              <w:rPr>
                <w:color w:val="auto"/>
                <w:kern w:val="0"/>
                <w:sz w:val="18"/>
                <w:szCs w:val="18"/>
                <w:lang w:bidi="ar"/>
              </w:rPr>
              <w:t>依托发展潜力大的企业进行建设补贴设备</w:t>
            </w:r>
          </w:p>
        </w:tc>
        <w:tc>
          <w:tcPr>
            <w:tcW w:w="1875" w:type="dxa"/>
            <w:vAlign w:val="center"/>
          </w:tcPr>
          <w:p>
            <w:pPr>
              <w:pStyle w:val="5"/>
              <w:ind w:firstLine="0" w:firstLineChars="0"/>
              <w:jc w:val="center"/>
              <w:rPr>
                <w:color w:val="auto"/>
                <w:kern w:val="0"/>
                <w:sz w:val="18"/>
                <w:szCs w:val="18"/>
                <w:lang w:bidi="ar"/>
              </w:rPr>
            </w:pPr>
            <w:r>
              <w:rPr>
                <w:rFonts w:hint="eastAsia"/>
                <w:color w:val="auto"/>
                <w:kern w:val="0"/>
                <w:sz w:val="18"/>
                <w:szCs w:val="18"/>
                <w:lang w:val="en-US" w:eastAsia="zh-CN" w:bidi="ar"/>
              </w:rPr>
              <w:t>相关企业</w:t>
            </w:r>
          </w:p>
        </w:tc>
        <w:tc>
          <w:tcPr>
            <w:tcW w:w="1335" w:type="dxa"/>
            <w:vAlign w:val="center"/>
          </w:tcPr>
          <w:p>
            <w:pPr>
              <w:pStyle w:val="5"/>
              <w:ind w:firstLine="0" w:firstLineChars="0"/>
              <w:jc w:val="center"/>
              <w:rPr>
                <w:color w:val="auto"/>
                <w:kern w:val="0"/>
                <w:sz w:val="18"/>
                <w:szCs w:val="18"/>
                <w:lang w:bidi="ar"/>
              </w:rPr>
            </w:pPr>
            <w:r>
              <w:rPr>
                <w:color w:val="auto"/>
                <w:kern w:val="0"/>
                <w:sz w:val="18"/>
                <w:szCs w:val="18"/>
                <w:lang w:bidi="ar"/>
              </w:rPr>
              <w:t>实际完成的设施设备规模及实现秸秆收集处理目标量台账记录</w:t>
            </w:r>
          </w:p>
        </w:tc>
        <w:tc>
          <w:tcPr>
            <w:tcW w:w="1691" w:type="dxa"/>
            <w:vAlign w:val="center"/>
          </w:tcPr>
          <w:p>
            <w:pPr>
              <w:pStyle w:val="5"/>
              <w:ind w:firstLine="0" w:firstLineChars="0"/>
              <w:jc w:val="center"/>
              <w:rPr>
                <w:color w:val="auto"/>
                <w:kern w:val="0"/>
                <w:sz w:val="18"/>
                <w:szCs w:val="18"/>
                <w:lang w:bidi="ar"/>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06" w:hRule="atLeast"/>
        </w:trPr>
        <w:tc>
          <w:tcPr>
            <w:tcW w:w="731" w:type="dxa"/>
            <w:vAlign w:val="center"/>
          </w:tcPr>
          <w:p>
            <w:pPr>
              <w:pStyle w:val="5"/>
              <w:ind w:firstLine="0" w:firstLineChars="0"/>
              <w:jc w:val="center"/>
              <w:rPr>
                <w:color w:val="auto"/>
                <w:sz w:val="18"/>
                <w:szCs w:val="18"/>
              </w:rPr>
            </w:pPr>
            <w:r>
              <w:rPr>
                <w:color w:val="auto"/>
                <w:sz w:val="18"/>
                <w:szCs w:val="18"/>
              </w:rPr>
              <w:t>4</w:t>
            </w:r>
          </w:p>
        </w:tc>
        <w:tc>
          <w:tcPr>
            <w:tcW w:w="1760" w:type="dxa"/>
            <w:vAlign w:val="center"/>
          </w:tcPr>
          <w:p>
            <w:pPr>
              <w:widowControl/>
              <w:jc w:val="center"/>
              <w:textAlignment w:val="center"/>
              <w:rPr>
                <w:color w:val="auto"/>
                <w:kern w:val="0"/>
                <w:sz w:val="18"/>
                <w:szCs w:val="18"/>
              </w:rPr>
            </w:pPr>
            <w:r>
              <w:rPr>
                <w:color w:val="auto"/>
                <w:kern w:val="0"/>
                <w:sz w:val="18"/>
                <w:szCs w:val="18"/>
                <w:lang w:bidi="ar"/>
              </w:rPr>
              <w:t>燃料化综合利用</w:t>
            </w:r>
          </w:p>
        </w:tc>
        <w:tc>
          <w:tcPr>
            <w:tcW w:w="1845" w:type="dxa"/>
            <w:vAlign w:val="center"/>
          </w:tcPr>
          <w:p>
            <w:pPr>
              <w:pStyle w:val="5"/>
              <w:ind w:firstLine="0" w:firstLineChars="0"/>
              <w:jc w:val="center"/>
              <w:rPr>
                <w:color w:val="auto"/>
                <w:kern w:val="0"/>
                <w:sz w:val="18"/>
                <w:szCs w:val="18"/>
                <w:lang w:bidi="ar"/>
              </w:rPr>
            </w:pPr>
            <w:r>
              <w:rPr>
                <w:color w:val="auto"/>
                <w:kern w:val="0"/>
                <w:sz w:val="18"/>
                <w:szCs w:val="18"/>
                <w:lang w:bidi="ar"/>
              </w:rPr>
              <w:t>依托发展潜力大的企业进行建设补贴设备</w:t>
            </w:r>
          </w:p>
        </w:tc>
        <w:tc>
          <w:tcPr>
            <w:tcW w:w="1875" w:type="dxa"/>
            <w:vAlign w:val="center"/>
          </w:tcPr>
          <w:p>
            <w:pPr>
              <w:pStyle w:val="5"/>
              <w:ind w:firstLine="0" w:firstLineChars="0"/>
              <w:jc w:val="center"/>
              <w:rPr>
                <w:color w:val="auto"/>
                <w:kern w:val="0"/>
                <w:sz w:val="18"/>
                <w:szCs w:val="18"/>
                <w:lang w:bidi="ar"/>
              </w:rPr>
            </w:pPr>
            <w:r>
              <w:rPr>
                <w:rFonts w:hint="eastAsia"/>
                <w:color w:val="auto"/>
                <w:kern w:val="0"/>
                <w:sz w:val="18"/>
                <w:szCs w:val="18"/>
                <w:lang w:val="en-US" w:eastAsia="zh-CN" w:bidi="ar"/>
              </w:rPr>
              <w:t>相关企业</w:t>
            </w:r>
          </w:p>
        </w:tc>
        <w:tc>
          <w:tcPr>
            <w:tcW w:w="1335" w:type="dxa"/>
            <w:vAlign w:val="center"/>
          </w:tcPr>
          <w:p>
            <w:pPr>
              <w:pStyle w:val="5"/>
              <w:ind w:firstLine="0" w:firstLineChars="0"/>
              <w:jc w:val="center"/>
              <w:rPr>
                <w:color w:val="auto"/>
                <w:kern w:val="0"/>
                <w:sz w:val="18"/>
                <w:szCs w:val="18"/>
                <w:lang w:bidi="ar"/>
              </w:rPr>
            </w:pPr>
            <w:r>
              <w:rPr>
                <w:color w:val="auto"/>
                <w:kern w:val="0"/>
                <w:sz w:val="18"/>
                <w:szCs w:val="18"/>
                <w:lang w:bidi="ar"/>
              </w:rPr>
              <w:t>实际完成的设施设备规模及实现秸秆收集处理目标量台账记录</w:t>
            </w:r>
          </w:p>
        </w:tc>
        <w:tc>
          <w:tcPr>
            <w:tcW w:w="1691" w:type="dxa"/>
            <w:vAlign w:val="center"/>
          </w:tcPr>
          <w:p>
            <w:pPr>
              <w:pStyle w:val="5"/>
              <w:ind w:firstLine="0" w:firstLineChars="0"/>
              <w:jc w:val="center"/>
              <w:rPr>
                <w:color w:val="auto"/>
                <w:kern w:val="0"/>
                <w:sz w:val="18"/>
                <w:szCs w:val="18"/>
                <w:lang w:bidi="ar"/>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06" w:hRule="atLeast"/>
        </w:trPr>
        <w:tc>
          <w:tcPr>
            <w:tcW w:w="731" w:type="dxa"/>
            <w:vAlign w:val="center"/>
          </w:tcPr>
          <w:p>
            <w:pPr>
              <w:pStyle w:val="5"/>
              <w:ind w:firstLine="0" w:firstLineChars="0"/>
              <w:jc w:val="center"/>
              <w:rPr>
                <w:color w:val="auto"/>
                <w:sz w:val="18"/>
                <w:szCs w:val="18"/>
              </w:rPr>
            </w:pPr>
            <w:r>
              <w:rPr>
                <w:rFonts w:hint="eastAsia"/>
                <w:color w:val="auto"/>
                <w:sz w:val="18"/>
                <w:szCs w:val="18"/>
              </w:rPr>
              <w:t>5</w:t>
            </w:r>
          </w:p>
        </w:tc>
        <w:tc>
          <w:tcPr>
            <w:tcW w:w="1760" w:type="dxa"/>
            <w:vAlign w:val="center"/>
          </w:tcPr>
          <w:p>
            <w:pPr>
              <w:widowControl/>
              <w:jc w:val="center"/>
              <w:textAlignment w:val="center"/>
              <w:rPr>
                <w:color w:val="auto"/>
                <w:kern w:val="0"/>
                <w:sz w:val="18"/>
                <w:szCs w:val="18"/>
              </w:rPr>
            </w:pPr>
            <w:r>
              <w:rPr>
                <w:color w:val="auto"/>
                <w:kern w:val="0"/>
                <w:sz w:val="18"/>
                <w:szCs w:val="18"/>
                <w:lang w:bidi="ar"/>
              </w:rPr>
              <w:t>原料化综合利用</w:t>
            </w:r>
          </w:p>
        </w:tc>
        <w:tc>
          <w:tcPr>
            <w:tcW w:w="1845" w:type="dxa"/>
            <w:vAlign w:val="center"/>
          </w:tcPr>
          <w:p>
            <w:pPr>
              <w:pStyle w:val="5"/>
              <w:ind w:firstLine="0" w:firstLineChars="0"/>
              <w:jc w:val="center"/>
              <w:rPr>
                <w:color w:val="auto"/>
                <w:kern w:val="0"/>
                <w:sz w:val="18"/>
                <w:szCs w:val="18"/>
                <w:lang w:bidi="ar"/>
              </w:rPr>
            </w:pPr>
            <w:r>
              <w:rPr>
                <w:color w:val="auto"/>
                <w:kern w:val="0"/>
                <w:sz w:val="18"/>
                <w:szCs w:val="18"/>
                <w:lang w:bidi="ar"/>
              </w:rPr>
              <w:t>依托发展潜力大的企业进行建设补贴设备</w:t>
            </w:r>
          </w:p>
        </w:tc>
        <w:tc>
          <w:tcPr>
            <w:tcW w:w="1875" w:type="dxa"/>
            <w:vAlign w:val="center"/>
          </w:tcPr>
          <w:p>
            <w:pPr>
              <w:jc w:val="center"/>
              <w:rPr>
                <w:color w:val="auto"/>
                <w:kern w:val="0"/>
                <w:sz w:val="18"/>
                <w:szCs w:val="18"/>
                <w:lang w:bidi="ar"/>
              </w:rPr>
            </w:pPr>
            <w:r>
              <w:rPr>
                <w:rFonts w:hint="eastAsia"/>
                <w:color w:val="auto"/>
                <w:kern w:val="0"/>
                <w:sz w:val="18"/>
                <w:szCs w:val="18"/>
                <w:lang w:val="en-US" w:eastAsia="zh-CN" w:bidi="ar"/>
              </w:rPr>
              <w:t>相关企业</w:t>
            </w:r>
          </w:p>
        </w:tc>
        <w:tc>
          <w:tcPr>
            <w:tcW w:w="1335" w:type="dxa"/>
            <w:vAlign w:val="center"/>
          </w:tcPr>
          <w:p>
            <w:pPr>
              <w:pStyle w:val="5"/>
              <w:ind w:firstLine="0" w:firstLineChars="0"/>
              <w:jc w:val="center"/>
              <w:rPr>
                <w:color w:val="auto"/>
                <w:kern w:val="0"/>
                <w:sz w:val="18"/>
                <w:szCs w:val="18"/>
                <w:lang w:bidi="ar"/>
              </w:rPr>
            </w:pPr>
            <w:r>
              <w:rPr>
                <w:color w:val="auto"/>
                <w:kern w:val="0"/>
                <w:sz w:val="18"/>
                <w:szCs w:val="18"/>
                <w:lang w:bidi="ar"/>
              </w:rPr>
              <w:t>实际完成的设施设备规模及实现秸秆收集处理目标量台账记录</w:t>
            </w:r>
          </w:p>
        </w:tc>
        <w:tc>
          <w:tcPr>
            <w:tcW w:w="1691" w:type="dxa"/>
            <w:vAlign w:val="center"/>
          </w:tcPr>
          <w:p>
            <w:pPr>
              <w:pStyle w:val="5"/>
              <w:ind w:firstLine="0" w:firstLineChars="0"/>
              <w:jc w:val="center"/>
              <w:rPr>
                <w:color w:val="auto"/>
                <w:kern w:val="0"/>
                <w:sz w:val="18"/>
                <w:szCs w:val="18"/>
                <w:lang w:bidi="ar"/>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06" w:hRule="atLeast"/>
        </w:trPr>
        <w:tc>
          <w:tcPr>
            <w:tcW w:w="731" w:type="dxa"/>
            <w:vAlign w:val="center"/>
          </w:tcPr>
          <w:p>
            <w:pPr>
              <w:pStyle w:val="5"/>
              <w:ind w:firstLine="0" w:firstLineChars="0"/>
              <w:jc w:val="center"/>
              <w:rPr>
                <w:color w:val="auto"/>
                <w:sz w:val="18"/>
                <w:szCs w:val="18"/>
              </w:rPr>
            </w:pPr>
            <w:r>
              <w:rPr>
                <w:rFonts w:hint="eastAsia"/>
                <w:color w:val="auto"/>
                <w:sz w:val="18"/>
                <w:szCs w:val="18"/>
              </w:rPr>
              <w:t>6</w:t>
            </w:r>
          </w:p>
        </w:tc>
        <w:tc>
          <w:tcPr>
            <w:tcW w:w="1760" w:type="dxa"/>
            <w:vAlign w:val="center"/>
          </w:tcPr>
          <w:p>
            <w:pPr>
              <w:pStyle w:val="5"/>
              <w:ind w:firstLine="0" w:firstLineChars="0"/>
              <w:jc w:val="center"/>
              <w:rPr>
                <w:color w:val="auto"/>
                <w:kern w:val="0"/>
                <w:sz w:val="18"/>
                <w:szCs w:val="18"/>
              </w:rPr>
            </w:pPr>
            <w:r>
              <w:rPr>
                <w:color w:val="auto"/>
                <w:kern w:val="0"/>
                <w:sz w:val="18"/>
                <w:szCs w:val="18"/>
              </w:rPr>
              <w:t>配套研究</w:t>
            </w:r>
          </w:p>
        </w:tc>
        <w:tc>
          <w:tcPr>
            <w:tcW w:w="1845" w:type="dxa"/>
            <w:vAlign w:val="center"/>
          </w:tcPr>
          <w:p>
            <w:pPr>
              <w:pStyle w:val="5"/>
              <w:ind w:firstLine="0" w:firstLineChars="0"/>
              <w:jc w:val="center"/>
              <w:rPr>
                <w:color w:val="auto"/>
                <w:kern w:val="0"/>
                <w:sz w:val="18"/>
                <w:szCs w:val="18"/>
              </w:rPr>
            </w:pPr>
            <w:r>
              <w:rPr>
                <w:color w:val="auto"/>
                <w:kern w:val="0"/>
                <w:sz w:val="18"/>
                <w:szCs w:val="18"/>
              </w:rPr>
              <w:t>辅助企业进行配套研发生产</w:t>
            </w:r>
          </w:p>
        </w:tc>
        <w:tc>
          <w:tcPr>
            <w:tcW w:w="1875" w:type="dxa"/>
            <w:vAlign w:val="center"/>
          </w:tcPr>
          <w:p>
            <w:pPr>
              <w:pStyle w:val="5"/>
              <w:ind w:firstLine="0" w:firstLineChars="0"/>
              <w:jc w:val="center"/>
              <w:rPr>
                <w:color w:val="auto"/>
                <w:kern w:val="0"/>
                <w:sz w:val="18"/>
                <w:szCs w:val="18"/>
              </w:rPr>
            </w:pPr>
            <w:r>
              <w:rPr>
                <w:color w:val="auto"/>
                <w:kern w:val="0"/>
                <w:sz w:val="18"/>
                <w:szCs w:val="18"/>
              </w:rPr>
              <w:t>高校或科研院所</w:t>
            </w:r>
          </w:p>
        </w:tc>
        <w:tc>
          <w:tcPr>
            <w:tcW w:w="1335" w:type="dxa"/>
            <w:vAlign w:val="center"/>
          </w:tcPr>
          <w:p>
            <w:pPr>
              <w:pStyle w:val="5"/>
              <w:ind w:firstLine="0" w:firstLineChars="0"/>
              <w:rPr>
                <w:color w:val="auto"/>
                <w:kern w:val="0"/>
                <w:sz w:val="18"/>
                <w:szCs w:val="18"/>
              </w:rPr>
            </w:pPr>
            <w:r>
              <w:rPr>
                <w:color w:val="auto"/>
                <w:kern w:val="0"/>
                <w:sz w:val="18"/>
                <w:szCs w:val="18"/>
              </w:rPr>
              <w:t>实现工艺指标完成论文</w:t>
            </w:r>
          </w:p>
        </w:tc>
        <w:tc>
          <w:tcPr>
            <w:tcW w:w="1691" w:type="dxa"/>
            <w:vAlign w:val="center"/>
          </w:tcPr>
          <w:p>
            <w:pPr>
              <w:pStyle w:val="5"/>
              <w:ind w:firstLine="0" w:firstLineChars="0"/>
              <w:jc w:val="center"/>
              <w:rPr>
                <w:color w:val="auto"/>
                <w:kern w:val="0"/>
                <w:sz w:val="18"/>
                <w:szCs w:val="18"/>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19" w:hRule="atLeast"/>
        </w:trPr>
        <w:tc>
          <w:tcPr>
            <w:tcW w:w="731" w:type="dxa"/>
            <w:vAlign w:val="center"/>
          </w:tcPr>
          <w:p>
            <w:pPr>
              <w:pStyle w:val="5"/>
              <w:ind w:firstLine="0" w:firstLineChars="0"/>
              <w:jc w:val="center"/>
              <w:rPr>
                <w:color w:val="auto"/>
                <w:sz w:val="18"/>
                <w:szCs w:val="18"/>
              </w:rPr>
            </w:pPr>
            <w:r>
              <w:rPr>
                <w:rFonts w:hint="eastAsia"/>
                <w:color w:val="auto"/>
                <w:sz w:val="18"/>
                <w:szCs w:val="18"/>
              </w:rPr>
              <w:t>7</w:t>
            </w:r>
          </w:p>
        </w:tc>
        <w:tc>
          <w:tcPr>
            <w:tcW w:w="1760" w:type="dxa"/>
            <w:vAlign w:val="center"/>
          </w:tcPr>
          <w:p>
            <w:pPr>
              <w:pStyle w:val="5"/>
              <w:ind w:firstLine="0" w:firstLineChars="0"/>
              <w:jc w:val="center"/>
              <w:rPr>
                <w:color w:val="auto"/>
                <w:kern w:val="0"/>
                <w:sz w:val="18"/>
                <w:szCs w:val="18"/>
              </w:rPr>
            </w:pPr>
            <w:r>
              <w:rPr>
                <w:color w:val="auto"/>
                <w:kern w:val="0"/>
                <w:sz w:val="18"/>
                <w:szCs w:val="18"/>
              </w:rPr>
              <w:t>还田监测及数据</w:t>
            </w:r>
          </w:p>
        </w:tc>
        <w:tc>
          <w:tcPr>
            <w:tcW w:w="1845" w:type="dxa"/>
            <w:vAlign w:val="center"/>
          </w:tcPr>
          <w:p>
            <w:pPr>
              <w:pStyle w:val="5"/>
              <w:ind w:firstLine="0" w:firstLineChars="0"/>
              <w:jc w:val="center"/>
              <w:rPr>
                <w:rFonts w:hint="default" w:eastAsia="宋体"/>
                <w:color w:val="auto"/>
                <w:kern w:val="0"/>
                <w:sz w:val="18"/>
                <w:szCs w:val="18"/>
                <w:lang w:val="en-US" w:eastAsia="zh-CN"/>
              </w:rPr>
            </w:pPr>
            <w:r>
              <w:rPr>
                <w:color w:val="auto"/>
                <w:kern w:val="0"/>
                <w:sz w:val="18"/>
                <w:szCs w:val="18"/>
              </w:rPr>
              <w:t>还田监测、草谷比</w:t>
            </w:r>
            <w:r>
              <w:rPr>
                <w:rFonts w:hint="eastAsia"/>
                <w:color w:val="auto"/>
                <w:kern w:val="0"/>
                <w:sz w:val="18"/>
                <w:szCs w:val="18"/>
                <w:lang w:val="en-US" w:eastAsia="zh-CN"/>
              </w:rPr>
              <w:t>及可收集系数</w:t>
            </w:r>
          </w:p>
        </w:tc>
        <w:tc>
          <w:tcPr>
            <w:tcW w:w="1875" w:type="dxa"/>
            <w:vAlign w:val="center"/>
          </w:tcPr>
          <w:p>
            <w:pPr>
              <w:pStyle w:val="5"/>
              <w:ind w:firstLine="0" w:firstLineChars="0"/>
              <w:jc w:val="center"/>
              <w:rPr>
                <w:color w:val="auto"/>
                <w:kern w:val="0"/>
                <w:sz w:val="18"/>
                <w:szCs w:val="18"/>
              </w:rPr>
            </w:pPr>
            <w:r>
              <w:rPr>
                <w:color w:val="auto"/>
                <w:kern w:val="0"/>
                <w:sz w:val="18"/>
                <w:szCs w:val="18"/>
              </w:rPr>
              <w:t>高校或科研院所</w:t>
            </w:r>
          </w:p>
        </w:tc>
        <w:tc>
          <w:tcPr>
            <w:tcW w:w="1335" w:type="dxa"/>
            <w:vAlign w:val="center"/>
          </w:tcPr>
          <w:p>
            <w:pPr>
              <w:pStyle w:val="5"/>
              <w:ind w:firstLine="0" w:firstLineChars="0"/>
              <w:jc w:val="center"/>
              <w:rPr>
                <w:color w:val="auto"/>
                <w:kern w:val="0"/>
                <w:sz w:val="18"/>
                <w:szCs w:val="18"/>
              </w:rPr>
            </w:pPr>
            <w:r>
              <w:rPr>
                <w:color w:val="auto"/>
                <w:kern w:val="0"/>
                <w:sz w:val="18"/>
                <w:szCs w:val="18"/>
              </w:rPr>
              <w:t>数据报告</w:t>
            </w:r>
          </w:p>
        </w:tc>
        <w:tc>
          <w:tcPr>
            <w:tcW w:w="1691" w:type="dxa"/>
            <w:vAlign w:val="center"/>
          </w:tcPr>
          <w:p>
            <w:pPr>
              <w:pStyle w:val="5"/>
              <w:ind w:firstLine="0" w:firstLineChars="0"/>
              <w:jc w:val="center"/>
              <w:rPr>
                <w:color w:val="auto"/>
                <w:kern w:val="0"/>
                <w:sz w:val="18"/>
                <w:szCs w:val="18"/>
              </w:rPr>
            </w:pPr>
            <w:r>
              <w:rPr>
                <w:color w:val="auto"/>
                <w:kern w:val="0"/>
                <w:sz w:val="18"/>
                <w:szCs w:val="18"/>
                <w:lang w:bidi="ar"/>
              </w:rPr>
              <w:t>以红塔区农业农村综合开发服务中心与企业签订的秸秆综合利用目标责任书或协议为准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19" w:hRule="atLeast"/>
        </w:trPr>
        <w:tc>
          <w:tcPr>
            <w:tcW w:w="731" w:type="dxa"/>
            <w:vAlign w:val="center"/>
          </w:tcPr>
          <w:p>
            <w:pPr>
              <w:pStyle w:val="5"/>
              <w:ind w:firstLine="0" w:firstLineChars="0"/>
              <w:jc w:val="center"/>
              <w:rPr>
                <w:color w:val="auto"/>
                <w:sz w:val="18"/>
                <w:szCs w:val="18"/>
              </w:rPr>
            </w:pPr>
            <w:r>
              <w:rPr>
                <w:rFonts w:hint="eastAsia"/>
                <w:color w:val="auto"/>
                <w:sz w:val="18"/>
                <w:szCs w:val="18"/>
              </w:rPr>
              <w:t>8</w:t>
            </w:r>
          </w:p>
        </w:tc>
        <w:tc>
          <w:tcPr>
            <w:tcW w:w="1760" w:type="dxa"/>
            <w:vAlign w:val="center"/>
          </w:tcPr>
          <w:p>
            <w:pPr>
              <w:pStyle w:val="5"/>
              <w:ind w:firstLine="0" w:firstLineChars="0"/>
              <w:jc w:val="center"/>
              <w:rPr>
                <w:color w:val="auto"/>
                <w:kern w:val="0"/>
                <w:sz w:val="18"/>
                <w:szCs w:val="18"/>
              </w:rPr>
            </w:pPr>
            <w:r>
              <w:rPr>
                <w:color w:val="auto"/>
                <w:sz w:val="18"/>
                <w:szCs w:val="18"/>
              </w:rPr>
              <w:t>技术宣传培训</w:t>
            </w:r>
          </w:p>
        </w:tc>
        <w:tc>
          <w:tcPr>
            <w:tcW w:w="1845" w:type="dxa"/>
            <w:vAlign w:val="center"/>
          </w:tcPr>
          <w:p>
            <w:pPr>
              <w:pStyle w:val="5"/>
              <w:ind w:firstLine="0" w:firstLineChars="0"/>
              <w:jc w:val="center"/>
              <w:rPr>
                <w:color w:val="auto"/>
                <w:kern w:val="0"/>
                <w:sz w:val="18"/>
                <w:szCs w:val="18"/>
              </w:rPr>
            </w:pPr>
            <w:r>
              <w:rPr>
                <w:color w:val="auto"/>
                <w:kern w:val="0"/>
                <w:sz w:val="18"/>
                <w:szCs w:val="18"/>
                <w:lang w:bidi="ar"/>
              </w:rPr>
              <w:t>完成两次以上技术培训</w:t>
            </w:r>
          </w:p>
        </w:tc>
        <w:tc>
          <w:tcPr>
            <w:tcW w:w="1875" w:type="dxa"/>
            <w:vAlign w:val="center"/>
          </w:tcPr>
          <w:p>
            <w:pPr>
              <w:pStyle w:val="5"/>
              <w:ind w:firstLine="0" w:firstLineChars="0"/>
              <w:jc w:val="center"/>
              <w:rPr>
                <w:color w:val="auto"/>
                <w:kern w:val="0"/>
                <w:sz w:val="18"/>
                <w:szCs w:val="18"/>
              </w:rPr>
            </w:pPr>
            <w:r>
              <w:rPr>
                <w:color w:val="auto"/>
                <w:kern w:val="0"/>
                <w:sz w:val="18"/>
                <w:szCs w:val="18"/>
              </w:rPr>
              <w:t>高校或科研院所</w:t>
            </w:r>
          </w:p>
        </w:tc>
        <w:tc>
          <w:tcPr>
            <w:tcW w:w="1335" w:type="dxa"/>
            <w:vAlign w:val="center"/>
          </w:tcPr>
          <w:p>
            <w:pPr>
              <w:pStyle w:val="5"/>
              <w:ind w:firstLine="0" w:firstLineChars="0"/>
              <w:jc w:val="center"/>
              <w:rPr>
                <w:color w:val="auto"/>
                <w:kern w:val="0"/>
                <w:sz w:val="18"/>
                <w:szCs w:val="18"/>
              </w:rPr>
            </w:pPr>
            <w:r>
              <w:rPr>
                <w:color w:val="auto"/>
                <w:kern w:val="0"/>
                <w:sz w:val="18"/>
                <w:szCs w:val="18"/>
              </w:rPr>
              <w:t>提交报告</w:t>
            </w:r>
          </w:p>
        </w:tc>
        <w:tc>
          <w:tcPr>
            <w:tcW w:w="1691" w:type="dxa"/>
            <w:vAlign w:val="center"/>
          </w:tcPr>
          <w:p>
            <w:pPr>
              <w:pStyle w:val="5"/>
              <w:ind w:firstLine="0" w:firstLineChars="0"/>
              <w:jc w:val="center"/>
              <w:rPr>
                <w:color w:val="auto"/>
                <w:kern w:val="0"/>
                <w:sz w:val="18"/>
                <w:szCs w:val="18"/>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019" w:hRule="atLeast"/>
        </w:trPr>
        <w:tc>
          <w:tcPr>
            <w:tcW w:w="731" w:type="dxa"/>
            <w:vAlign w:val="center"/>
          </w:tcPr>
          <w:p>
            <w:pPr>
              <w:pStyle w:val="5"/>
              <w:ind w:firstLine="0" w:firstLineChars="0"/>
              <w:jc w:val="center"/>
              <w:rPr>
                <w:color w:val="auto"/>
                <w:sz w:val="18"/>
                <w:szCs w:val="18"/>
              </w:rPr>
            </w:pPr>
            <w:r>
              <w:rPr>
                <w:rFonts w:hint="eastAsia"/>
                <w:color w:val="auto"/>
                <w:sz w:val="18"/>
                <w:szCs w:val="18"/>
              </w:rPr>
              <w:t>9</w:t>
            </w:r>
          </w:p>
        </w:tc>
        <w:tc>
          <w:tcPr>
            <w:tcW w:w="1760" w:type="dxa"/>
            <w:vAlign w:val="center"/>
          </w:tcPr>
          <w:p>
            <w:pPr>
              <w:pStyle w:val="5"/>
              <w:ind w:firstLine="0" w:firstLineChars="0"/>
              <w:jc w:val="center"/>
              <w:rPr>
                <w:color w:val="auto"/>
                <w:kern w:val="0"/>
                <w:sz w:val="18"/>
                <w:szCs w:val="18"/>
              </w:rPr>
            </w:pPr>
            <w:r>
              <w:rPr>
                <w:color w:val="auto"/>
                <w:sz w:val="18"/>
                <w:szCs w:val="18"/>
              </w:rPr>
              <w:t>宣传报道</w:t>
            </w:r>
          </w:p>
        </w:tc>
        <w:tc>
          <w:tcPr>
            <w:tcW w:w="1845" w:type="dxa"/>
            <w:vAlign w:val="center"/>
          </w:tcPr>
          <w:p>
            <w:pPr>
              <w:pStyle w:val="5"/>
              <w:ind w:firstLine="0" w:firstLineChars="0"/>
              <w:jc w:val="center"/>
              <w:rPr>
                <w:color w:val="auto"/>
                <w:kern w:val="0"/>
                <w:sz w:val="18"/>
                <w:szCs w:val="18"/>
              </w:rPr>
            </w:pPr>
            <w:r>
              <w:rPr>
                <w:color w:val="auto"/>
                <w:sz w:val="18"/>
                <w:szCs w:val="18"/>
              </w:rPr>
              <w:t>完成县市级融媒体中心报道2次</w:t>
            </w:r>
          </w:p>
        </w:tc>
        <w:tc>
          <w:tcPr>
            <w:tcW w:w="1875" w:type="dxa"/>
            <w:vAlign w:val="center"/>
          </w:tcPr>
          <w:p>
            <w:pPr>
              <w:pStyle w:val="5"/>
              <w:ind w:firstLine="0" w:firstLineChars="0"/>
              <w:jc w:val="center"/>
              <w:rPr>
                <w:color w:val="auto"/>
                <w:kern w:val="0"/>
                <w:sz w:val="18"/>
                <w:szCs w:val="18"/>
              </w:rPr>
            </w:pPr>
            <w:r>
              <w:rPr>
                <w:color w:val="auto"/>
                <w:kern w:val="0"/>
                <w:sz w:val="18"/>
                <w:szCs w:val="18"/>
              </w:rPr>
              <w:t>实施单位、高校或科研院所</w:t>
            </w:r>
          </w:p>
        </w:tc>
        <w:tc>
          <w:tcPr>
            <w:tcW w:w="1335" w:type="dxa"/>
            <w:vAlign w:val="center"/>
          </w:tcPr>
          <w:p>
            <w:pPr>
              <w:pStyle w:val="5"/>
              <w:ind w:firstLine="0" w:firstLineChars="0"/>
              <w:jc w:val="center"/>
              <w:rPr>
                <w:color w:val="auto"/>
                <w:kern w:val="0"/>
                <w:sz w:val="18"/>
                <w:szCs w:val="18"/>
              </w:rPr>
            </w:pPr>
            <w:r>
              <w:rPr>
                <w:color w:val="auto"/>
                <w:kern w:val="0"/>
                <w:sz w:val="18"/>
                <w:szCs w:val="18"/>
              </w:rPr>
              <w:t>详细记录</w:t>
            </w:r>
          </w:p>
        </w:tc>
        <w:tc>
          <w:tcPr>
            <w:tcW w:w="1691" w:type="dxa"/>
            <w:vAlign w:val="center"/>
          </w:tcPr>
          <w:p>
            <w:pPr>
              <w:pStyle w:val="5"/>
              <w:ind w:firstLine="0" w:firstLineChars="0"/>
              <w:jc w:val="center"/>
              <w:rPr>
                <w:color w:val="auto"/>
                <w:kern w:val="0"/>
                <w:sz w:val="18"/>
                <w:szCs w:val="18"/>
              </w:rPr>
            </w:pPr>
          </w:p>
        </w:tc>
      </w:tr>
    </w:tbl>
    <w:p>
      <w:pPr>
        <w:shd w:val="clear" w:color="auto" w:fill="FFFFFF"/>
        <w:adjustRightInd w:val="0"/>
        <w:snapToGrid w:val="0"/>
        <w:spacing w:line="550" w:lineRule="exact"/>
        <w:ind w:firstLine="640" w:firstLineChars="200"/>
        <w:rPr>
          <w:rFonts w:eastAsia="方正仿宋_GBK"/>
          <w:color w:val="auto"/>
          <w:sz w:val="32"/>
          <w:szCs w:val="32"/>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hd w:val="clear" w:color="auto" w:fill="FFFFFF"/>
        <w:adjustRightInd w:val="0"/>
        <w:snapToGrid w:val="0"/>
        <w:spacing w:line="550" w:lineRule="exact"/>
        <w:ind w:firstLine="640" w:firstLineChars="200"/>
        <w:rPr>
          <w:rFonts w:eastAsia="方正仿宋_GBK"/>
          <w:color w:val="auto"/>
          <w:sz w:val="32"/>
          <w:szCs w:val="32"/>
        </w:rPr>
      </w:pPr>
      <w:r>
        <w:rPr>
          <w:rFonts w:eastAsia="方正仿宋_GBK"/>
          <w:color w:val="auto"/>
          <w:sz w:val="32"/>
          <w:szCs w:val="32"/>
        </w:rPr>
        <w:t>附表4 项目绩效目标表</w:t>
      </w:r>
    </w:p>
    <w:tbl>
      <w:tblPr>
        <w:tblStyle w:val="10"/>
        <w:tblpPr w:leftFromText="180" w:rightFromText="180" w:vertAnchor="text" w:horzAnchor="page" w:tblpX="1754" w:tblpY="95"/>
        <w:tblOverlap w:val="never"/>
        <w:tblW w:w="8306" w:type="dxa"/>
        <w:tblInd w:w="0" w:type="dxa"/>
        <w:tblLayout w:type="fixed"/>
        <w:tblCellMar>
          <w:top w:w="0" w:type="dxa"/>
          <w:left w:w="0" w:type="dxa"/>
          <w:bottom w:w="0" w:type="dxa"/>
          <w:right w:w="0" w:type="dxa"/>
        </w:tblCellMar>
      </w:tblPr>
      <w:tblGrid>
        <w:gridCol w:w="561"/>
        <w:gridCol w:w="739"/>
        <w:gridCol w:w="2445"/>
        <w:gridCol w:w="2444"/>
        <w:gridCol w:w="2117"/>
      </w:tblGrid>
      <w:tr>
        <w:tblPrEx>
          <w:tblLayout w:type="fixed"/>
          <w:tblCellMar>
            <w:top w:w="0" w:type="dxa"/>
            <w:left w:w="0" w:type="dxa"/>
            <w:bottom w:w="0" w:type="dxa"/>
            <w:right w:w="0" w:type="dxa"/>
          </w:tblCellMar>
        </w:tblPrEx>
        <w:trPr>
          <w:trHeight w:val="642" w:hRule="atLeast"/>
        </w:trPr>
        <w:tc>
          <w:tcPr>
            <w:tcW w:w="1300"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项目名称</w:t>
            </w: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玉溪市红塔区2023年农作物秸秆综合利用重点县建设项目</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项目负责人及电话</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姚红松0877-8011238</w:t>
            </w:r>
          </w:p>
        </w:tc>
      </w:tr>
      <w:tr>
        <w:tblPrEx>
          <w:tblLayout w:type="fixed"/>
          <w:tblCellMar>
            <w:top w:w="0" w:type="dxa"/>
            <w:left w:w="0" w:type="dxa"/>
            <w:bottom w:w="0" w:type="dxa"/>
            <w:right w:w="0" w:type="dxa"/>
          </w:tblCellMar>
        </w:tblPrEx>
        <w:trPr>
          <w:trHeight w:val="660" w:hRule="atLeast"/>
        </w:trPr>
        <w:tc>
          <w:tcPr>
            <w:tcW w:w="1300"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主管部门</w:t>
            </w:r>
          </w:p>
        </w:tc>
        <w:tc>
          <w:tcPr>
            <w:tcW w:w="2445"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玉溪市红塔区人民政府</w:t>
            </w:r>
          </w:p>
        </w:tc>
        <w:tc>
          <w:tcPr>
            <w:tcW w:w="2444"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实施单位</w:t>
            </w:r>
          </w:p>
        </w:tc>
        <w:tc>
          <w:tcPr>
            <w:tcW w:w="211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玉溪市红塔区农业农村发展服务中心</w:t>
            </w:r>
          </w:p>
        </w:tc>
      </w:tr>
      <w:tr>
        <w:tblPrEx>
          <w:tblLayout w:type="fixed"/>
          <w:tblCellMar>
            <w:top w:w="0" w:type="dxa"/>
            <w:left w:w="0" w:type="dxa"/>
            <w:bottom w:w="0" w:type="dxa"/>
            <w:right w:w="0" w:type="dxa"/>
          </w:tblCellMar>
        </w:tblPrEx>
        <w:trPr>
          <w:trHeight w:val="363" w:hRule="exact"/>
        </w:trPr>
        <w:tc>
          <w:tcPr>
            <w:tcW w:w="130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资金情况</w:t>
            </w:r>
            <w:r>
              <w:rPr>
                <w:rFonts w:eastAsia="方正仿宋_GBK"/>
                <w:color w:val="auto"/>
                <w:kern w:val="0"/>
                <w:sz w:val="24"/>
                <w:lang w:bidi="ar"/>
              </w:rPr>
              <w:br w:type="textWrapping"/>
            </w:r>
            <w:r>
              <w:rPr>
                <w:rFonts w:eastAsia="方正仿宋_GBK"/>
                <w:color w:val="auto"/>
                <w:kern w:val="0"/>
                <w:sz w:val="24"/>
                <w:lang w:bidi="ar"/>
              </w:rPr>
              <w:t>（万元）</w:t>
            </w:r>
          </w:p>
        </w:tc>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年度资金总额</w:t>
            </w:r>
          </w:p>
        </w:tc>
        <w:tc>
          <w:tcPr>
            <w:tcW w:w="456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eastAsia="方正仿宋_GBK"/>
                <w:color w:val="auto"/>
                <w:sz w:val="24"/>
                <w:lang w:val="en-US" w:eastAsia="zh-CN"/>
              </w:rPr>
            </w:pPr>
            <w:r>
              <w:rPr>
                <w:rFonts w:hint="eastAsia" w:eastAsia="方正仿宋_GBK"/>
                <w:color w:val="auto"/>
                <w:sz w:val="24"/>
                <w:lang w:val="en-US" w:eastAsia="zh-CN"/>
              </w:rPr>
              <w:t>920.75</w:t>
            </w:r>
          </w:p>
        </w:tc>
      </w:tr>
      <w:tr>
        <w:tblPrEx>
          <w:tblLayout w:type="fixed"/>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其中：财政拨款</w:t>
            </w:r>
          </w:p>
        </w:tc>
        <w:tc>
          <w:tcPr>
            <w:tcW w:w="456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sz w:val="24"/>
              </w:rPr>
              <w:t>400</w:t>
            </w:r>
          </w:p>
        </w:tc>
      </w:tr>
      <w:tr>
        <w:tblPrEx>
          <w:tblLayout w:type="fixed"/>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其他资金</w:t>
            </w:r>
          </w:p>
        </w:tc>
        <w:tc>
          <w:tcPr>
            <w:tcW w:w="4561" w:type="dxa"/>
            <w:gridSpan w:val="2"/>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eastAsia="方正仿宋_GBK"/>
                <w:color w:val="auto"/>
                <w:sz w:val="24"/>
                <w:lang w:val="en-US" w:eastAsia="zh-CN"/>
              </w:rPr>
            </w:pPr>
            <w:r>
              <w:rPr>
                <w:rFonts w:hint="eastAsia" w:eastAsia="方正仿宋_GBK"/>
                <w:color w:val="auto"/>
                <w:sz w:val="24"/>
                <w:lang w:val="en-US" w:eastAsia="zh-CN"/>
              </w:rPr>
              <w:t>520.75</w:t>
            </w:r>
          </w:p>
        </w:tc>
      </w:tr>
      <w:tr>
        <w:tblPrEx>
          <w:tblLayout w:type="fixed"/>
          <w:tblCellMar>
            <w:top w:w="0" w:type="dxa"/>
            <w:left w:w="0" w:type="dxa"/>
            <w:bottom w:w="0" w:type="dxa"/>
            <w:right w:w="0" w:type="dxa"/>
          </w:tblCellMar>
        </w:tblPrEx>
        <w:trPr>
          <w:trHeight w:val="560"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总</w:t>
            </w:r>
            <w:r>
              <w:rPr>
                <w:rFonts w:eastAsia="方正仿宋_GBK"/>
                <w:color w:val="auto"/>
                <w:kern w:val="0"/>
                <w:sz w:val="24"/>
                <w:lang w:bidi="ar"/>
              </w:rPr>
              <w:br w:type="textWrapping"/>
            </w:r>
            <w:r>
              <w:rPr>
                <w:rFonts w:eastAsia="方正仿宋_GBK"/>
                <w:color w:val="auto"/>
                <w:kern w:val="0"/>
                <w:sz w:val="24"/>
                <w:lang w:bidi="ar"/>
              </w:rPr>
              <w:t>体</w:t>
            </w:r>
            <w:r>
              <w:rPr>
                <w:rFonts w:eastAsia="方正仿宋_GBK"/>
                <w:color w:val="auto"/>
                <w:kern w:val="0"/>
                <w:sz w:val="24"/>
                <w:lang w:bidi="ar"/>
              </w:rPr>
              <w:br w:type="textWrapping"/>
            </w:r>
            <w:r>
              <w:rPr>
                <w:rFonts w:eastAsia="方正仿宋_GBK"/>
                <w:color w:val="auto"/>
                <w:kern w:val="0"/>
                <w:sz w:val="24"/>
                <w:lang w:bidi="ar"/>
              </w:rPr>
              <w:t>目</w:t>
            </w:r>
            <w:r>
              <w:rPr>
                <w:rFonts w:eastAsia="方正仿宋_GBK"/>
                <w:color w:val="auto"/>
                <w:kern w:val="0"/>
                <w:sz w:val="24"/>
                <w:lang w:bidi="ar"/>
              </w:rPr>
              <w:br w:type="textWrapping"/>
            </w:r>
            <w:r>
              <w:rPr>
                <w:rFonts w:eastAsia="方正仿宋_GBK"/>
                <w:color w:val="auto"/>
                <w:kern w:val="0"/>
                <w:sz w:val="24"/>
                <w:lang w:bidi="ar"/>
              </w:rPr>
              <w:t>标</w:t>
            </w:r>
          </w:p>
        </w:tc>
        <w:tc>
          <w:tcPr>
            <w:tcW w:w="7745" w:type="dxa"/>
            <w:gridSpan w:val="4"/>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ind w:firstLine="480" w:firstLineChars="200"/>
              <w:jc w:val="left"/>
              <w:textAlignment w:val="center"/>
              <w:rPr>
                <w:rFonts w:eastAsia="方正仿宋_GBK"/>
                <w:color w:val="auto"/>
                <w:sz w:val="24"/>
              </w:rPr>
            </w:pPr>
            <w:r>
              <w:rPr>
                <w:rFonts w:eastAsia="方正仿宋_GBK"/>
                <w:color w:val="auto"/>
                <w:kern w:val="0"/>
                <w:sz w:val="24"/>
                <w:lang w:bidi="ar"/>
              </w:rPr>
              <w:t>通过项目建设，基本建立较完善的</w:t>
            </w:r>
            <w:r>
              <w:rPr>
                <w:rFonts w:hint="eastAsia" w:eastAsia="方正仿宋_GBK"/>
                <w:color w:val="auto"/>
                <w:kern w:val="0"/>
                <w:sz w:val="24"/>
                <w:lang w:bidi="ar"/>
              </w:rPr>
              <w:t>“</w:t>
            </w:r>
            <w:r>
              <w:rPr>
                <w:rFonts w:eastAsia="方正仿宋_GBK"/>
                <w:color w:val="auto"/>
                <w:kern w:val="0"/>
                <w:sz w:val="24"/>
                <w:lang w:bidi="ar"/>
              </w:rPr>
              <w:t>收储运</w:t>
            </w:r>
            <w:r>
              <w:rPr>
                <w:rFonts w:hint="eastAsia" w:eastAsia="方正仿宋_GBK"/>
                <w:color w:val="auto"/>
                <w:kern w:val="0"/>
                <w:sz w:val="24"/>
                <w:lang w:bidi="ar"/>
              </w:rPr>
              <w:t>”</w:t>
            </w:r>
            <w:r>
              <w:rPr>
                <w:rFonts w:eastAsia="方正仿宋_GBK"/>
                <w:color w:val="auto"/>
                <w:kern w:val="0"/>
                <w:sz w:val="24"/>
                <w:lang w:bidi="ar"/>
              </w:rPr>
              <w:t>的秸秆综合化利用体系；2023年，实现秸秆综合利用率达到92%以上高位运行。</w:t>
            </w:r>
          </w:p>
        </w:tc>
      </w:tr>
      <w:tr>
        <w:tblPrEx>
          <w:tblLayout w:type="fixed"/>
          <w:tblCellMar>
            <w:top w:w="0" w:type="dxa"/>
            <w:left w:w="0" w:type="dxa"/>
            <w:bottom w:w="0" w:type="dxa"/>
            <w:right w:w="0" w:type="dxa"/>
          </w:tblCellMar>
        </w:tblPrEx>
        <w:trPr>
          <w:trHeight w:val="650"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745" w:type="dxa"/>
            <w:gridSpan w:val="4"/>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r>
      <w:tr>
        <w:tblPrEx>
          <w:tblLayout w:type="fixed"/>
          <w:tblCellMar>
            <w:top w:w="0" w:type="dxa"/>
            <w:left w:w="0" w:type="dxa"/>
            <w:bottom w:w="0" w:type="dxa"/>
            <w:right w:w="0" w:type="dxa"/>
          </w:tblCellMar>
        </w:tblPrEx>
        <w:trPr>
          <w:trHeight w:val="582"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绩</w:t>
            </w:r>
            <w:r>
              <w:rPr>
                <w:rFonts w:eastAsia="方正仿宋_GBK"/>
                <w:color w:val="auto"/>
                <w:kern w:val="0"/>
                <w:sz w:val="24"/>
                <w:lang w:bidi="ar"/>
              </w:rPr>
              <w:br w:type="textWrapping"/>
            </w:r>
            <w:r>
              <w:rPr>
                <w:rFonts w:eastAsia="方正仿宋_GBK"/>
                <w:color w:val="auto"/>
                <w:kern w:val="0"/>
                <w:sz w:val="24"/>
                <w:lang w:bidi="ar"/>
              </w:rPr>
              <w:t>效</w:t>
            </w:r>
            <w:r>
              <w:rPr>
                <w:rFonts w:eastAsia="方正仿宋_GBK"/>
                <w:color w:val="auto"/>
                <w:kern w:val="0"/>
                <w:sz w:val="24"/>
                <w:lang w:bidi="ar"/>
              </w:rPr>
              <w:br w:type="textWrapping"/>
            </w:r>
            <w:r>
              <w:rPr>
                <w:rFonts w:eastAsia="方正仿宋_GBK"/>
                <w:color w:val="auto"/>
                <w:kern w:val="0"/>
                <w:sz w:val="24"/>
                <w:lang w:bidi="ar"/>
              </w:rPr>
              <w:t>指</w:t>
            </w:r>
            <w:r>
              <w:rPr>
                <w:rFonts w:eastAsia="方正仿宋_GBK"/>
                <w:color w:val="auto"/>
                <w:kern w:val="0"/>
                <w:sz w:val="24"/>
                <w:lang w:bidi="ar"/>
              </w:rPr>
              <w:br w:type="textWrapping"/>
            </w:r>
            <w:r>
              <w:rPr>
                <w:rFonts w:eastAsia="方正仿宋_GBK"/>
                <w:color w:val="auto"/>
                <w:kern w:val="0"/>
                <w:sz w:val="24"/>
                <w:lang w:bidi="ar"/>
              </w:rPr>
              <w:t>标</w:t>
            </w: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一级</w:t>
            </w:r>
          </w:p>
          <w:p>
            <w:pPr>
              <w:widowControl/>
              <w:spacing w:line="320" w:lineRule="exact"/>
              <w:jc w:val="center"/>
              <w:textAlignment w:val="center"/>
              <w:rPr>
                <w:rFonts w:eastAsia="方正仿宋_GBK"/>
                <w:color w:val="auto"/>
                <w:sz w:val="24"/>
              </w:rPr>
            </w:pPr>
            <w:r>
              <w:rPr>
                <w:rFonts w:eastAsia="方正仿宋_GBK"/>
                <w:color w:val="auto"/>
                <w:kern w:val="0"/>
                <w:sz w:val="24"/>
                <w:lang w:bidi="ar"/>
              </w:rPr>
              <w:t>指标</w:t>
            </w: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二级指标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三级指标</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指标值</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产出</w:t>
            </w:r>
          </w:p>
          <w:p>
            <w:pPr>
              <w:widowControl/>
              <w:spacing w:line="320" w:lineRule="exact"/>
              <w:jc w:val="center"/>
              <w:textAlignment w:val="center"/>
              <w:rPr>
                <w:rFonts w:eastAsia="方正仿宋_GBK"/>
                <w:color w:val="auto"/>
                <w:sz w:val="24"/>
              </w:rPr>
            </w:pPr>
            <w:r>
              <w:rPr>
                <w:rFonts w:eastAsia="方正仿宋_GBK"/>
                <w:color w:val="auto"/>
                <w:kern w:val="0"/>
                <w:sz w:val="24"/>
                <w:lang w:bidi="ar"/>
              </w:rPr>
              <w:t>指标</w:t>
            </w: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数量指标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建立收储运模式</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hint="eastAsia" w:eastAsia="方正仿宋_GBK"/>
                <w:color w:val="auto"/>
                <w:kern w:val="0"/>
                <w:sz w:val="24"/>
                <w:lang w:val="en-US" w:eastAsia="zh-CN" w:bidi="ar"/>
              </w:rPr>
              <w:t>≥</w:t>
            </w:r>
            <w:r>
              <w:rPr>
                <w:rFonts w:eastAsia="方正仿宋_GBK"/>
                <w:color w:val="auto"/>
                <w:kern w:val="0"/>
                <w:sz w:val="24"/>
                <w:lang w:bidi="ar"/>
              </w:rPr>
              <w:t>5个</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数量指标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建立燃料化利用</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1个</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数量指标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建立原料化利用</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1个</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数量指标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建立肥料化</w:t>
            </w:r>
            <w:r>
              <w:rPr>
                <w:rFonts w:hint="eastAsia" w:eastAsia="方正仿宋_GBK"/>
                <w:color w:val="auto"/>
                <w:kern w:val="0"/>
                <w:sz w:val="24"/>
                <w:lang w:val="en-US" w:eastAsia="zh-CN" w:bidi="ar"/>
              </w:rPr>
              <w:t>沃土</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eastAsia="方正仿宋_GBK"/>
                <w:color w:val="auto"/>
                <w:kern w:val="0"/>
                <w:sz w:val="24"/>
                <w:lang w:bidi="ar"/>
              </w:rPr>
              <w:t>1个</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数量指标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hint="eastAsia" w:eastAsia="方正仿宋_GBK"/>
                <w:color w:val="auto"/>
                <w:kern w:val="0"/>
                <w:sz w:val="24"/>
                <w:lang w:eastAsia="zh-CN" w:bidi="ar"/>
              </w:rPr>
            </w:pPr>
            <w:r>
              <w:rPr>
                <w:rFonts w:eastAsia="方正仿宋_GBK"/>
                <w:color w:val="auto"/>
                <w:kern w:val="0"/>
                <w:sz w:val="24"/>
                <w:lang w:bidi="ar"/>
              </w:rPr>
              <w:t>建立</w:t>
            </w:r>
            <w:r>
              <w:rPr>
                <w:rFonts w:hint="eastAsia" w:eastAsia="方正仿宋_GBK"/>
                <w:color w:val="auto"/>
                <w:kern w:val="0"/>
                <w:sz w:val="24"/>
                <w:lang w:val="en-US" w:eastAsia="zh-CN" w:bidi="ar"/>
              </w:rPr>
              <w:t>过腹还田沃土</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lang w:bidi="ar"/>
              </w:rPr>
            </w:pPr>
            <w:r>
              <w:rPr>
                <w:rFonts w:hint="eastAsia" w:eastAsia="方正仿宋_GBK"/>
                <w:color w:val="auto"/>
                <w:kern w:val="0"/>
                <w:sz w:val="24"/>
                <w:lang w:val="en-US" w:eastAsia="zh-CN" w:bidi="ar"/>
              </w:rPr>
              <w:t>≥</w:t>
            </w:r>
            <w:r>
              <w:rPr>
                <w:rFonts w:eastAsia="方正仿宋_GBK"/>
                <w:color w:val="auto"/>
                <w:kern w:val="0"/>
                <w:sz w:val="24"/>
                <w:lang w:bidi="ar"/>
              </w:rPr>
              <w:t>3个</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sz w:val="24"/>
              </w:rPr>
            </w:pPr>
            <w:r>
              <w:rPr>
                <w:rFonts w:eastAsia="方正仿宋_GBK"/>
                <w:color w:val="auto"/>
                <w:kern w:val="0"/>
                <w:sz w:val="24"/>
                <w:lang w:bidi="ar"/>
              </w:rPr>
              <w:t>质量指标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sz w:val="24"/>
              </w:rPr>
            </w:pPr>
            <w:r>
              <w:rPr>
                <w:rFonts w:eastAsia="方正仿宋_GBK"/>
                <w:color w:val="auto"/>
                <w:sz w:val="24"/>
              </w:rPr>
              <w:t>农作物秸秆综合利用率</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w:t>
            </w:r>
            <w:r>
              <w:rPr>
                <w:rFonts w:eastAsia="方正仿宋_GBK"/>
                <w:color w:val="auto"/>
                <w:sz w:val="24"/>
              </w:rPr>
              <w:t>92%</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kern w:val="0"/>
                <w:sz w:val="24"/>
                <w:lang w:bidi="ar"/>
              </w:rPr>
            </w:pPr>
            <w:r>
              <w:rPr>
                <w:rFonts w:eastAsia="方正仿宋_GBK"/>
                <w:color w:val="auto"/>
                <w:kern w:val="0"/>
                <w:sz w:val="24"/>
                <w:lang w:bidi="ar"/>
              </w:rPr>
              <w:t>质量指标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sz w:val="24"/>
              </w:rPr>
            </w:pPr>
            <w:r>
              <w:rPr>
                <w:rFonts w:eastAsia="方正仿宋_GBK"/>
                <w:color w:val="auto"/>
                <w:sz w:val="24"/>
              </w:rPr>
              <w:t>媒体宣传报道</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kern w:val="0"/>
                <w:sz w:val="24"/>
                <w:highlight w:val="yellow"/>
                <w:lang w:bidi="ar"/>
              </w:rPr>
            </w:pPr>
            <w:r>
              <w:rPr>
                <w:rFonts w:eastAsia="方正仿宋_GBK"/>
                <w:color w:val="auto"/>
                <w:kern w:val="0"/>
                <w:sz w:val="24"/>
                <w:lang w:bidi="ar"/>
              </w:rPr>
              <w:t>≥</w:t>
            </w:r>
            <w:r>
              <w:rPr>
                <w:rFonts w:eastAsia="方正仿宋_GBK"/>
                <w:color w:val="auto"/>
                <w:sz w:val="24"/>
              </w:rPr>
              <w:t>2次</w:t>
            </w:r>
          </w:p>
        </w:tc>
      </w:tr>
      <w:tr>
        <w:tblPrEx>
          <w:tblLayout w:type="fixed"/>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eastAsia="方正仿宋_GBK"/>
                <w:color w:val="auto"/>
                <w:sz w:val="24"/>
              </w:rPr>
            </w:pPr>
            <w:r>
              <w:rPr>
                <w:rFonts w:eastAsia="方正仿宋_GBK"/>
                <w:color w:val="auto"/>
                <w:kern w:val="0"/>
                <w:sz w:val="24"/>
                <w:lang w:bidi="ar"/>
              </w:rPr>
              <w:t>时效指标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left"/>
              <w:textAlignment w:val="center"/>
              <w:rPr>
                <w:rFonts w:hint="eastAsia" w:eastAsia="方正仿宋_GBK"/>
                <w:color w:val="auto"/>
                <w:sz w:val="24"/>
                <w:lang w:eastAsia="zh-CN"/>
              </w:rPr>
            </w:pPr>
            <w:r>
              <w:rPr>
                <w:rFonts w:eastAsia="方正仿宋_GBK"/>
                <w:color w:val="auto"/>
                <w:kern w:val="0"/>
                <w:sz w:val="24"/>
                <w:lang w:bidi="ar"/>
              </w:rPr>
              <w:t>项目（工程）完成</w:t>
            </w:r>
            <w:r>
              <w:rPr>
                <w:rFonts w:hint="eastAsia" w:eastAsia="方正仿宋_GBK"/>
                <w:color w:val="auto"/>
                <w:kern w:val="0"/>
                <w:sz w:val="24"/>
                <w:lang w:val="en-US" w:eastAsia="zh-CN" w:bidi="ar"/>
              </w:rPr>
              <w:t>时间</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eastAsia="方正仿宋_GBK"/>
                <w:color w:val="auto"/>
                <w:sz w:val="24"/>
                <w:lang w:val="en-US" w:eastAsia="zh-CN"/>
              </w:rPr>
            </w:pPr>
            <w:r>
              <w:rPr>
                <w:rFonts w:hint="eastAsia" w:eastAsia="方正仿宋_GBK"/>
                <w:color w:val="auto"/>
                <w:kern w:val="0"/>
                <w:sz w:val="24"/>
                <w:lang w:val="en-US" w:eastAsia="zh-CN" w:bidi="ar"/>
              </w:rPr>
              <w:t>2023年12月30日</w:t>
            </w:r>
          </w:p>
        </w:tc>
      </w:tr>
      <w:tr>
        <w:tblPrEx>
          <w:tblLayout w:type="fixed"/>
          <w:tblCellMar>
            <w:top w:w="0" w:type="dxa"/>
            <w:left w:w="0" w:type="dxa"/>
            <w:bottom w:w="0" w:type="dxa"/>
            <w:right w:w="0" w:type="dxa"/>
          </w:tblCellMar>
        </w:tblPrEx>
        <w:trPr>
          <w:trHeight w:val="52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r>
              <w:rPr>
                <w:rFonts w:eastAsia="方正仿宋_GBK"/>
                <w:color w:val="auto"/>
                <w:sz w:val="24"/>
              </w:rPr>
              <w:t>效益指标</w:t>
            </w: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生态效益</w:t>
            </w:r>
            <w:r>
              <w:rPr>
                <w:rFonts w:eastAsia="方正仿宋_GBK"/>
                <w:color w:val="auto"/>
                <w:kern w:val="0"/>
                <w:sz w:val="24"/>
                <w:lang w:bidi="ar"/>
              </w:rPr>
              <w:br w:type="textWrapping"/>
            </w:r>
            <w:r>
              <w:rPr>
                <w:rFonts w:eastAsia="方正仿宋_GBK"/>
                <w:color w:val="auto"/>
                <w:kern w:val="0"/>
                <w:sz w:val="24"/>
                <w:lang w:bidi="ar"/>
              </w:rPr>
              <w:t>指标</w:t>
            </w:r>
          </w:p>
        </w:tc>
        <w:tc>
          <w:tcPr>
            <w:tcW w:w="2444"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320" w:lineRule="exact"/>
              <w:jc w:val="left"/>
              <w:textAlignment w:val="center"/>
              <w:rPr>
                <w:rFonts w:eastAsia="方正仿宋_GBK"/>
                <w:color w:val="auto"/>
                <w:sz w:val="24"/>
              </w:rPr>
            </w:pPr>
            <w:r>
              <w:rPr>
                <w:rFonts w:eastAsia="方正仿宋_GBK"/>
                <w:color w:val="auto"/>
                <w:kern w:val="0"/>
                <w:sz w:val="24"/>
                <w:lang w:bidi="ar"/>
              </w:rPr>
              <w:t>提高耕地土壤有机质含量；有效促进农户增收；有效推进农业面源污染整治进程，实现农作物秸秆的良性循环利用。</w:t>
            </w:r>
          </w:p>
        </w:tc>
        <w:tc>
          <w:tcPr>
            <w:tcW w:w="2117"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完成</w:t>
            </w:r>
          </w:p>
        </w:tc>
      </w:tr>
      <w:tr>
        <w:tblPrEx>
          <w:tblLayout w:type="fixed"/>
          <w:tblCellMar>
            <w:top w:w="0" w:type="dxa"/>
            <w:left w:w="0" w:type="dxa"/>
            <w:bottom w:w="0" w:type="dxa"/>
            <w:right w:w="0" w:type="dxa"/>
          </w:tblCellMar>
        </w:tblPrEx>
        <w:trPr>
          <w:trHeight w:val="64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可持续影响</w:t>
            </w:r>
            <w:r>
              <w:rPr>
                <w:rFonts w:eastAsia="方正仿宋_GBK"/>
                <w:color w:val="auto"/>
                <w:kern w:val="0"/>
                <w:sz w:val="24"/>
                <w:lang w:bidi="ar"/>
              </w:rPr>
              <w:br w:type="textWrapping"/>
            </w:r>
            <w:r>
              <w:rPr>
                <w:rFonts w:eastAsia="方正仿宋_GBK"/>
                <w:color w:val="auto"/>
                <w:kern w:val="0"/>
                <w:sz w:val="24"/>
                <w:lang w:bidi="ar"/>
              </w:rPr>
              <w:t>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left"/>
              <w:textAlignment w:val="center"/>
              <w:rPr>
                <w:rFonts w:eastAsia="方正仿宋_GBK"/>
                <w:color w:val="auto"/>
                <w:sz w:val="24"/>
              </w:rPr>
            </w:pPr>
            <w:r>
              <w:rPr>
                <w:rFonts w:eastAsia="方正仿宋_GBK"/>
                <w:color w:val="auto"/>
                <w:kern w:val="0"/>
                <w:sz w:val="24"/>
                <w:lang w:bidi="ar"/>
              </w:rPr>
              <w:t>建立秸秆综合利用的长效机制，促进农业绿色高质量发展。</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长期</w:t>
            </w:r>
          </w:p>
        </w:tc>
      </w:tr>
      <w:tr>
        <w:tblPrEx>
          <w:tblLayout w:type="fixed"/>
          <w:tblCellMar>
            <w:top w:w="0" w:type="dxa"/>
            <w:left w:w="0" w:type="dxa"/>
            <w:bottom w:w="0" w:type="dxa"/>
            <w:right w:w="0" w:type="dxa"/>
          </w:tblCellMar>
        </w:tblPrEx>
        <w:trPr>
          <w:trHeight w:val="619"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eastAsia="方正仿宋_GBK"/>
                <w:color w:val="auto"/>
                <w:sz w:val="24"/>
              </w:rPr>
            </w:pP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满意度指标</w:t>
            </w:r>
          </w:p>
        </w:tc>
        <w:tc>
          <w:tcPr>
            <w:tcW w:w="244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服务对象</w:t>
            </w:r>
            <w:r>
              <w:rPr>
                <w:rFonts w:eastAsia="方正仿宋_GBK"/>
                <w:color w:val="auto"/>
                <w:kern w:val="0"/>
                <w:sz w:val="24"/>
                <w:lang w:bidi="ar"/>
              </w:rPr>
              <w:br w:type="textWrapping"/>
            </w:r>
            <w:r>
              <w:rPr>
                <w:rFonts w:eastAsia="方正仿宋_GBK"/>
                <w:color w:val="auto"/>
                <w:kern w:val="0"/>
                <w:sz w:val="24"/>
                <w:lang w:bidi="ar"/>
              </w:rPr>
              <w:t>满意度指标</w:t>
            </w:r>
          </w:p>
        </w:tc>
        <w:tc>
          <w:tcPr>
            <w:tcW w:w="244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left"/>
              <w:textAlignment w:val="center"/>
              <w:rPr>
                <w:rFonts w:eastAsia="方正仿宋_GBK"/>
                <w:color w:val="auto"/>
                <w:sz w:val="24"/>
              </w:rPr>
            </w:pPr>
            <w:r>
              <w:rPr>
                <w:rFonts w:eastAsia="方正仿宋_GBK"/>
                <w:color w:val="auto"/>
                <w:kern w:val="0"/>
                <w:sz w:val="24"/>
                <w:lang w:bidi="ar"/>
              </w:rPr>
              <w:t>服务对象满意度</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eastAsia="方正仿宋_GBK"/>
                <w:color w:val="auto"/>
                <w:sz w:val="24"/>
              </w:rPr>
            </w:pPr>
            <w:r>
              <w:rPr>
                <w:rFonts w:eastAsia="方正仿宋_GBK"/>
                <w:color w:val="auto"/>
                <w:kern w:val="0"/>
                <w:sz w:val="24"/>
                <w:lang w:bidi="ar"/>
              </w:rPr>
              <w:t>≥80%</w:t>
            </w:r>
          </w:p>
        </w:tc>
      </w:tr>
    </w:tbl>
    <w:p>
      <w:pPr>
        <w:pStyle w:val="5"/>
        <w:ind w:firstLine="0" w:firstLineChars="0"/>
        <w:rPr>
          <w:color w:val="auto"/>
        </w:rPr>
      </w:pPr>
    </w:p>
    <w:p>
      <w:pPr>
        <w:pStyle w:val="5"/>
        <w:ind w:firstLine="0" w:firstLineChars="0"/>
        <w:rPr>
          <w:color w:val="auto"/>
        </w:rPr>
      </w:pPr>
    </w:p>
    <w:p>
      <w:pPr>
        <w:pStyle w:val="5"/>
        <w:ind w:firstLine="0" w:firstLineChars="0"/>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widowControl/>
        <w:shd w:val="clear" w:color="auto" w:fill="FFFFFF"/>
        <w:adjustRightInd w:val="0"/>
        <w:snapToGrid w:val="0"/>
        <w:spacing w:after="0" w:line="550" w:lineRule="exact"/>
        <w:ind w:firstLine="640" w:firstLineChars="200"/>
        <w:rPr>
          <w:rFonts w:eastAsia="方正仿宋_GBK"/>
          <w:color w:val="auto"/>
          <w:sz w:val="32"/>
          <w:szCs w:val="32"/>
        </w:rPr>
      </w:pPr>
      <w:bookmarkStart w:id="305" w:name="_Toc117259204"/>
      <w:r>
        <w:rPr>
          <w:rFonts w:eastAsia="方正仿宋_GBK"/>
          <w:color w:val="auto"/>
          <w:sz w:val="32"/>
          <w:szCs w:val="32"/>
        </w:rPr>
        <w:t>附表5 村规民约示意图</w:t>
      </w:r>
    </w:p>
    <w:p>
      <w:pPr>
        <w:pStyle w:val="2"/>
        <w:ind w:firstLine="210"/>
        <w:rPr>
          <w:rFonts w:eastAsia="方正仿宋_GBK"/>
          <w:color w:val="auto"/>
          <w:kern w:val="0"/>
          <w:sz w:val="32"/>
          <w:szCs w:val="32"/>
        </w:rPr>
      </w:pPr>
      <w:r>
        <w:rPr>
          <w:color w:val="auto"/>
        </w:rPr>
        <w:drawing>
          <wp:inline distT="0" distB="0" distL="114300" distR="114300">
            <wp:extent cx="5266055" cy="2945765"/>
            <wp:effectExtent l="0" t="0" r="698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66055" cy="2945765"/>
                    </a:xfrm>
                    <a:prstGeom prst="rect">
                      <a:avLst/>
                    </a:prstGeom>
                    <a:noFill/>
                    <a:ln>
                      <a:noFill/>
                    </a:ln>
                  </pic:spPr>
                </pic:pic>
              </a:graphicData>
            </a:graphic>
          </wp:inline>
        </w:drawing>
      </w:r>
    </w:p>
    <w:p>
      <w:pPr>
        <w:pStyle w:val="2"/>
        <w:ind w:firstLine="0" w:firstLineChars="0"/>
        <w:jc w:val="center"/>
        <w:rPr>
          <w:color w:val="auto"/>
        </w:rPr>
      </w:pPr>
    </w:p>
    <w:p>
      <w:pPr>
        <w:pStyle w:val="2"/>
        <w:ind w:firstLine="210"/>
        <w:jc w:val="center"/>
        <w:rPr>
          <w:color w:val="auto"/>
        </w:rPr>
      </w:pPr>
    </w:p>
    <w:p>
      <w:pPr>
        <w:pStyle w:val="2"/>
        <w:ind w:firstLine="210"/>
        <w:jc w:val="center"/>
        <w:rPr>
          <w:color w:val="auto"/>
        </w:rPr>
      </w:pPr>
    </w:p>
    <w:bookmarkEnd w:id="305"/>
    <w:p>
      <w:pPr>
        <w:rPr>
          <w:color w:val="auto"/>
        </w:rPr>
      </w:pPr>
      <w:r>
        <w:rPr>
          <w:color w:val="auto"/>
        </w:rPr>
        <w:br w:type="page"/>
      </w:r>
    </w:p>
    <w:p>
      <w:pPr>
        <w:rPr>
          <w:rFonts w:eastAsia="方正小标宋_GBK"/>
          <w:color w:val="auto"/>
          <w:sz w:val="36"/>
          <w:szCs w:val="36"/>
        </w:rPr>
      </w:pPr>
      <w:bookmarkStart w:id="306" w:name="_Toc13244"/>
      <w:bookmarkStart w:id="307" w:name="_Toc13597"/>
      <w:bookmarkStart w:id="308" w:name="_Toc17075"/>
      <w:bookmarkStart w:id="309" w:name="_Toc32167"/>
      <w:r>
        <w:rPr>
          <w:rFonts w:eastAsia="方正小标宋_GBK"/>
          <w:color w:val="auto"/>
          <w:sz w:val="36"/>
          <w:szCs w:val="36"/>
        </w:rPr>
        <w:t>附件1：</w:t>
      </w:r>
    </w:p>
    <w:p>
      <w:pPr>
        <w:rPr>
          <w:rFonts w:eastAsia="方正小标宋_GBK"/>
          <w:color w:val="auto"/>
          <w:sz w:val="36"/>
          <w:szCs w:val="36"/>
        </w:rPr>
      </w:pPr>
      <w:r>
        <w:rPr>
          <w:color w:val="auto"/>
        </w:rPr>
        <w:drawing>
          <wp:inline distT="0" distB="0" distL="114300" distR="114300">
            <wp:extent cx="5269865" cy="7154545"/>
            <wp:effectExtent l="0" t="0" r="317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tretch>
                      <a:fillRect/>
                    </a:stretch>
                  </pic:blipFill>
                  <pic:spPr>
                    <a:xfrm>
                      <a:off x="0" y="0"/>
                      <a:ext cx="5269865" cy="7154545"/>
                    </a:xfrm>
                    <a:prstGeom prst="rect">
                      <a:avLst/>
                    </a:prstGeom>
                    <a:noFill/>
                    <a:ln>
                      <a:noFill/>
                    </a:ln>
                  </pic:spPr>
                </pic:pic>
              </a:graphicData>
            </a:graphic>
          </wp:inline>
        </w:drawing>
      </w:r>
      <w:r>
        <w:rPr>
          <w:color w:val="auto"/>
        </w:rPr>
        <w:drawing>
          <wp:inline distT="0" distB="0" distL="114300" distR="114300">
            <wp:extent cx="5273675" cy="7865110"/>
            <wp:effectExtent l="0" t="0" r="14605" b="139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a:stretch>
                      <a:fillRect/>
                    </a:stretch>
                  </pic:blipFill>
                  <pic:spPr>
                    <a:xfrm>
                      <a:off x="0" y="0"/>
                      <a:ext cx="5273675" cy="7865110"/>
                    </a:xfrm>
                    <a:prstGeom prst="rect">
                      <a:avLst/>
                    </a:prstGeom>
                    <a:noFill/>
                    <a:ln>
                      <a:noFill/>
                    </a:ln>
                  </pic:spPr>
                </pic:pic>
              </a:graphicData>
            </a:graphic>
          </wp:inline>
        </w:drawing>
      </w:r>
      <w:r>
        <w:rPr>
          <w:color w:val="auto"/>
        </w:rPr>
        <w:t xml:space="preserve"> </w:t>
      </w:r>
      <w:r>
        <w:rPr>
          <w:rFonts w:eastAsia="方正小标宋_GBK"/>
          <w:color w:val="auto"/>
          <w:sz w:val="36"/>
          <w:szCs w:val="36"/>
        </w:rPr>
        <w:br w:type="page"/>
      </w:r>
    </w:p>
    <w:p>
      <w:pPr>
        <w:jc w:val="left"/>
        <w:outlineLvl w:val="0"/>
        <w:rPr>
          <w:rFonts w:eastAsia="方正小标宋_GBK"/>
          <w:color w:val="auto"/>
          <w:sz w:val="36"/>
          <w:szCs w:val="36"/>
        </w:rPr>
      </w:pPr>
      <w:bookmarkStart w:id="310" w:name="_Toc2257"/>
      <w:r>
        <w:rPr>
          <w:rFonts w:eastAsia="方正小标宋_GBK"/>
          <w:color w:val="auto"/>
          <w:sz w:val="36"/>
          <w:szCs w:val="36"/>
        </w:rPr>
        <w:t>附件2：</w:t>
      </w:r>
      <w:bookmarkEnd w:id="306"/>
      <w:bookmarkEnd w:id="307"/>
      <w:bookmarkEnd w:id="308"/>
      <w:bookmarkEnd w:id="309"/>
      <w:bookmarkEnd w:id="310"/>
    </w:p>
    <w:p>
      <w:pPr>
        <w:jc w:val="left"/>
        <w:rPr>
          <w:rFonts w:eastAsia="方正小标宋_GBK"/>
          <w:color w:val="auto"/>
          <w:sz w:val="48"/>
          <w:szCs w:val="56"/>
        </w:rPr>
      </w:pPr>
    </w:p>
    <w:p>
      <w:pPr>
        <w:spacing w:line="600" w:lineRule="exact"/>
        <w:jc w:val="center"/>
        <w:rPr>
          <w:rFonts w:eastAsia="方正小标宋_GBK"/>
          <w:color w:val="auto"/>
          <w:sz w:val="44"/>
          <w:szCs w:val="44"/>
        </w:rPr>
      </w:pPr>
      <w:r>
        <w:rPr>
          <w:rFonts w:eastAsia="方正小标宋_GBK"/>
          <w:color w:val="auto"/>
          <w:sz w:val="44"/>
          <w:szCs w:val="44"/>
        </w:rPr>
        <w:t>玉溪市红塔区2023年农作物秸秆综合利用重点县建设项目</w:t>
      </w: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jc w:val="center"/>
        <w:outlineLvl w:val="0"/>
        <w:rPr>
          <w:rFonts w:eastAsia="方正小标宋_GBK"/>
          <w:color w:val="auto"/>
          <w:sz w:val="48"/>
          <w:szCs w:val="52"/>
        </w:rPr>
      </w:pPr>
      <w:bookmarkStart w:id="311" w:name="_Toc17067"/>
      <w:bookmarkStart w:id="312" w:name="_Toc23433"/>
      <w:bookmarkStart w:id="313" w:name="_Toc117259205"/>
      <w:bookmarkStart w:id="314" w:name="_Toc21550"/>
      <w:bookmarkStart w:id="315" w:name="_Toc16504"/>
      <w:bookmarkStart w:id="316" w:name="_Toc8136"/>
      <w:r>
        <w:rPr>
          <w:rFonts w:eastAsia="方正小标宋_GBK"/>
          <w:color w:val="auto"/>
          <w:w w:val="66"/>
          <w:sz w:val="72"/>
          <w:szCs w:val="72"/>
        </w:rPr>
        <w:t>秸秆腐熟剂与粉碎机支持子方案</w:t>
      </w:r>
      <w:bookmarkEnd w:id="311"/>
      <w:bookmarkEnd w:id="312"/>
      <w:bookmarkEnd w:id="313"/>
      <w:bookmarkEnd w:id="314"/>
      <w:bookmarkEnd w:id="315"/>
      <w:bookmarkEnd w:id="316"/>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widowControl/>
        <w:spacing w:line="600" w:lineRule="exact"/>
        <w:ind w:firstLine="320" w:firstLineChars="100"/>
        <w:jc w:val="center"/>
        <w:rPr>
          <w:rFonts w:eastAsia="方正仿宋_GB2312"/>
          <w:color w:val="auto"/>
          <w:kern w:val="0"/>
          <w:sz w:val="32"/>
          <w:szCs w:val="32"/>
        </w:rPr>
      </w:pPr>
      <w:bookmarkStart w:id="317" w:name="_Toc117259206"/>
      <w:bookmarkStart w:id="318" w:name="_Toc15216"/>
      <w:bookmarkStart w:id="319" w:name="_Toc20436"/>
      <w:bookmarkStart w:id="320" w:name="_Toc7964"/>
      <w:bookmarkStart w:id="321" w:name="_Toc26575"/>
      <w:r>
        <w:rPr>
          <w:rFonts w:eastAsia="方正仿宋_GB2312"/>
          <w:color w:val="auto"/>
          <w:kern w:val="0"/>
          <w:sz w:val="32"/>
          <w:szCs w:val="32"/>
        </w:rPr>
        <w:t>玉溪市红塔区农业农村局</w:t>
      </w:r>
      <w:bookmarkEnd w:id="317"/>
      <w:bookmarkEnd w:id="318"/>
      <w:bookmarkEnd w:id="319"/>
      <w:bookmarkEnd w:id="320"/>
      <w:bookmarkEnd w:id="321"/>
    </w:p>
    <w:p>
      <w:pPr>
        <w:widowControl/>
        <w:spacing w:line="600" w:lineRule="exact"/>
        <w:ind w:firstLine="320" w:firstLineChars="100"/>
        <w:jc w:val="center"/>
        <w:rPr>
          <w:rFonts w:eastAsia="方正仿宋_GB2312"/>
          <w:color w:val="auto"/>
          <w:kern w:val="0"/>
          <w:sz w:val="32"/>
          <w:szCs w:val="32"/>
        </w:rPr>
      </w:pPr>
      <w:bookmarkStart w:id="322" w:name="_Toc19413"/>
      <w:bookmarkStart w:id="323" w:name="_Toc19951"/>
      <w:bookmarkStart w:id="324" w:name="_Toc30304"/>
      <w:bookmarkStart w:id="325" w:name="_Toc15723"/>
      <w:bookmarkStart w:id="326" w:name="_Toc117259207"/>
      <w:r>
        <w:rPr>
          <w:rFonts w:eastAsia="方正仿宋_GB2312"/>
          <w:color w:val="auto"/>
          <w:kern w:val="0"/>
          <w:sz w:val="32"/>
          <w:szCs w:val="32"/>
        </w:rPr>
        <w:t>2023年5月</w:t>
      </w:r>
      <w:bookmarkEnd w:id="322"/>
      <w:bookmarkEnd w:id="323"/>
      <w:bookmarkEnd w:id="324"/>
      <w:bookmarkEnd w:id="325"/>
      <w:bookmarkEnd w:id="326"/>
    </w:p>
    <w:p>
      <w:pPr>
        <w:spacing w:line="600" w:lineRule="exact"/>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eastAsia="方正楷体_GBK"/>
          <w:b/>
          <w:bCs/>
          <w:color w:val="auto"/>
          <w:sz w:val="32"/>
          <w:szCs w:val="32"/>
        </w:rPr>
      </w:pPr>
      <w:bookmarkStart w:id="327" w:name="_Toc117259208"/>
      <w:bookmarkStart w:id="328" w:name="_Toc12471"/>
      <w:bookmarkStart w:id="329" w:name="_Toc5992"/>
      <w:bookmarkStart w:id="330" w:name="_Toc12004"/>
      <w:bookmarkStart w:id="331" w:name="_Toc11660"/>
      <w:r>
        <w:rPr>
          <w:rFonts w:eastAsia="方正楷体_GBK"/>
          <w:b/>
          <w:bCs/>
          <w:color w:val="auto"/>
          <w:sz w:val="32"/>
          <w:szCs w:val="32"/>
        </w:rPr>
        <w:t>一、项目概况</w:t>
      </w:r>
      <w:bookmarkEnd w:id="327"/>
      <w:bookmarkEnd w:id="328"/>
      <w:bookmarkEnd w:id="329"/>
      <w:bookmarkEnd w:id="330"/>
      <w:bookmarkEnd w:id="331"/>
    </w:p>
    <w:p>
      <w:pPr>
        <w:jc w:val="left"/>
        <w:rPr>
          <w:rFonts w:eastAsia="方正仿宋_GBK"/>
          <w:color w:val="auto"/>
          <w:sz w:val="32"/>
          <w:szCs w:val="32"/>
        </w:rPr>
      </w:pPr>
      <w:r>
        <w:rPr>
          <w:rFonts w:eastAsia="方正仿宋_GBK"/>
          <w:b/>
          <w:bCs/>
          <w:color w:val="auto"/>
          <w:sz w:val="32"/>
          <w:szCs w:val="32"/>
        </w:rPr>
        <w:t>项目名称：</w:t>
      </w:r>
      <w:r>
        <w:rPr>
          <w:rFonts w:eastAsia="方正仿宋_GBK"/>
          <w:color w:val="auto"/>
          <w:sz w:val="32"/>
          <w:szCs w:val="32"/>
        </w:rPr>
        <w:t>玉溪市红塔区2023年农作物秸秆综合利用重点县建设项目-秸秆腐熟剂与户用粉碎机支持子方案</w:t>
      </w:r>
    </w:p>
    <w:p>
      <w:pPr>
        <w:jc w:val="left"/>
        <w:rPr>
          <w:rFonts w:eastAsia="方正仿宋_GBK"/>
          <w:color w:val="auto"/>
          <w:sz w:val="32"/>
          <w:szCs w:val="32"/>
        </w:rPr>
      </w:pPr>
      <w:r>
        <w:rPr>
          <w:rFonts w:eastAsia="方正仿宋_GBK"/>
          <w:b/>
          <w:bCs/>
          <w:color w:val="auto"/>
          <w:sz w:val="32"/>
          <w:szCs w:val="32"/>
        </w:rPr>
        <w:t>项目主管单位:</w:t>
      </w:r>
      <w:r>
        <w:rPr>
          <w:rFonts w:eastAsia="方正仿宋_GBK"/>
          <w:color w:val="auto"/>
          <w:sz w:val="32"/>
          <w:szCs w:val="32"/>
        </w:rPr>
        <w:t>玉溪市红塔区农业农村局</w:t>
      </w:r>
    </w:p>
    <w:p>
      <w:pPr>
        <w:jc w:val="left"/>
        <w:rPr>
          <w:rFonts w:hint="eastAsia" w:eastAsia="方正仿宋_GBK"/>
          <w:color w:val="auto"/>
          <w:sz w:val="32"/>
          <w:szCs w:val="32"/>
          <w:lang w:eastAsia="zh-CN"/>
        </w:rPr>
      </w:pPr>
      <w:r>
        <w:rPr>
          <w:rFonts w:eastAsia="方正仿宋_GBK"/>
          <w:b/>
          <w:bCs/>
          <w:color w:val="auto"/>
          <w:sz w:val="32"/>
          <w:szCs w:val="32"/>
        </w:rPr>
        <w:t>项目实施地点:</w:t>
      </w:r>
      <w:r>
        <w:rPr>
          <w:rFonts w:eastAsia="方正仿宋_GBK"/>
          <w:color w:val="auto"/>
          <w:sz w:val="32"/>
          <w:szCs w:val="32"/>
        </w:rPr>
        <w:t>玉溪市红塔区</w:t>
      </w:r>
      <w:r>
        <w:rPr>
          <w:rFonts w:hint="eastAsia" w:eastAsia="方正仿宋_GBK"/>
          <w:color w:val="auto"/>
          <w:sz w:val="32"/>
          <w:szCs w:val="32"/>
          <w:lang w:val="en-US" w:eastAsia="zh-CN"/>
        </w:rPr>
        <w:t>11</w:t>
      </w:r>
      <w:r>
        <w:rPr>
          <w:rFonts w:eastAsia="方正仿宋_GBK"/>
          <w:color w:val="auto"/>
          <w:sz w:val="32"/>
          <w:szCs w:val="32"/>
        </w:rPr>
        <w:t>个乡</w:t>
      </w:r>
      <w:r>
        <w:rPr>
          <w:rFonts w:hint="eastAsia" w:eastAsia="方正仿宋_GBK"/>
          <w:color w:val="auto"/>
          <w:sz w:val="32"/>
          <w:szCs w:val="32"/>
          <w:lang w:eastAsia="zh-CN"/>
        </w:rPr>
        <w:t>（</w:t>
      </w:r>
      <w:r>
        <w:rPr>
          <w:rFonts w:hint="eastAsia" w:eastAsia="方正仿宋_GBK"/>
          <w:color w:val="auto"/>
          <w:sz w:val="32"/>
          <w:szCs w:val="32"/>
          <w:lang w:val="en-US" w:eastAsia="zh-CN"/>
        </w:rPr>
        <w:t>街道</w:t>
      </w:r>
      <w:r>
        <w:rPr>
          <w:rFonts w:hint="eastAsia" w:eastAsia="方正仿宋_GBK"/>
          <w:color w:val="auto"/>
          <w:sz w:val="32"/>
          <w:szCs w:val="32"/>
          <w:lang w:eastAsia="zh-CN"/>
        </w:rPr>
        <w:t>）</w:t>
      </w:r>
    </w:p>
    <w:p>
      <w:pPr>
        <w:jc w:val="left"/>
        <w:rPr>
          <w:rFonts w:eastAsia="方正楷体_GBK"/>
          <w:b/>
          <w:bCs/>
          <w:color w:val="auto"/>
          <w:sz w:val="32"/>
          <w:szCs w:val="32"/>
        </w:rPr>
      </w:pPr>
      <w:bookmarkStart w:id="332" w:name="_Toc2607"/>
      <w:bookmarkStart w:id="333" w:name="_Toc19969"/>
      <w:bookmarkStart w:id="334" w:name="_Toc117259209"/>
      <w:bookmarkStart w:id="335" w:name="_Toc18542"/>
      <w:bookmarkStart w:id="336" w:name="_Toc22159"/>
      <w:r>
        <w:rPr>
          <w:rFonts w:eastAsia="方正楷体_GBK"/>
          <w:b/>
          <w:bCs/>
          <w:color w:val="auto"/>
          <w:sz w:val="32"/>
          <w:szCs w:val="32"/>
        </w:rPr>
        <w:t>二、项目背景</w:t>
      </w:r>
      <w:bookmarkEnd w:id="332"/>
      <w:bookmarkEnd w:id="333"/>
      <w:bookmarkEnd w:id="334"/>
      <w:bookmarkEnd w:id="335"/>
      <w:bookmarkEnd w:id="336"/>
    </w:p>
    <w:p>
      <w:pPr>
        <w:pStyle w:val="5"/>
        <w:spacing w:line="550" w:lineRule="exact"/>
        <w:ind w:firstLine="640"/>
        <w:rPr>
          <w:rFonts w:eastAsia="方正仿宋_GBK"/>
          <w:color w:val="auto"/>
          <w:kern w:val="0"/>
          <w:sz w:val="32"/>
          <w:szCs w:val="32"/>
        </w:rPr>
      </w:pPr>
      <w:r>
        <w:rPr>
          <w:rFonts w:eastAsia="方正仿宋_GBK"/>
          <w:color w:val="auto"/>
          <w:kern w:val="0"/>
          <w:sz w:val="32"/>
          <w:szCs w:val="32"/>
        </w:rPr>
        <w:t>农作物秸秆含有丰富的氮、磷、钾和微量元素以及大量的木质素和纤维素等有机物，将其合理还田能够提高土壤养分和有机质的含量。然而，当前因还田秸秆腐解缓慢易造成诸如土壤碳氮比失调、耕作困难、作物产量下降、病虫害增加等问题而难以推广。近年来，一些学者提出了基于腐熟剂应用的秸秆促腐还田培肥模式，缓解常规秸秆还田引起的不利影响。同时，粉碎过程也是秸秆原位化利用必不可少的步骤。</w:t>
      </w:r>
    </w:p>
    <w:p>
      <w:pPr>
        <w:jc w:val="left"/>
        <w:rPr>
          <w:rFonts w:eastAsia="方正楷体_GBK"/>
          <w:b/>
          <w:bCs/>
          <w:color w:val="auto"/>
          <w:sz w:val="32"/>
          <w:szCs w:val="32"/>
        </w:rPr>
      </w:pPr>
      <w:bookmarkStart w:id="337" w:name="_Toc2427"/>
      <w:bookmarkStart w:id="338" w:name="_Toc30393"/>
      <w:bookmarkStart w:id="339" w:name="_Toc117259210"/>
      <w:bookmarkStart w:id="340" w:name="_Toc673"/>
      <w:bookmarkStart w:id="341" w:name="_Toc31497"/>
      <w:r>
        <w:rPr>
          <w:rFonts w:eastAsia="方正楷体_GBK"/>
          <w:b/>
          <w:bCs/>
          <w:color w:val="auto"/>
          <w:sz w:val="32"/>
          <w:szCs w:val="32"/>
        </w:rPr>
        <w:t>三、基本概念</w:t>
      </w:r>
      <w:bookmarkEnd w:id="337"/>
      <w:bookmarkEnd w:id="338"/>
      <w:bookmarkEnd w:id="339"/>
      <w:bookmarkEnd w:id="340"/>
      <w:bookmarkEnd w:id="341"/>
    </w:p>
    <w:p>
      <w:pPr>
        <w:pStyle w:val="5"/>
        <w:spacing w:line="550" w:lineRule="exact"/>
        <w:ind w:firstLine="640"/>
        <w:rPr>
          <w:rFonts w:eastAsia="方正仿宋_GBK"/>
          <w:color w:val="auto"/>
          <w:kern w:val="0"/>
          <w:sz w:val="32"/>
          <w:szCs w:val="32"/>
        </w:rPr>
      </w:pPr>
      <w:r>
        <w:rPr>
          <w:rFonts w:eastAsia="方正仿宋_GBK"/>
          <w:color w:val="auto"/>
          <w:kern w:val="0"/>
          <w:sz w:val="32"/>
          <w:szCs w:val="32"/>
        </w:rPr>
        <w:t>秸秆腐熟剂为农业部登记的农用微生物菌剂，其所含有效菌是经工业化生产、扩繁后，加工制成的活菌制剂。农用微生物菌剂有根瘤菌菌剂、固氮菌菌剂、解磷类微生物菌剂、硅酸盐微生物菌剂、光合菌剂、有机物料腐熟剂、促生菌剂、菌根菌剂、生物修复菌剂等品种。秸秆腐熟菌剂是有机物料（农作物秸秆、畜禽粪便等）腐熟菌剂之中的一种。秸秆腐熟剂是产品通用名称，商品名称有很多，如腐秆剂、催腐剂、腐熟剂、微生物发酵剂、生物腐解剂等。腐熟剂有三种剂型：液体、粉剂、颗粒（见图1）。</w:t>
      </w:r>
    </w:p>
    <w:p>
      <w:pPr>
        <w:pStyle w:val="5"/>
        <w:spacing w:line="550" w:lineRule="exact"/>
        <w:ind w:firstLine="640"/>
        <w:rPr>
          <w:rFonts w:eastAsia="方正仿宋_GBK"/>
          <w:color w:val="auto"/>
          <w:kern w:val="0"/>
          <w:sz w:val="32"/>
          <w:szCs w:val="32"/>
        </w:rPr>
      </w:pPr>
      <w:r>
        <w:rPr>
          <w:rFonts w:eastAsia="方正仿宋_GBK"/>
          <w:color w:val="auto"/>
          <w:kern w:val="0"/>
          <w:sz w:val="32"/>
          <w:szCs w:val="32"/>
        </w:rPr>
        <w:t>秸秆腐熟剂能使秸秆等有机废弃物快速腐熟，使秸秆中所含的有机质及磷、钾等元素成为植物生长所需的营养，并产生大量有益微生物，刺激作物生产，提高土壤有机质，增强植物抗逆性，减少化肥使用量，改善作物品质，实现农业的可持续发展。</w:t>
      </w:r>
    </w:p>
    <w:p>
      <w:pPr>
        <w:pStyle w:val="5"/>
        <w:spacing w:line="550" w:lineRule="exact"/>
        <w:ind w:firstLine="640"/>
        <w:rPr>
          <w:rFonts w:eastAsia="方正仿宋_GBK"/>
          <w:color w:val="auto"/>
          <w:kern w:val="0"/>
          <w:sz w:val="32"/>
          <w:szCs w:val="32"/>
        </w:rPr>
      </w:pPr>
      <w:r>
        <w:rPr>
          <w:rFonts w:eastAsia="方正仿宋_GBK"/>
          <w:color w:val="auto"/>
          <w:kern w:val="0"/>
          <w:sz w:val="32"/>
          <w:szCs w:val="32"/>
        </w:rPr>
        <w:t>玉米秸秆粉碎机可粉碎各种原料，如玉米、高粱、麦类、豆类、玉米秸、花生秧、红薯秧、花生皮、干杂草等各类杂粮干饲料类以及粗破碎后的饼类。加工范围1-30毫米,原材料长短不受限制。结构合理，坚固耐用，安全可靠，安装容易，操作方便，震动性小，适用于各种饲料厂单独或配套使用。是目前国内最先进的糠粉加工设备。（见图</w:t>
      </w:r>
      <w:r>
        <w:rPr>
          <w:rFonts w:hint="eastAsia" w:eastAsia="方正仿宋_GBK"/>
          <w:color w:val="auto"/>
          <w:kern w:val="0"/>
          <w:sz w:val="32"/>
          <w:szCs w:val="32"/>
        </w:rPr>
        <w:t>1</w:t>
      </w:r>
      <w:r>
        <w:rPr>
          <w:rFonts w:eastAsia="方正仿宋_GBK"/>
          <w:color w:val="auto"/>
          <w:kern w:val="0"/>
          <w:sz w:val="32"/>
          <w:szCs w:val="32"/>
        </w:rPr>
        <w:t>）</w:t>
      </w:r>
    </w:p>
    <w:p>
      <w:pPr>
        <w:pStyle w:val="5"/>
        <w:spacing w:line="550" w:lineRule="exact"/>
        <w:ind w:firstLine="640"/>
        <w:rPr>
          <w:rFonts w:eastAsia="方正仿宋_GBK"/>
          <w:color w:val="auto"/>
          <w:kern w:val="0"/>
          <w:sz w:val="32"/>
          <w:szCs w:val="32"/>
        </w:rPr>
      </w:pPr>
      <w:r>
        <w:rPr>
          <w:rFonts w:eastAsia="方正仿宋_GBK"/>
          <w:color w:val="auto"/>
          <w:kern w:val="0"/>
          <w:sz w:val="32"/>
          <w:szCs w:val="32"/>
        </w:rPr>
        <w:t>饲料原料的粉碎是饲料加工中非常重要的一个环节，通过粉碎可增大单位质量原料颗粒的大总表面积，增加饲料养分在动物消化液中的溶解度，提高动物的消化率;同时，粉碎原料粒度的小对后续工序(如制粒等)的难易程度和成品质量都有着非常重要的影响;而且，粉碎粒度的大小直接影响着生产成本，在生产粉状配合饲料时，粉碎工序的电耗约为总电耗的50%~70%。粉碎粒度越小，越有利于动物消化吸收，也越有利于制粒，但同时电耗会相应增加，反之亦然。我国每年粉碎加工总量达2亿多吨。</w:t>
      </w:r>
      <w:r>
        <w:rPr>
          <w:color w:val="auto"/>
        </w:rPr>
        <w:fldChar w:fldCharType="begin"/>
      </w:r>
      <w:r>
        <w:rPr>
          <w:color w:val="auto"/>
        </w:rPr>
        <w:instrText xml:space="preserve"> HYPERLINK "https://baike.so.com/doc/5670731-5883396.html" \t "https://baike.so.com/doc/_blank" </w:instrText>
      </w:r>
      <w:r>
        <w:rPr>
          <w:color w:val="auto"/>
        </w:rPr>
        <w:fldChar w:fldCharType="separate"/>
      </w:r>
      <w:r>
        <w:rPr>
          <w:rFonts w:eastAsia="方正仿宋_GBK"/>
          <w:color w:val="auto"/>
          <w:kern w:val="0"/>
          <w:sz w:val="32"/>
          <w:szCs w:val="32"/>
        </w:rPr>
        <w:t>饲料粉碎机</w:t>
      </w:r>
      <w:r>
        <w:rPr>
          <w:rFonts w:eastAsia="方正仿宋_GBK"/>
          <w:color w:val="auto"/>
          <w:kern w:val="0"/>
          <w:sz w:val="32"/>
          <w:szCs w:val="32"/>
        </w:rPr>
        <w:fldChar w:fldCharType="end"/>
      </w:r>
      <w:r>
        <w:rPr>
          <w:rFonts w:eastAsia="方正仿宋_GBK"/>
          <w:color w:val="auto"/>
          <w:kern w:val="0"/>
          <w:sz w:val="32"/>
          <w:szCs w:val="32"/>
        </w:rPr>
        <w:t>作为饲料工业的主要装备，对饲料质量、饲料报酬、饲料加工成本的形成是一个重要因素。所以，恰当地掌握粉碎技术、选用适当的粉碎机型是饲料生产不可忽视的问题。</w:t>
      </w:r>
    </w:p>
    <w:p>
      <w:pPr>
        <w:pStyle w:val="5"/>
        <w:ind w:firstLine="0" w:firstLineChars="0"/>
        <w:jc w:val="center"/>
        <w:rPr>
          <w:rFonts w:eastAsia="方正仿宋_GBK"/>
          <w:color w:val="auto"/>
          <w:kern w:val="0"/>
          <w:sz w:val="32"/>
          <w:szCs w:val="32"/>
        </w:rPr>
      </w:pPr>
      <w:r>
        <w:rPr>
          <w:rFonts w:eastAsia="方正仿宋_GBK"/>
          <w:color w:val="auto"/>
          <w:kern w:val="0"/>
          <w:sz w:val="32"/>
          <w:szCs w:val="32"/>
        </w:rPr>
        <w:drawing>
          <wp:inline distT="0" distB="0" distL="114300" distR="114300">
            <wp:extent cx="1715135" cy="1938655"/>
            <wp:effectExtent l="0" t="0" r="6985" b="12065"/>
            <wp:docPr id="15" name="图片 15" descr="微信图片_2022071123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7112356026"/>
                    <pic:cNvPicPr>
                      <a:picLocks noChangeAspect="1"/>
                    </pic:cNvPicPr>
                  </pic:nvPicPr>
                  <pic:blipFill>
                    <a:blip r:embed="rId23"/>
                    <a:stretch>
                      <a:fillRect/>
                    </a:stretch>
                  </pic:blipFill>
                  <pic:spPr>
                    <a:xfrm>
                      <a:off x="0" y="0"/>
                      <a:ext cx="1715135" cy="1938655"/>
                    </a:xfrm>
                    <a:prstGeom prst="rect">
                      <a:avLst/>
                    </a:prstGeom>
                  </pic:spPr>
                </pic:pic>
              </a:graphicData>
            </a:graphic>
          </wp:inline>
        </w:drawing>
      </w:r>
      <w:r>
        <w:rPr>
          <w:rFonts w:eastAsia="方正仿宋_GBK"/>
          <w:color w:val="auto"/>
          <w:kern w:val="0"/>
          <w:sz w:val="32"/>
          <w:szCs w:val="32"/>
        </w:rPr>
        <w:drawing>
          <wp:inline distT="0" distB="0" distL="114300" distR="114300">
            <wp:extent cx="1593215" cy="1920875"/>
            <wp:effectExtent l="0" t="0" r="6985" b="14605"/>
            <wp:docPr id="16" name="图片 16" descr="微信图片_20220711235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7112356027"/>
                    <pic:cNvPicPr>
                      <a:picLocks noChangeAspect="1"/>
                    </pic:cNvPicPr>
                  </pic:nvPicPr>
                  <pic:blipFill>
                    <a:blip r:embed="rId24"/>
                    <a:stretch>
                      <a:fillRect/>
                    </a:stretch>
                  </pic:blipFill>
                  <pic:spPr>
                    <a:xfrm>
                      <a:off x="0" y="0"/>
                      <a:ext cx="1593215" cy="1920875"/>
                    </a:xfrm>
                    <a:prstGeom prst="rect">
                      <a:avLst/>
                    </a:prstGeom>
                  </pic:spPr>
                </pic:pic>
              </a:graphicData>
            </a:graphic>
          </wp:inline>
        </w:drawing>
      </w:r>
      <w:r>
        <w:rPr>
          <w:rFonts w:eastAsia="方正仿宋_GBK"/>
          <w:color w:val="auto"/>
          <w:kern w:val="0"/>
          <w:sz w:val="32"/>
          <w:szCs w:val="32"/>
        </w:rPr>
        <w:drawing>
          <wp:inline distT="0" distB="0" distL="114300" distR="114300">
            <wp:extent cx="1697355" cy="1905635"/>
            <wp:effectExtent l="0" t="0" r="9525" b="14605"/>
            <wp:docPr id="17" name="图片 17" descr="微信图片_20220711235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7112356028"/>
                    <pic:cNvPicPr>
                      <a:picLocks noChangeAspect="1"/>
                    </pic:cNvPicPr>
                  </pic:nvPicPr>
                  <pic:blipFill>
                    <a:blip r:embed="rId25"/>
                    <a:stretch>
                      <a:fillRect/>
                    </a:stretch>
                  </pic:blipFill>
                  <pic:spPr>
                    <a:xfrm>
                      <a:off x="0" y="0"/>
                      <a:ext cx="1697355" cy="1905635"/>
                    </a:xfrm>
                    <a:prstGeom prst="rect">
                      <a:avLst/>
                    </a:prstGeom>
                  </pic:spPr>
                </pic:pic>
              </a:graphicData>
            </a:graphic>
          </wp:inline>
        </w:drawing>
      </w:r>
      <w:r>
        <w:rPr>
          <w:rFonts w:eastAsia="方正仿宋_GBK"/>
          <w:color w:val="auto"/>
          <w:kern w:val="0"/>
          <w:sz w:val="32"/>
          <w:szCs w:val="32"/>
        </w:rPr>
        <w:drawing>
          <wp:inline distT="0" distB="0" distL="114300" distR="114300">
            <wp:extent cx="1499235" cy="1866265"/>
            <wp:effectExtent l="0" t="0" r="9525" b="8255"/>
            <wp:docPr id="19" name="图片 19" descr="微信图片_2022071123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711235602"/>
                    <pic:cNvPicPr>
                      <a:picLocks noChangeAspect="1"/>
                    </pic:cNvPicPr>
                  </pic:nvPicPr>
                  <pic:blipFill>
                    <a:blip r:embed="rId26"/>
                    <a:stretch>
                      <a:fillRect/>
                    </a:stretch>
                  </pic:blipFill>
                  <pic:spPr>
                    <a:xfrm>
                      <a:off x="0" y="0"/>
                      <a:ext cx="1499235" cy="1866265"/>
                    </a:xfrm>
                    <a:prstGeom prst="rect">
                      <a:avLst/>
                    </a:prstGeom>
                  </pic:spPr>
                </pic:pic>
              </a:graphicData>
            </a:graphic>
          </wp:inline>
        </w:drawing>
      </w:r>
      <w:r>
        <w:rPr>
          <w:rFonts w:eastAsia="方正仿宋_GBK"/>
          <w:color w:val="auto"/>
          <w:kern w:val="0"/>
          <w:sz w:val="32"/>
          <w:szCs w:val="32"/>
        </w:rPr>
        <w:drawing>
          <wp:inline distT="0" distB="0" distL="114300" distR="114300">
            <wp:extent cx="1623695" cy="1619885"/>
            <wp:effectExtent l="0" t="0" r="6985" b="10795"/>
            <wp:docPr id="21" name="图片 21" descr="微信图片_20220711235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7112356022"/>
                    <pic:cNvPicPr>
                      <a:picLocks noChangeAspect="1"/>
                    </pic:cNvPicPr>
                  </pic:nvPicPr>
                  <pic:blipFill>
                    <a:blip r:embed="rId27"/>
                    <a:stretch>
                      <a:fillRect/>
                    </a:stretch>
                  </pic:blipFill>
                  <pic:spPr>
                    <a:xfrm>
                      <a:off x="0" y="0"/>
                      <a:ext cx="1623695" cy="1619885"/>
                    </a:xfrm>
                    <a:prstGeom prst="rect">
                      <a:avLst/>
                    </a:prstGeom>
                  </pic:spPr>
                </pic:pic>
              </a:graphicData>
            </a:graphic>
          </wp:inline>
        </w:drawing>
      </w:r>
      <w:r>
        <w:rPr>
          <w:rFonts w:eastAsia="方正仿宋_GBK"/>
          <w:color w:val="auto"/>
          <w:kern w:val="0"/>
          <w:sz w:val="32"/>
          <w:szCs w:val="32"/>
        </w:rPr>
        <w:drawing>
          <wp:inline distT="0" distB="0" distL="114300" distR="114300">
            <wp:extent cx="1733550" cy="2032635"/>
            <wp:effectExtent l="0" t="0" r="3810" b="9525"/>
            <wp:docPr id="22" name="图片 22" descr="微信图片_20220711235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7112356023"/>
                    <pic:cNvPicPr>
                      <a:picLocks noChangeAspect="1"/>
                    </pic:cNvPicPr>
                  </pic:nvPicPr>
                  <pic:blipFill>
                    <a:blip r:embed="rId28"/>
                    <a:stretch>
                      <a:fillRect/>
                    </a:stretch>
                  </pic:blipFill>
                  <pic:spPr>
                    <a:xfrm>
                      <a:off x="0" y="0"/>
                      <a:ext cx="1733550" cy="2032635"/>
                    </a:xfrm>
                    <a:prstGeom prst="rect">
                      <a:avLst/>
                    </a:prstGeom>
                  </pic:spPr>
                </pic:pic>
              </a:graphicData>
            </a:graphic>
          </wp:inline>
        </w:drawing>
      </w:r>
    </w:p>
    <w:p>
      <w:pPr>
        <w:pStyle w:val="9"/>
        <w:widowControl w:val="0"/>
        <w:spacing w:before="0" w:beforeAutospacing="0" w:after="0" w:afterAutospacing="0"/>
        <w:jc w:val="center"/>
        <w:rPr>
          <w:rFonts w:ascii="Times New Roman" w:hAnsi="Times New Roman" w:cs="Times New Roman" w:eastAsiaTheme="minorEastAsia"/>
          <w:color w:val="auto"/>
          <w:kern w:val="2"/>
          <w:sz w:val="18"/>
          <w:szCs w:val="18"/>
          <w:lang w:bidi="ar"/>
        </w:rPr>
      </w:pPr>
      <w:r>
        <w:rPr>
          <w:rFonts w:ascii="Times New Roman" w:hAnsi="Times New Roman" w:cs="Times New Roman" w:eastAsiaTheme="minorEastAsia"/>
          <w:color w:val="auto"/>
          <w:kern w:val="2"/>
          <w:sz w:val="18"/>
          <w:szCs w:val="18"/>
          <w:lang w:bidi="ar"/>
        </w:rPr>
        <w:t>图1  秸秆腐熟剂图样与秸秆粉碎机图样</w:t>
      </w:r>
    </w:p>
    <w:p>
      <w:pPr>
        <w:jc w:val="left"/>
        <w:rPr>
          <w:rFonts w:eastAsia="方正楷体_GBK"/>
          <w:b/>
          <w:bCs/>
          <w:color w:val="auto"/>
          <w:sz w:val="32"/>
          <w:szCs w:val="32"/>
        </w:rPr>
      </w:pPr>
      <w:bookmarkStart w:id="342" w:name="_Toc28137"/>
      <w:bookmarkStart w:id="343" w:name="_Toc25737"/>
      <w:bookmarkStart w:id="344" w:name="_Toc3478"/>
      <w:bookmarkStart w:id="345" w:name="_Toc117259211"/>
      <w:bookmarkStart w:id="346" w:name="_Toc19496"/>
      <w:r>
        <w:rPr>
          <w:rFonts w:eastAsia="方正楷体_GBK"/>
          <w:b/>
          <w:bCs/>
          <w:color w:val="auto"/>
          <w:sz w:val="32"/>
          <w:szCs w:val="32"/>
        </w:rPr>
        <w:t>四、基础信息（各镇的秸秆产量数据）</w:t>
      </w:r>
      <w:bookmarkEnd w:id="342"/>
      <w:bookmarkEnd w:id="343"/>
      <w:bookmarkEnd w:id="344"/>
      <w:bookmarkEnd w:id="345"/>
      <w:bookmarkEnd w:id="346"/>
    </w:p>
    <w:p>
      <w:pPr>
        <w:spacing w:line="540" w:lineRule="exact"/>
        <w:ind w:firstLine="640" w:firstLineChars="200"/>
        <w:rPr>
          <w:rFonts w:eastAsia="方正仿宋_GBK"/>
          <w:color w:val="auto"/>
          <w:kern w:val="0"/>
          <w:sz w:val="32"/>
          <w:szCs w:val="32"/>
        </w:rPr>
      </w:pPr>
      <w:r>
        <w:rPr>
          <w:rFonts w:eastAsia="方正仿宋_GBK"/>
          <w:color w:val="auto"/>
          <w:kern w:val="0"/>
          <w:sz w:val="32"/>
          <w:szCs w:val="32"/>
        </w:rPr>
        <w:t>2022年全区主要产生秸秆农作物种植面积12.97万亩，农作物秸秆产生量48782.1吨，农作物秸秆可收集资源量43595.7吨。玉溪市红塔区主要农作物秸秆产生量详见图</w:t>
      </w:r>
      <w:r>
        <w:rPr>
          <w:rFonts w:hint="eastAsia" w:eastAsia="方正仿宋_GBK"/>
          <w:color w:val="auto"/>
          <w:kern w:val="0"/>
          <w:sz w:val="32"/>
          <w:szCs w:val="32"/>
        </w:rPr>
        <w:t>2</w:t>
      </w:r>
      <w:r>
        <w:rPr>
          <w:rFonts w:eastAsia="方正仿宋_GBK"/>
          <w:color w:val="auto"/>
          <w:kern w:val="0"/>
          <w:sz w:val="32"/>
          <w:szCs w:val="32"/>
        </w:rPr>
        <w:t>。</w:t>
      </w:r>
    </w:p>
    <w:p>
      <w:pPr>
        <w:pStyle w:val="2"/>
        <w:ind w:firstLine="210"/>
        <w:jc w:val="center"/>
        <w:rPr>
          <w:color w:val="auto"/>
        </w:rPr>
      </w:pPr>
      <w:r>
        <w:rPr>
          <w:color w:val="auto"/>
        </w:rPr>
        <w:drawing>
          <wp:inline distT="0" distB="0" distL="114300" distR="114300">
            <wp:extent cx="4464050" cy="1800225"/>
            <wp:effectExtent l="0" t="0" r="127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rcRect t="22765"/>
                    <a:stretch>
                      <a:fillRect/>
                    </a:stretch>
                  </pic:blipFill>
                  <pic:spPr>
                    <a:xfrm>
                      <a:off x="0" y="0"/>
                      <a:ext cx="4467225" cy="1801356"/>
                    </a:xfrm>
                    <a:prstGeom prst="rect">
                      <a:avLst/>
                    </a:prstGeom>
                    <a:noFill/>
                    <a:ln>
                      <a:noFill/>
                    </a:ln>
                  </pic:spPr>
                </pic:pic>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图2 玉溪市红塔区2022年农作物秸秆产生量</w:t>
      </w:r>
    </w:p>
    <w:p>
      <w:pPr>
        <w:pStyle w:val="9"/>
        <w:widowControl w:val="0"/>
        <w:spacing w:before="0" w:beforeAutospacing="0" w:after="0" w:afterAutospacing="0"/>
        <w:ind w:firstLine="48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572000" cy="2743200"/>
            <wp:effectExtent l="4445" t="4445" r="10795" b="1079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图3  2022年玉溪市红塔区五化利用现状</w:t>
      </w:r>
    </w:p>
    <w:p>
      <w:pPr>
        <w:spacing w:line="540" w:lineRule="exact"/>
        <w:ind w:firstLine="640" w:firstLineChars="200"/>
        <w:rPr>
          <w:rFonts w:eastAsia="方正仿宋_GBK"/>
          <w:color w:val="auto"/>
          <w:highlight w:val="yellow"/>
        </w:rPr>
      </w:pPr>
      <w:r>
        <w:rPr>
          <w:rFonts w:eastAsia="方正仿宋_GBK"/>
          <w:color w:val="auto"/>
          <w:kern w:val="0"/>
          <w:sz w:val="32"/>
          <w:szCs w:val="32"/>
        </w:rPr>
        <w:t>2022年，全区农作物秸秆综合利用量39944.29吨（其中肥料化利用量4700.7吨、燃料化利用量3885.93吨、饲料化利用量14692.65吨、基料化利用量15吨、原料化利用量16650吨。红塔区五化利用率如图3所示，2022年农作物秸秆综合利用率91.62%，主要为肥料化通常为直接还田，利用率为11.77%；饲料化利用主要是玉米、水稻、小麦秸秆作为青贮、黄贮饲料，利用率为33.7%；燃料化利用主要是烟秆、</w:t>
      </w:r>
      <w:r>
        <w:rPr>
          <w:rFonts w:hint="eastAsia" w:eastAsia="方正仿宋_GBK"/>
          <w:color w:val="auto"/>
          <w:kern w:val="0"/>
          <w:sz w:val="32"/>
          <w:szCs w:val="32"/>
          <w:lang w:eastAsia="zh-CN"/>
        </w:rPr>
        <w:t>其他农作物秸秆</w:t>
      </w:r>
      <w:r>
        <w:rPr>
          <w:rFonts w:eastAsia="方正仿宋_GBK"/>
          <w:color w:val="auto"/>
          <w:kern w:val="0"/>
          <w:sz w:val="32"/>
          <w:szCs w:val="32"/>
        </w:rPr>
        <w:t>，农户自用作燃料以及颗粒燃料生产，利用率达到8.91%；基料化利用率为0.03%，原料化利用主要以水稻等制作运输所需草垫为主，利用率为38.19%。玉溪市红塔区各乡镇秸秆产生量详见图4，各乡镇</w:t>
      </w:r>
      <w:r>
        <w:rPr>
          <w:rFonts w:hint="eastAsia" w:eastAsia="方正仿宋_GBK"/>
          <w:color w:val="auto"/>
          <w:kern w:val="0"/>
          <w:sz w:val="32"/>
          <w:szCs w:val="32"/>
        </w:rPr>
        <w:t>“</w:t>
      </w:r>
      <w:r>
        <w:rPr>
          <w:rFonts w:eastAsia="方正仿宋_GBK"/>
          <w:color w:val="auto"/>
          <w:kern w:val="0"/>
          <w:sz w:val="32"/>
          <w:szCs w:val="32"/>
        </w:rPr>
        <w:t>五化</w:t>
      </w:r>
      <w:r>
        <w:rPr>
          <w:rFonts w:hint="eastAsia" w:eastAsia="方正仿宋_GBK"/>
          <w:color w:val="auto"/>
          <w:kern w:val="0"/>
          <w:sz w:val="32"/>
          <w:szCs w:val="32"/>
        </w:rPr>
        <w:t>”</w:t>
      </w:r>
      <w:r>
        <w:rPr>
          <w:rFonts w:eastAsia="方正仿宋_GBK"/>
          <w:color w:val="auto"/>
          <w:kern w:val="0"/>
          <w:sz w:val="32"/>
          <w:szCs w:val="32"/>
        </w:rPr>
        <w:t>利用率见图5。</w:t>
      </w:r>
    </w:p>
    <w:p>
      <w:pPr>
        <w:pStyle w:val="2"/>
        <w:ind w:firstLine="210"/>
        <w:jc w:val="center"/>
        <w:rPr>
          <w:color w:val="auto"/>
        </w:rPr>
      </w:pPr>
      <w:r>
        <w:rPr>
          <w:color w:val="auto"/>
        </w:rPr>
        <w:drawing>
          <wp:inline distT="0" distB="0" distL="114300" distR="114300">
            <wp:extent cx="4209415" cy="2420620"/>
            <wp:effectExtent l="0" t="0" r="12065"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rcRect t="4898"/>
                    <a:stretch>
                      <a:fillRect/>
                    </a:stretch>
                  </pic:blipFill>
                  <pic:spPr>
                    <a:xfrm>
                      <a:off x="0" y="0"/>
                      <a:ext cx="4210050" cy="2421017"/>
                    </a:xfrm>
                    <a:prstGeom prst="rect">
                      <a:avLst/>
                    </a:prstGeom>
                    <a:noFill/>
                    <a:ln>
                      <a:noFill/>
                    </a:ln>
                  </pic:spPr>
                </pic:pic>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图4  玉溪市红塔区2022年各个乡镇（街道）农作物秸秆产生量（单位：吨）</w:t>
      </w:r>
    </w:p>
    <w:p>
      <w:pPr>
        <w:pStyle w:val="9"/>
        <w:widowControl w:val="0"/>
        <w:spacing w:before="0" w:beforeAutospacing="0" w:after="0" w:afterAutospacing="0"/>
        <w:ind w:firstLine="48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3707130" cy="2606040"/>
            <wp:effectExtent l="0" t="0" r="11430" b="0"/>
            <wp:docPr id="32" name="图片 32" descr="9aefacabfe41b3e7ac15fe55c704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aefacabfe41b3e7ac15fe55c70497a"/>
                    <pic:cNvPicPr>
                      <a:picLocks noChangeAspect="1"/>
                    </pic:cNvPicPr>
                  </pic:nvPicPr>
                  <pic:blipFill>
                    <a:blip r:embed="rId30"/>
                    <a:srcRect t="8159"/>
                    <a:stretch>
                      <a:fillRect/>
                    </a:stretch>
                  </pic:blipFill>
                  <pic:spPr>
                    <a:xfrm>
                      <a:off x="0" y="0"/>
                      <a:ext cx="3707765" cy="2606861"/>
                    </a:xfrm>
                    <a:prstGeom prst="rect">
                      <a:avLst/>
                    </a:prstGeom>
                    <a:ln>
                      <a:noFill/>
                    </a:ln>
                  </pic:spPr>
                </pic:pic>
              </a:graphicData>
            </a:graphic>
          </wp:inline>
        </w:drawing>
      </w:r>
    </w:p>
    <w:p>
      <w:pPr>
        <w:pStyle w:val="9"/>
        <w:widowControl w:val="0"/>
        <w:spacing w:before="0" w:beforeAutospacing="0" w:after="0" w:afterAutospacing="0"/>
        <w:ind w:firstLine="360" w:firstLineChars="200"/>
        <w:jc w:val="center"/>
        <w:rPr>
          <w:rFonts w:ascii="Times New Roman" w:hAnsi="Times New Roman" w:cs="Times New Roman"/>
          <w:color w:val="auto"/>
          <w:kern w:val="2"/>
          <w:sz w:val="18"/>
          <w:szCs w:val="18"/>
          <w:lang w:bidi="ar"/>
        </w:rPr>
      </w:pPr>
      <w:r>
        <w:rPr>
          <w:rFonts w:ascii="Times New Roman" w:hAnsi="Times New Roman" w:cs="Times New Roman"/>
          <w:color w:val="auto"/>
          <w:kern w:val="2"/>
          <w:sz w:val="18"/>
          <w:szCs w:val="18"/>
          <w:lang w:bidi="ar"/>
        </w:rPr>
        <w:t>图5  2022年玉溪市红塔区各个乡镇街道农作物秸秆五化利用情况</w:t>
      </w:r>
    </w:p>
    <w:p>
      <w:pPr>
        <w:jc w:val="center"/>
        <w:rPr>
          <w:color w:val="auto"/>
          <w:sz w:val="24"/>
        </w:rPr>
      </w:pPr>
    </w:p>
    <w:p>
      <w:pPr>
        <w:jc w:val="left"/>
        <w:rPr>
          <w:rFonts w:eastAsia="方正楷体_GBK"/>
          <w:b/>
          <w:bCs/>
          <w:color w:val="auto"/>
          <w:sz w:val="32"/>
          <w:szCs w:val="32"/>
        </w:rPr>
      </w:pPr>
      <w:bookmarkStart w:id="347" w:name="_Toc10433"/>
      <w:bookmarkStart w:id="348" w:name="_Toc117259212"/>
      <w:bookmarkStart w:id="349" w:name="_Toc23399"/>
      <w:bookmarkStart w:id="350" w:name="_Toc28462"/>
      <w:bookmarkStart w:id="351" w:name="_Toc27750"/>
      <w:r>
        <w:rPr>
          <w:rFonts w:eastAsia="方正楷体_GBK"/>
          <w:b/>
          <w:bCs/>
          <w:color w:val="auto"/>
          <w:sz w:val="32"/>
          <w:szCs w:val="32"/>
        </w:rPr>
        <w:t>五、实施内容</w:t>
      </w:r>
      <w:bookmarkEnd w:id="347"/>
      <w:bookmarkEnd w:id="348"/>
      <w:bookmarkEnd w:id="349"/>
      <w:bookmarkEnd w:id="350"/>
      <w:bookmarkEnd w:id="351"/>
    </w:p>
    <w:p>
      <w:pPr>
        <w:spacing w:line="550" w:lineRule="exact"/>
        <w:ind w:firstLine="420"/>
        <w:rPr>
          <w:rFonts w:eastAsia="方正仿宋_GBK"/>
          <w:color w:val="auto"/>
          <w:kern w:val="0"/>
          <w:sz w:val="32"/>
          <w:szCs w:val="32"/>
        </w:rPr>
      </w:pPr>
      <w:r>
        <w:rPr>
          <w:rFonts w:eastAsia="方正仿宋_GBK"/>
          <w:color w:val="auto"/>
          <w:kern w:val="0"/>
          <w:sz w:val="32"/>
          <w:szCs w:val="32"/>
        </w:rPr>
        <w:t>农户自身消纳主要由两部分，一是作为肥料直接还田，这就需要使用对应的腐熟剂，另一部分是肥料化还田及饲料化用于家禽喂养，需要使用秸秆粉碎机。因此，针对农户自身消纳的秸秆部分主要是通过村集体、种植大户（农户）发放腐熟剂和小型粉碎机来实现。</w:t>
      </w:r>
    </w:p>
    <w:p>
      <w:pPr>
        <w:spacing w:line="550" w:lineRule="exact"/>
        <w:ind w:firstLine="420"/>
        <w:rPr>
          <w:rFonts w:eastAsia="方正仿宋_GBK"/>
          <w:color w:val="auto"/>
          <w:kern w:val="0"/>
          <w:sz w:val="32"/>
          <w:szCs w:val="32"/>
        </w:rPr>
      </w:pPr>
      <w:r>
        <w:rPr>
          <w:rFonts w:eastAsia="方正仿宋_GBK"/>
          <w:color w:val="auto"/>
          <w:kern w:val="0"/>
          <w:sz w:val="32"/>
          <w:szCs w:val="32"/>
        </w:rPr>
        <w:t>补助原则：通过前述分析，可以得出各乡镇的秸秆肥料化利用情况，本方案按秸秆量50%的面积推广计算得出；粉碎机则各镇都需要，按照秸秆产生量分配到各镇。</w:t>
      </w:r>
    </w:p>
    <w:p>
      <w:pPr>
        <w:spacing w:line="550" w:lineRule="exact"/>
        <w:ind w:firstLine="640" w:firstLineChars="200"/>
        <w:rPr>
          <w:rFonts w:eastAsia="方正仿宋_GBK"/>
          <w:color w:val="auto"/>
          <w:kern w:val="0"/>
          <w:sz w:val="32"/>
          <w:szCs w:val="32"/>
        </w:rPr>
      </w:pPr>
      <w:r>
        <w:rPr>
          <w:rFonts w:eastAsia="方正仿宋_GBK"/>
          <w:color w:val="auto"/>
          <w:kern w:val="0"/>
          <w:sz w:val="32"/>
          <w:szCs w:val="32"/>
        </w:rPr>
        <w:t>补助预算：通过前期走访调研，一亩地至少需要</w:t>
      </w:r>
      <w:r>
        <w:rPr>
          <w:rFonts w:hint="eastAsia" w:eastAsia="方正仿宋_GBK"/>
          <w:color w:val="auto"/>
          <w:kern w:val="0"/>
          <w:sz w:val="32"/>
          <w:szCs w:val="32"/>
          <w:lang w:val="en-US" w:eastAsia="zh-CN"/>
        </w:rPr>
        <w:t>4-5</w:t>
      </w:r>
      <w:r>
        <w:rPr>
          <w:rFonts w:eastAsia="方正仿宋_GBK"/>
          <w:color w:val="auto"/>
          <w:kern w:val="0"/>
          <w:sz w:val="32"/>
          <w:szCs w:val="32"/>
        </w:rPr>
        <w:t>kg的腐熟剂，初步计算购买</w:t>
      </w:r>
      <w:r>
        <w:rPr>
          <w:rFonts w:hint="eastAsia" w:eastAsia="方正仿宋_GBK"/>
          <w:color w:val="auto"/>
          <w:kern w:val="0"/>
          <w:sz w:val="32"/>
          <w:szCs w:val="32"/>
          <w:lang w:val="en-US" w:eastAsia="zh-CN"/>
        </w:rPr>
        <w:t>7</w:t>
      </w:r>
      <w:r>
        <w:rPr>
          <w:rFonts w:eastAsia="方正仿宋_GBK"/>
          <w:color w:val="auto"/>
          <w:kern w:val="0"/>
          <w:sz w:val="32"/>
          <w:szCs w:val="32"/>
        </w:rPr>
        <w:t>0吨的秸秆腐熟剂，按照每吨6000元的售价，该项概算为</w:t>
      </w:r>
      <w:r>
        <w:rPr>
          <w:rFonts w:hint="eastAsia" w:eastAsia="方正仿宋_GBK"/>
          <w:color w:val="auto"/>
          <w:kern w:val="0"/>
          <w:sz w:val="32"/>
          <w:szCs w:val="32"/>
          <w:lang w:val="en-US" w:eastAsia="zh-CN"/>
        </w:rPr>
        <w:t>42</w:t>
      </w:r>
      <w:r>
        <w:rPr>
          <w:rFonts w:eastAsia="方正仿宋_GBK"/>
          <w:color w:val="auto"/>
          <w:kern w:val="0"/>
          <w:sz w:val="32"/>
          <w:szCs w:val="32"/>
        </w:rPr>
        <w:t>万元；粉碎机暂定购买</w:t>
      </w:r>
      <w:r>
        <w:rPr>
          <w:rFonts w:hint="eastAsia" w:eastAsia="方正仿宋_GBK"/>
          <w:color w:val="auto"/>
          <w:kern w:val="0"/>
          <w:sz w:val="32"/>
          <w:szCs w:val="32"/>
          <w:lang w:val="en-US" w:eastAsia="zh-CN"/>
        </w:rPr>
        <w:t>约270</w:t>
      </w:r>
      <w:r>
        <w:rPr>
          <w:rFonts w:eastAsia="方正仿宋_GBK"/>
          <w:color w:val="auto"/>
          <w:kern w:val="0"/>
          <w:sz w:val="32"/>
          <w:szCs w:val="32"/>
        </w:rPr>
        <w:t>台，每台预计</w:t>
      </w:r>
      <w:r>
        <w:rPr>
          <w:rFonts w:hint="eastAsia" w:eastAsia="方正仿宋_GBK"/>
          <w:color w:val="auto"/>
          <w:kern w:val="0"/>
          <w:sz w:val="32"/>
          <w:szCs w:val="32"/>
          <w:lang w:val="en-US" w:eastAsia="zh-CN"/>
        </w:rPr>
        <w:t>2</w:t>
      </w:r>
      <w:r>
        <w:rPr>
          <w:rFonts w:eastAsia="方正仿宋_GBK"/>
          <w:color w:val="auto"/>
          <w:kern w:val="0"/>
          <w:sz w:val="32"/>
          <w:szCs w:val="32"/>
        </w:rPr>
        <w:t>000元，该项概算为</w:t>
      </w:r>
      <w:r>
        <w:rPr>
          <w:rFonts w:hint="eastAsia" w:eastAsia="方正仿宋_GBK"/>
          <w:color w:val="auto"/>
          <w:kern w:val="0"/>
          <w:sz w:val="32"/>
          <w:szCs w:val="32"/>
          <w:lang w:val="en-US" w:eastAsia="zh-CN"/>
        </w:rPr>
        <w:t>43</w:t>
      </w:r>
      <w:r>
        <w:rPr>
          <w:rFonts w:eastAsia="方正仿宋_GBK"/>
          <w:color w:val="auto"/>
          <w:kern w:val="0"/>
          <w:sz w:val="32"/>
          <w:szCs w:val="32"/>
        </w:rPr>
        <w:t>万元。</w:t>
      </w:r>
    </w:p>
    <w:p>
      <w:pPr>
        <w:spacing w:line="550" w:lineRule="exact"/>
        <w:ind w:firstLine="640" w:firstLineChars="200"/>
        <w:rPr>
          <w:rFonts w:eastAsia="方正仿宋_GBK"/>
          <w:color w:val="auto"/>
          <w:kern w:val="0"/>
          <w:sz w:val="32"/>
          <w:szCs w:val="32"/>
        </w:rPr>
      </w:pPr>
      <w:r>
        <w:rPr>
          <w:rFonts w:eastAsia="方正仿宋_GBK"/>
          <w:color w:val="auto"/>
          <w:kern w:val="0"/>
          <w:sz w:val="32"/>
          <w:szCs w:val="32"/>
        </w:rPr>
        <w:t>补助方式：腐熟剂及粉碎机通过询价、竞争性谈判以及招标等方式进行遴选。腐熟剂由政府全额补助，粉碎机由政府补助80%，农户自筹20%（由中标企业在供货时自行向农户收取），在供货到位并验收合格，且区财政资金到位后，按照合同约定拨付到中标企业。</w:t>
      </w:r>
    </w:p>
    <w:p>
      <w:pPr>
        <w:jc w:val="left"/>
        <w:rPr>
          <w:rFonts w:eastAsia="方正楷体_GBK"/>
          <w:b/>
          <w:bCs/>
          <w:color w:val="auto"/>
          <w:sz w:val="32"/>
          <w:szCs w:val="32"/>
        </w:rPr>
      </w:pPr>
      <w:bookmarkStart w:id="352" w:name="_Toc117259213"/>
      <w:bookmarkStart w:id="353" w:name="_Toc11649"/>
      <w:bookmarkStart w:id="354" w:name="_Toc7990"/>
      <w:bookmarkStart w:id="355" w:name="_Toc13212"/>
      <w:bookmarkStart w:id="356" w:name="_Toc8814"/>
      <w:r>
        <w:rPr>
          <w:rFonts w:eastAsia="方正楷体_GBK"/>
          <w:b/>
          <w:bCs/>
          <w:color w:val="auto"/>
          <w:sz w:val="32"/>
          <w:szCs w:val="32"/>
        </w:rPr>
        <w:t>六、项目进度</w:t>
      </w:r>
      <w:bookmarkEnd w:id="352"/>
      <w:bookmarkEnd w:id="353"/>
      <w:bookmarkEnd w:id="354"/>
      <w:bookmarkEnd w:id="355"/>
      <w:bookmarkEnd w:id="356"/>
    </w:p>
    <w:p>
      <w:pPr>
        <w:pStyle w:val="5"/>
        <w:ind w:firstLine="640"/>
        <w:rPr>
          <w:rFonts w:eastAsia="方正仿宋_GBK"/>
          <w:color w:val="auto"/>
          <w:kern w:val="0"/>
          <w:sz w:val="32"/>
          <w:szCs w:val="32"/>
        </w:rPr>
      </w:pPr>
      <w:r>
        <w:rPr>
          <w:rFonts w:eastAsia="方正仿宋_GBK"/>
          <w:color w:val="auto"/>
          <w:kern w:val="0"/>
          <w:sz w:val="32"/>
          <w:szCs w:val="32"/>
        </w:rPr>
        <w:t>202</w:t>
      </w:r>
      <w:r>
        <w:rPr>
          <w:rFonts w:hint="eastAsia" w:eastAsia="方正仿宋_GBK"/>
          <w:color w:val="auto"/>
          <w:kern w:val="0"/>
          <w:sz w:val="32"/>
          <w:szCs w:val="32"/>
          <w:lang w:val="en-US" w:eastAsia="zh-CN"/>
        </w:rPr>
        <w:t>3</w:t>
      </w:r>
      <w:r>
        <w:rPr>
          <w:rFonts w:eastAsia="方正仿宋_GBK"/>
          <w:color w:val="auto"/>
          <w:kern w:val="0"/>
          <w:sz w:val="32"/>
          <w:szCs w:val="32"/>
        </w:rPr>
        <w:t>年</w:t>
      </w:r>
      <w:r>
        <w:rPr>
          <w:rFonts w:hint="eastAsia" w:eastAsia="方正仿宋_GBK"/>
          <w:color w:val="auto"/>
          <w:kern w:val="0"/>
          <w:sz w:val="32"/>
          <w:szCs w:val="32"/>
          <w:lang w:val="en-US" w:eastAsia="zh-CN"/>
        </w:rPr>
        <w:t>12</w:t>
      </w:r>
      <w:r>
        <w:rPr>
          <w:rFonts w:eastAsia="方正仿宋_GBK"/>
          <w:color w:val="auto"/>
          <w:kern w:val="0"/>
          <w:sz w:val="32"/>
          <w:szCs w:val="32"/>
        </w:rPr>
        <w:t>月前完成。</w:t>
      </w:r>
    </w:p>
    <w:p>
      <w:pPr>
        <w:pStyle w:val="5"/>
        <w:ind w:firstLine="640"/>
        <w:rPr>
          <w:rFonts w:eastAsia="方正仿宋_GBK"/>
          <w:color w:val="auto"/>
          <w:kern w:val="0"/>
          <w:sz w:val="32"/>
          <w:szCs w:val="32"/>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ind w:firstLine="0" w:firstLineChars="0"/>
        <w:rPr>
          <w:rFonts w:hint="default" w:ascii="Times New Roman" w:hAnsi="Times New Roman" w:eastAsia="黑体"/>
          <w:color w:val="auto"/>
          <w:sz w:val="32"/>
          <w:szCs w:val="32"/>
          <w:lang w:val="en-US" w:eastAsia="zh-CN"/>
        </w:rPr>
      </w:pPr>
      <w:r>
        <w:rPr>
          <w:rFonts w:hint="default" w:ascii="Times New Roman" w:hAnsi="Times New Roman" w:eastAsia="黑体"/>
          <w:color w:val="auto"/>
          <w:sz w:val="32"/>
          <w:szCs w:val="32"/>
          <w:lang w:val="en-US" w:eastAsia="zh-CN"/>
        </w:rPr>
        <w:t>附件2-1</w:t>
      </w:r>
    </w:p>
    <w:p>
      <w:pPr>
        <w:spacing w:line="600" w:lineRule="exact"/>
        <w:ind w:firstLine="0" w:firstLineChars="0"/>
        <w:jc w:val="center"/>
        <w:rPr>
          <w:rFonts w:hint="default" w:ascii="Times New Roman" w:hAnsi="Times New Roman" w:eastAsia="宋体"/>
          <w:color w:val="auto"/>
          <w:sz w:val="32"/>
          <w:szCs w:val="32"/>
          <w:lang w:val="en-US" w:eastAsia="zh-CN"/>
        </w:rPr>
      </w:pPr>
      <w:r>
        <w:rPr>
          <w:rFonts w:hint="default" w:ascii="Times New Roman" w:hAnsi="Times New Roman" w:eastAsia="华文中宋"/>
          <w:color w:val="auto"/>
          <w:sz w:val="36"/>
          <w:szCs w:val="40"/>
        </w:rPr>
        <w:t>秸秆腐熟剂</w:t>
      </w:r>
      <w:r>
        <w:rPr>
          <w:rFonts w:hint="eastAsia" w:eastAsia="华文中宋"/>
          <w:color w:val="auto"/>
          <w:sz w:val="36"/>
          <w:szCs w:val="40"/>
          <w:lang w:val="en-US" w:eastAsia="zh-CN"/>
        </w:rPr>
        <w:t>及供货商</w:t>
      </w:r>
      <w:r>
        <w:rPr>
          <w:rFonts w:hint="default" w:ascii="Times New Roman" w:hAnsi="Times New Roman" w:eastAsia="华文中宋"/>
          <w:color w:val="auto"/>
          <w:sz w:val="36"/>
          <w:szCs w:val="40"/>
          <w:lang w:val="en-US" w:eastAsia="zh-CN"/>
        </w:rPr>
        <w:t>建议基本参数</w:t>
      </w:r>
    </w:p>
    <w:p>
      <w:pPr>
        <w:pStyle w:val="2"/>
        <w:rPr>
          <w:rFonts w:hint="default"/>
          <w:color w:val="auto"/>
          <w:lang w:val="en-US" w:eastAsia="zh-CN"/>
        </w:rPr>
      </w:pP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一、提供3个含3个以上云南省内农业相关职能部门出具的产品使用效果反馈或项目验收报告；</w:t>
      </w: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二、提供有机农业生产资料评估证明；</w:t>
      </w: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三、用于直接还田或秸秆堆沤有机肥的腐熟剂建议使用炭基型腐熟剂（生物炭质量分数≥</w:t>
      </w:r>
      <w:r>
        <w:rPr>
          <w:rFonts w:ascii="Times New Roman" w:hAnsi="Times New Roman" w:eastAsia="方正仿宋_GBK"/>
          <w:color w:val="auto"/>
          <w:kern w:val="0"/>
          <w:sz w:val="32"/>
          <w:szCs w:val="32"/>
        </w:rPr>
        <w:t>10%</w:t>
      </w:r>
      <w:r>
        <w:rPr>
          <w:rFonts w:hint="default" w:ascii="Times New Roman" w:hAnsi="Times New Roman" w:eastAsia="方正仿宋_GBK"/>
          <w:color w:val="auto"/>
          <w:kern w:val="0"/>
          <w:sz w:val="32"/>
          <w:szCs w:val="32"/>
        </w:rPr>
        <w:t>），腐熟剂应符合国标G</w:t>
      </w:r>
      <w:r>
        <w:rPr>
          <w:rFonts w:ascii="Times New Roman" w:hAnsi="Times New Roman" w:eastAsia="方正仿宋_GBK"/>
          <w:color w:val="auto"/>
          <w:kern w:val="0"/>
          <w:sz w:val="32"/>
          <w:szCs w:val="32"/>
        </w:rPr>
        <w:t>B20287-2006</w:t>
      </w:r>
      <w:r>
        <w:rPr>
          <w:rFonts w:hint="default" w:ascii="Times New Roman" w:hAnsi="Times New Roman" w:eastAsia="方正仿宋_GBK"/>
          <w:color w:val="auto"/>
          <w:kern w:val="0"/>
          <w:sz w:val="32"/>
          <w:szCs w:val="32"/>
        </w:rPr>
        <w:t>中各项参数要求，所添加生物炭应符合农业行业标准N</w:t>
      </w:r>
      <w:r>
        <w:rPr>
          <w:rFonts w:ascii="Times New Roman" w:hAnsi="Times New Roman" w:eastAsia="方正仿宋_GBK"/>
          <w:color w:val="auto"/>
          <w:kern w:val="0"/>
          <w:sz w:val="32"/>
          <w:szCs w:val="32"/>
        </w:rPr>
        <w:t>Y/T4159-2022</w:t>
      </w:r>
      <w:r>
        <w:rPr>
          <w:rFonts w:hint="default" w:ascii="Times New Roman" w:hAnsi="Times New Roman" w:eastAsia="方正仿宋_GBK"/>
          <w:color w:val="auto"/>
          <w:kern w:val="0"/>
          <w:sz w:val="32"/>
          <w:szCs w:val="32"/>
        </w:rPr>
        <w:t>中Ⅰ级生物炭应满足的各项参数要求；</w:t>
      </w: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四、炭基型腐熟剂常规使用场景下建议每亩用量2.</w:t>
      </w:r>
      <w:r>
        <w:rPr>
          <w:rFonts w:ascii="Times New Roman" w:hAnsi="Times New Roman" w:eastAsia="方正仿宋_GBK"/>
          <w:color w:val="auto"/>
          <w:kern w:val="0"/>
          <w:sz w:val="32"/>
          <w:szCs w:val="32"/>
        </w:rPr>
        <w:t xml:space="preserve">5 </w:t>
      </w:r>
      <w:r>
        <w:rPr>
          <w:rFonts w:hint="default" w:ascii="Times New Roman" w:hAnsi="Times New Roman" w:eastAsia="方正仿宋_GBK"/>
          <w:color w:val="auto"/>
          <w:kern w:val="0"/>
          <w:sz w:val="32"/>
          <w:szCs w:val="32"/>
        </w:rPr>
        <w:t>kg，每亩还田秸秆量大于1</w:t>
      </w:r>
      <w:r>
        <w:rPr>
          <w:rFonts w:ascii="Times New Roman" w:hAnsi="Times New Roman" w:eastAsia="方正仿宋_GBK"/>
          <w:color w:val="auto"/>
          <w:kern w:val="0"/>
          <w:sz w:val="32"/>
          <w:szCs w:val="32"/>
        </w:rPr>
        <w:t xml:space="preserve">000 </w:t>
      </w:r>
      <w:r>
        <w:rPr>
          <w:rFonts w:hint="default" w:ascii="Times New Roman" w:hAnsi="Times New Roman" w:eastAsia="方正仿宋_GBK"/>
          <w:color w:val="auto"/>
          <w:kern w:val="0"/>
          <w:sz w:val="32"/>
          <w:szCs w:val="32"/>
        </w:rPr>
        <w:t>kg或腐熟难腐熟原料（如）时建议用量为5</w:t>
      </w:r>
      <w:r>
        <w:rPr>
          <w:rFonts w:ascii="Times New Roman" w:hAnsi="Times New Roman" w:eastAsia="方正仿宋_GBK"/>
          <w:color w:val="auto"/>
          <w:kern w:val="0"/>
          <w:sz w:val="32"/>
          <w:szCs w:val="32"/>
        </w:rPr>
        <w:t xml:space="preserve"> </w:t>
      </w:r>
      <w:r>
        <w:rPr>
          <w:rFonts w:hint="default" w:ascii="Times New Roman" w:hAnsi="Times New Roman" w:eastAsia="方正仿宋_GBK"/>
          <w:color w:val="auto"/>
          <w:kern w:val="0"/>
          <w:sz w:val="32"/>
          <w:szCs w:val="32"/>
        </w:rPr>
        <w:t>kg或以上。秸秆堆腐还田建议每吨秸秆使用腐熟剂2.</w:t>
      </w:r>
      <w:r>
        <w:rPr>
          <w:rFonts w:ascii="Times New Roman" w:hAnsi="Times New Roman" w:eastAsia="方正仿宋_GBK"/>
          <w:color w:val="auto"/>
          <w:kern w:val="0"/>
          <w:sz w:val="32"/>
          <w:szCs w:val="32"/>
        </w:rPr>
        <w:t xml:space="preserve">5 </w:t>
      </w:r>
      <w:r>
        <w:rPr>
          <w:rFonts w:hint="default" w:ascii="Times New Roman" w:hAnsi="Times New Roman" w:eastAsia="方正仿宋_GBK"/>
          <w:color w:val="auto"/>
          <w:kern w:val="0"/>
          <w:sz w:val="32"/>
          <w:szCs w:val="32"/>
        </w:rPr>
        <w:t>kg。</w:t>
      </w: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五、根据N</w:t>
      </w:r>
      <w:r>
        <w:rPr>
          <w:rFonts w:ascii="Times New Roman" w:hAnsi="Times New Roman" w:eastAsia="方正仿宋_GBK"/>
          <w:color w:val="auto"/>
          <w:kern w:val="0"/>
          <w:sz w:val="32"/>
          <w:szCs w:val="32"/>
        </w:rPr>
        <w:t>Y/T4159-2022</w:t>
      </w:r>
      <w:r>
        <w:rPr>
          <w:rFonts w:hint="default" w:ascii="Times New Roman" w:hAnsi="Times New Roman" w:eastAsia="方正仿宋_GBK"/>
          <w:color w:val="auto"/>
          <w:kern w:val="0"/>
          <w:sz w:val="32"/>
          <w:szCs w:val="32"/>
        </w:rPr>
        <w:t>所述，满足标准的Ⅰ级生物炭可用于直接还田，出于使用安全及质量检验的目的，如使用炭基型腐熟剂，建议围绕其所添加的生物炭出具还田试验报告；</w:t>
      </w:r>
    </w:p>
    <w:p>
      <w:pPr>
        <w:spacing w:line="550" w:lineRule="exact"/>
        <w:ind w:firstLine="640" w:firstLineChars="200"/>
        <w:rPr>
          <w:rFonts w:ascii="Times New Roman" w:hAnsi="Times New Roman" w:eastAsia="方正仿宋_GBK"/>
          <w:color w:val="auto"/>
          <w:kern w:val="0"/>
          <w:sz w:val="32"/>
          <w:szCs w:val="32"/>
        </w:rPr>
      </w:pPr>
      <w:r>
        <w:rPr>
          <w:rFonts w:hint="default" w:ascii="Times New Roman" w:hAnsi="Times New Roman" w:eastAsia="方正仿宋_GBK"/>
          <w:color w:val="auto"/>
          <w:kern w:val="0"/>
          <w:sz w:val="32"/>
          <w:szCs w:val="32"/>
        </w:rPr>
        <w:t>六、由于秸秆地头堆沤和直接还田为不同的使用场景，为进一步加快秸秆堆沤速度并保证堆沤效果，在国标</w:t>
      </w:r>
      <w:r>
        <w:rPr>
          <w:rFonts w:ascii="Times New Roman" w:hAnsi="Times New Roman" w:eastAsia="方正仿宋_GBK"/>
          <w:color w:val="auto"/>
          <w:kern w:val="0"/>
          <w:sz w:val="32"/>
          <w:szCs w:val="32"/>
        </w:rPr>
        <w:t>GB20287-2006</w:t>
      </w:r>
      <w:r>
        <w:rPr>
          <w:rFonts w:hint="default" w:ascii="Times New Roman" w:hAnsi="Times New Roman" w:eastAsia="方正仿宋_GBK"/>
          <w:color w:val="auto"/>
          <w:kern w:val="0"/>
          <w:sz w:val="32"/>
          <w:szCs w:val="32"/>
        </w:rPr>
        <w:t>的基础上建议将有效活菌数（cfu）参数提高至亿/g（m</w:t>
      </w:r>
      <w:r>
        <w:rPr>
          <w:rFonts w:ascii="Times New Roman" w:hAnsi="Times New Roman" w:eastAsia="方正仿宋_GBK"/>
          <w:color w:val="auto"/>
          <w:kern w:val="0"/>
          <w:sz w:val="32"/>
          <w:szCs w:val="32"/>
        </w:rPr>
        <w:t>L</w:t>
      </w:r>
      <w:r>
        <w:rPr>
          <w:rFonts w:hint="default" w:ascii="Times New Roman" w:hAnsi="Times New Roman" w:eastAsia="方正仿宋_GBK"/>
          <w:color w:val="auto"/>
          <w:kern w:val="0"/>
          <w:sz w:val="32"/>
          <w:szCs w:val="32"/>
        </w:rPr>
        <w:t>）≥2。</w:t>
      </w:r>
    </w:p>
    <w:p>
      <w:pPr>
        <w:spacing w:line="550" w:lineRule="exact"/>
        <w:rPr>
          <w:rFonts w:eastAsia="方正仿宋_GBK"/>
          <w:color w:val="auto"/>
          <w:kern w:val="0"/>
          <w:sz w:val="32"/>
          <w:szCs w:val="32"/>
        </w:rPr>
      </w:pPr>
    </w:p>
    <w:p>
      <w:pPr>
        <w:pStyle w:val="5"/>
        <w:ind w:firstLine="640"/>
        <w:rPr>
          <w:rFonts w:eastAsia="方正仿宋_GBK"/>
          <w:color w:val="auto"/>
          <w:kern w:val="0"/>
          <w:sz w:val="32"/>
          <w:szCs w:val="32"/>
        </w:rPr>
      </w:pPr>
    </w:p>
    <w:p>
      <w:pPr>
        <w:rPr>
          <w:rFonts w:eastAsia="方正仿宋_GBK"/>
          <w:color w:val="auto"/>
          <w:kern w:val="0"/>
          <w:sz w:val="24"/>
        </w:rPr>
      </w:pPr>
      <w:r>
        <w:rPr>
          <w:rFonts w:eastAsia="方正仿宋_GBK"/>
          <w:color w:val="auto"/>
          <w:kern w:val="0"/>
          <w:sz w:val="24"/>
        </w:rPr>
        <w:br w:type="page"/>
      </w:r>
    </w:p>
    <w:p>
      <w:pPr>
        <w:jc w:val="left"/>
        <w:outlineLvl w:val="0"/>
        <w:rPr>
          <w:rFonts w:eastAsia="方正小标宋_GBK"/>
          <w:color w:val="auto"/>
          <w:sz w:val="36"/>
          <w:szCs w:val="36"/>
        </w:rPr>
      </w:pPr>
      <w:bookmarkStart w:id="357" w:name="_Toc24582"/>
      <w:bookmarkStart w:id="358" w:name="_Toc117259228"/>
      <w:bookmarkStart w:id="359" w:name="_Toc24739"/>
      <w:bookmarkStart w:id="360" w:name="_Toc27711"/>
      <w:bookmarkStart w:id="361" w:name="_Toc14481"/>
      <w:bookmarkStart w:id="362" w:name="_Toc4008"/>
      <w:r>
        <w:rPr>
          <w:rFonts w:eastAsia="方正小标宋_GBK"/>
          <w:color w:val="auto"/>
          <w:sz w:val="36"/>
          <w:szCs w:val="36"/>
        </w:rPr>
        <w:t>附件3：</w:t>
      </w:r>
      <w:bookmarkEnd w:id="357"/>
      <w:bookmarkEnd w:id="358"/>
      <w:bookmarkEnd w:id="359"/>
      <w:bookmarkEnd w:id="360"/>
      <w:bookmarkEnd w:id="361"/>
      <w:bookmarkEnd w:id="362"/>
    </w:p>
    <w:p>
      <w:pPr>
        <w:jc w:val="left"/>
        <w:rPr>
          <w:rFonts w:eastAsia="方正小标宋_GBK"/>
          <w:color w:val="auto"/>
          <w:sz w:val="48"/>
          <w:szCs w:val="56"/>
        </w:rPr>
      </w:pPr>
    </w:p>
    <w:p>
      <w:pPr>
        <w:spacing w:line="600" w:lineRule="exact"/>
        <w:jc w:val="center"/>
        <w:rPr>
          <w:rFonts w:eastAsia="方正小标宋_GBK"/>
          <w:color w:val="auto"/>
          <w:sz w:val="44"/>
          <w:szCs w:val="44"/>
        </w:rPr>
      </w:pPr>
      <w:r>
        <w:rPr>
          <w:rFonts w:eastAsia="方正小标宋_GBK"/>
          <w:color w:val="auto"/>
          <w:sz w:val="44"/>
          <w:szCs w:val="44"/>
        </w:rPr>
        <w:t>玉溪市红塔区2023年农作物秸秆综合利用重点县建设项目</w:t>
      </w:r>
    </w:p>
    <w:p>
      <w:pPr>
        <w:jc w:val="center"/>
        <w:rPr>
          <w:rFonts w:eastAsia="方正小标宋_GBK"/>
          <w:color w:val="auto"/>
          <w:spacing w:val="-17"/>
          <w:kern w:val="0"/>
          <w:sz w:val="96"/>
          <w:szCs w:val="96"/>
        </w:rPr>
      </w:pPr>
    </w:p>
    <w:p>
      <w:pPr>
        <w:jc w:val="center"/>
        <w:rPr>
          <w:rFonts w:eastAsia="方正小标宋_GBK"/>
          <w:color w:val="auto"/>
          <w:spacing w:val="-17"/>
          <w:kern w:val="0"/>
          <w:sz w:val="96"/>
          <w:szCs w:val="96"/>
        </w:rPr>
      </w:pPr>
    </w:p>
    <w:p>
      <w:pPr>
        <w:jc w:val="center"/>
        <w:outlineLvl w:val="0"/>
        <w:rPr>
          <w:rFonts w:eastAsia="方正小标宋_GBK"/>
          <w:color w:val="auto"/>
          <w:w w:val="66"/>
          <w:sz w:val="72"/>
          <w:szCs w:val="72"/>
        </w:rPr>
      </w:pPr>
      <w:bookmarkStart w:id="363" w:name="_Toc999"/>
      <w:r>
        <w:rPr>
          <w:rFonts w:eastAsia="方正小标宋_GBK"/>
          <w:color w:val="auto"/>
          <w:w w:val="66"/>
          <w:sz w:val="72"/>
          <w:szCs w:val="72"/>
        </w:rPr>
        <w:t>秸秆草谷比与可收集系数监测子方案</w:t>
      </w:r>
      <w:bookmarkEnd w:id="363"/>
    </w:p>
    <w:p>
      <w:pPr>
        <w:jc w:val="center"/>
        <w:rPr>
          <w:rFonts w:eastAsia="方正小标宋_GBK"/>
          <w:color w:val="auto"/>
          <w:sz w:val="48"/>
          <w:szCs w:val="52"/>
        </w:rPr>
      </w:pPr>
    </w:p>
    <w:p>
      <w:pPr>
        <w:jc w:val="center"/>
        <w:rPr>
          <w:rFonts w:eastAsia="方正小标宋_GBK"/>
          <w:color w:val="auto"/>
          <w:sz w:val="48"/>
          <w:szCs w:val="52"/>
        </w:rPr>
      </w:pPr>
    </w:p>
    <w:p>
      <w:pPr>
        <w:jc w:val="center"/>
        <w:rPr>
          <w:rFonts w:eastAsia="方正小标宋_GBK"/>
          <w:color w:val="auto"/>
          <w:sz w:val="48"/>
          <w:szCs w:val="52"/>
        </w:rPr>
      </w:pPr>
    </w:p>
    <w:p>
      <w:pPr>
        <w:jc w:val="center"/>
        <w:rPr>
          <w:rFonts w:eastAsia="方正小标宋_GBK"/>
          <w:color w:val="auto"/>
          <w:sz w:val="48"/>
          <w:szCs w:val="52"/>
        </w:rPr>
      </w:pPr>
    </w:p>
    <w:p>
      <w:pPr>
        <w:jc w:val="center"/>
        <w:rPr>
          <w:rFonts w:eastAsia="方正小标宋_GBK"/>
          <w:color w:val="auto"/>
          <w:sz w:val="48"/>
          <w:szCs w:val="52"/>
        </w:rPr>
      </w:pPr>
    </w:p>
    <w:p>
      <w:pPr>
        <w:jc w:val="center"/>
        <w:rPr>
          <w:rFonts w:eastAsia="方正小标宋_GBK"/>
          <w:color w:val="auto"/>
          <w:sz w:val="48"/>
          <w:szCs w:val="52"/>
        </w:rPr>
      </w:pPr>
    </w:p>
    <w:p>
      <w:pPr>
        <w:widowControl/>
        <w:spacing w:line="600" w:lineRule="exact"/>
        <w:ind w:firstLine="320" w:firstLineChars="100"/>
        <w:jc w:val="center"/>
        <w:rPr>
          <w:rFonts w:eastAsia="方正仿宋_GB2312"/>
          <w:color w:val="auto"/>
          <w:kern w:val="0"/>
          <w:sz w:val="32"/>
          <w:szCs w:val="32"/>
        </w:rPr>
      </w:pPr>
      <w:r>
        <w:rPr>
          <w:rFonts w:eastAsia="方正仿宋_GB2312"/>
          <w:color w:val="auto"/>
          <w:kern w:val="0"/>
          <w:sz w:val="32"/>
          <w:szCs w:val="32"/>
        </w:rPr>
        <w:t>玉溪市红塔区农业农村局</w:t>
      </w:r>
    </w:p>
    <w:p>
      <w:pPr>
        <w:widowControl/>
        <w:spacing w:line="600" w:lineRule="exact"/>
        <w:ind w:firstLine="320" w:firstLineChars="100"/>
        <w:jc w:val="center"/>
        <w:rPr>
          <w:rFonts w:eastAsia="方正仿宋_GB2312"/>
          <w:color w:val="auto"/>
          <w:kern w:val="0"/>
          <w:sz w:val="32"/>
          <w:szCs w:val="32"/>
        </w:rPr>
      </w:pPr>
      <w:r>
        <w:rPr>
          <w:rFonts w:eastAsia="方正仿宋_GB2312"/>
          <w:color w:val="auto"/>
          <w:kern w:val="0"/>
          <w:sz w:val="32"/>
          <w:szCs w:val="32"/>
        </w:rPr>
        <w:t>2023年5月</w:t>
      </w:r>
    </w:p>
    <w:p>
      <w:pPr>
        <w:rPr>
          <w:rFonts w:eastAsia="方正仿宋_GB2312"/>
          <w:color w:val="auto"/>
          <w:sz w:val="32"/>
          <w:szCs w:val="32"/>
        </w:rPr>
      </w:pPr>
      <w:r>
        <w:rPr>
          <w:rFonts w:eastAsia="方正仿宋_GB2312"/>
          <w:color w:val="auto"/>
          <w:kern w:val="0"/>
          <w:sz w:val="32"/>
          <w:szCs w:val="32"/>
        </w:rPr>
        <w:br w:type="page"/>
      </w:r>
      <w:r>
        <w:rPr>
          <w:rFonts w:eastAsia="方正楷体_GBK"/>
          <w:b/>
          <w:bCs/>
          <w:color w:val="auto"/>
          <w:sz w:val="32"/>
          <w:szCs w:val="32"/>
        </w:rPr>
        <w:t>一、项目概况</w:t>
      </w:r>
    </w:p>
    <w:p>
      <w:pPr>
        <w:jc w:val="left"/>
        <w:rPr>
          <w:rFonts w:eastAsia="方正仿宋_GBK"/>
          <w:color w:val="auto"/>
          <w:sz w:val="32"/>
          <w:szCs w:val="32"/>
        </w:rPr>
      </w:pPr>
      <w:r>
        <w:rPr>
          <w:rFonts w:eastAsia="方正仿宋_GBK"/>
          <w:b/>
          <w:bCs/>
          <w:color w:val="auto"/>
          <w:sz w:val="32"/>
          <w:szCs w:val="32"/>
        </w:rPr>
        <w:t>项目名称：</w:t>
      </w:r>
      <w:r>
        <w:rPr>
          <w:rFonts w:eastAsia="方正仿宋_GBK"/>
          <w:color w:val="auto"/>
          <w:sz w:val="32"/>
          <w:szCs w:val="32"/>
        </w:rPr>
        <w:t>玉溪市红塔区2023年农作物秸秆综合利用重点县建设项目-秸秆草谷比与可收集系数监测子方案</w:t>
      </w:r>
    </w:p>
    <w:p>
      <w:pPr>
        <w:jc w:val="left"/>
        <w:rPr>
          <w:rFonts w:eastAsia="方正仿宋_GBK"/>
          <w:color w:val="auto"/>
          <w:sz w:val="32"/>
          <w:szCs w:val="32"/>
        </w:rPr>
      </w:pPr>
      <w:r>
        <w:rPr>
          <w:rFonts w:eastAsia="方正仿宋_GBK"/>
          <w:b/>
          <w:bCs/>
          <w:color w:val="auto"/>
          <w:sz w:val="32"/>
          <w:szCs w:val="32"/>
        </w:rPr>
        <w:t>项目主管单位：</w:t>
      </w:r>
      <w:r>
        <w:rPr>
          <w:rFonts w:eastAsia="方正仿宋_GBK"/>
          <w:color w:val="auto"/>
          <w:sz w:val="32"/>
          <w:szCs w:val="32"/>
        </w:rPr>
        <w:t>玉溪市红塔区农业农村局</w:t>
      </w:r>
    </w:p>
    <w:p>
      <w:pPr>
        <w:jc w:val="left"/>
        <w:rPr>
          <w:rFonts w:hint="default" w:eastAsia="方正仿宋_GBK"/>
          <w:color w:val="auto"/>
          <w:sz w:val="32"/>
          <w:szCs w:val="32"/>
          <w:lang w:val="en-US" w:eastAsia="zh-CN"/>
        </w:rPr>
      </w:pPr>
      <w:r>
        <w:rPr>
          <w:rFonts w:eastAsia="方正仿宋_GBK"/>
          <w:b/>
          <w:bCs/>
          <w:color w:val="auto"/>
          <w:sz w:val="32"/>
          <w:szCs w:val="32"/>
        </w:rPr>
        <w:t>项目监测地点：</w:t>
      </w:r>
      <w:r>
        <w:rPr>
          <w:rFonts w:eastAsia="方正仿宋_GBK"/>
          <w:color w:val="auto"/>
          <w:sz w:val="32"/>
          <w:szCs w:val="32"/>
        </w:rPr>
        <w:t>玉溪市红塔区高仓街道、</w:t>
      </w:r>
      <w:r>
        <w:rPr>
          <w:rFonts w:hint="eastAsia" w:eastAsia="方正仿宋_GBK"/>
          <w:color w:val="auto"/>
          <w:sz w:val="32"/>
          <w:szCs w:val="32"/>
          <w:lang w:val="en-US" w:eastAsia="zh-CN"/>
        </w:rPr>
        <w:t>北城街道</w:t>
      </w:r>
    </w:p>
    <w:p>
      <w:pPr>
        <w:jc w:val="left"/>
        <w:rPr>
          <w:rFonts w:eastAsia="方正楷体_GBK"/>
          <w:b/>
          <w:bCs/>
          <w:color w:val="auto"/>
          <w:sz w:val="32"/>
          <w:szCs w:val="32"/>
        </w:rPr>
      </w:pPr>
      <w:r>
        <w:rPr>
          <w:rFonts w:eastAsia="方正楷体_GBK"/>
          <w:b/>
          <w:bCs/>
          <w:color w:val="auto"/>
          <w:sz w:val="32"/>
          <w:szCs w:val="32"/>
        </w:rPr>
        <w:t>二、项目背景</w:t>
      </w:r>
    </w:p>
    <w:p>
      <w:pPr>
        <w:spacing w:line="360" w:lineRule="auto"/>
        <w:ind w:firstLine="640" w:firstLineChars="200"/>
        <w:jc w:val="left"/>
        <w:rPr>
          <w:rFonts w:eastAsia="方正仿宋_GBK"/>
          <w:color w:val="auto"/>
          <w:sz w:val="32"/>
          <w:szCs w:val="40"/>
        </w:rPr>
      </w:pPr>
      <w:r>
        <w:rPr>
          <w:rFonts w:eastAsia="方正仿宋_GBK"/>
          <w:color w:val="auto"/>
          <w:sz w:val="32"/>
          <w:szCs w:val="40"/>
        </w:rPr>
        <w:t>开展秸秆综合利用的工作，是全面贯彻落实国家</w:t>
      </w:r>
      <w:r>
        <w:rPr>
          <w:rFonts w:hint="eastAsia" w:eastAsia="方正仿宋_GBK"/>
          <w:color w:val="auto"/>
          <w:sz w:val="32"/>
          <w:szCs w:val="40"/>
        </w:rPr>
        <w:t>“</w:t>
      </w:r>
      <w:r>
        <w:rPr>
          <w:rFonts w:eastAsia="方正仿宋_GBK"/>
          <w:color w:val="auto"/>
          <w:sz w:val="32"/>
          <w:szCs w:val="40"/>
        </w:rPr>
        <w:t>十四五</w:t>
      </w:r>
      <w:r>
        <w:rPr>
          <w:rFonts w:hint="eastAsia" w:eastAsia="方正仿宋_GBK"/>
          <w:color w:val="auto"/>
          <w:sz w:val="32"/>
          <w:szCs w:val="40"/>
        </w:rPr>
        <w:t>”</w:t>
      </w:r>
      <w:r>
        <w:rPr>
          <w:rFonts w:eastAsia="方正仿宋_GBK"/>
          <w:color w:val="auto"/>
          <w:sz w:val="32"/>
          <w:szCs w:val="40"/>
        </w:rPr>
        <w:t>规划中，提升耕地质量、改善农业农村环境、实现农业高质量发展、绿色发展的重要举措。作为玉溪市红塔区整体方案的重要组成部分，草谷比与可收集系数监测对于秸秆的资源化利用意义重大，是开展秸秆综合利用工作的重要前期内容，它通过科学测定农作物草谷比、秸秆可收集系数，对于准确测算秸秆资源量，建立秸秆资源台账，指导秸秆综合利用，提升耕地质量、改善农业农村生态环境、加快农业绿色低碳发展具有重要意义。基于此，</w:t>
      </w:r>
      <w:r>
        <w:rPr>
          <w:rFonts w:hint="eastAsia" w:eastAsia="方正仿宋_GBK"/>
          <w:color w:val="auto"/>
          <w:sz w:val="32"/>
          <w:szCs w:val="40"/>
          <w:lang w:val="en-US" w:eastAsia="zh-CN"/>
        </w:rPr>
        <w:t>指定</w:t>
      </w:r>
      <w:r>
        <w:rPr>
          <w:rFonts w:eastAsia="方正仿宋_GBK"/>
          <w:color w:val="auto"/>
          <w:sz w:val="32"/>
          <w:szCs w:val="40"/>
        </w:rPr>
        <w:t>本实施子方案，用于测定玉溪市红塔区产量较高，同时具有特色农作物的草谷比和可收集系数。</w:t>
      </w:r>
    </w:p>
    <w:p>
      <w:pPr>
        <w:jc w:val="left"/>
        <w:rPr>
          <w:rFonts w:eastAsia="方正楷体_GBK"/>
          <w:b/>
          <w:bCs/>
          <w:color w:val="auto"/>
          <w:sz w:val="32"/>
          <w:szCs w:val="32"/>
        </w:rPr>
      </w:pPr>
      <w:r>
        <w:rPr>
          <w:rFonts w:eastAsia="方正楷体_GBK"/>
          <w:b/>
          <w:bCs/>
          <w:color w:val="auto"/>
          <w:sz w:val="32"/>
          <w:szCs w:val="32"/>
        </w:rPr>
        <w:t>三、基本概念</w:t>
      </w:r>
    </w:p>
    <w:p>
      <w:pPr>
        <w:spacing w:line="600" w:lineRule="exact"/>
        <w:ind w:firstLine="643" w:firstLineChars="200"/>
        <w:rPr>
          <w:rFonts w:eastAsia="方正仿宋_GBK"/>
          <w:color w:val="auto"/>
          <w:sz w:val="32"/>
          <w:szCs w:val="32"/>
        </w:rPr>
      </w:pPr>
      <w:r>
        <w:rPr>
          <w:rFonts w:eastAsia="方正仿宋_GBK"/>
          <w:b/>
          <w:color w:val="auto"/>
          <w:sz w:val="32"/>
          <w:szCs w:val="32"/>
        </w:rPr>
        <w:t>草谷比：</w:t>
      </w:r>
      <w:r>
        <w:rPr>
          <w:rFonts w:eastAsia="方正仿宋_GBK"/>
          <w:color w:val="auto"/>
          <w:sz w:val="32"/>
          <w:szCs w:val="32"/>
        </w:rPr>
        <w:t>某种农作物单位面积秸秆产量与籽实产量的比值。</w:t>
      </w:r>
    </w:p>
    <w:p>
      <w:pPr>
        <w:spacing w:line="600" w:lineRule="exact"/>
        <w:ind w:firstLine="643" w:firstLineChars="200"/>
        <w:rPr>
          <w:rFonts w:eastAsia="方正仿宋_GBK"/>
          <w:color w:val="auto"/>
          <w:sz w:val="32"/>
          <w:szCs w:val="32"/>
        </w:rPr>
      </w:pPr>
      <w:r>
        <w:rPr>
          <w:rFonts w:eastAsia="方正仿宋_GBK"/>
          <w:b/>
          <w:color w:val="auto"/>
          <w:sz w:val="32"/>
          <w:szCs w:val="32"/>
        </w:rPr>
        <w:t>秸秆：</w:t>
      </w:r>
      <w:r>
        <w:rPr>
          <w:rFonts w:eastAsia="方正仿宋_GBK"/>
          <w:color w:val="auto"/>
          <w:sz w:val="32"/>
          <w:szCs w:val="32"/>
        </w:rPr>
        <w:t>农作物籽实收获后，残留的茎、叶等不包括地下部分的副产品。（注：不包括玉米芯、稻壳、棉籽等加工副产物）</w:t>
      </w:r>
    </w:p>
    <w:p>
      <w:pPr>
        <w:spacing w:line="600" w:lineRule="exact"/>
        <w:ind w:firstLine="643" w:firstLineChars="200"/>
        <w:rPr>
          <w:rFonts w:eastAsia="方正仿宋_GBK"/>
          <w:color w:val="auto"/>
          <w:sz w:val="32"/>
          <w:szCs w:val="32"/>
        </w:rPr>
      </w:pPr>
      <w:r>
        <w:rPr>
          <w:rFonts w:eastAsia="方正仿宋_GBK"/>
          <w:b/>
          <w:color w:val="auto"/>
          <w:sz w:val="32"/>
          <w:szCs w:val="32"/>
        </w:rPr>
        <w:t>秸秆产生量：</w:t>
      </w:r>
      <w:r>
        <w:rPr>
          <w:rFonts w:eastAsia="方正仿宋_GBK"/>
          <w:color w:val="auto"/>
          <w:sz w:val="32"/>
          <w:szCs w:val="32"/>
        </w:rPr>
        <w:t>农作物籽实收获后，残留的茎、叶等不包括地下部分的副产品总量。</w:t>
      </w:r>
    </w:p>
    <w:p>
      <w:pPr>
        <w:spacing w:line="600" w:lineRule="exact"/>
        <w:ind w:firstLine="643" w:firstLineChars="200"/>
        <w:rPr>
          <w:rFonts w:eastAsia="方正仿宋_GBK"/>
          <w:color w:val="auto"/>
          <w:sz w:val="32"/>
          <w:szCs w:val="32"/>
        </w:rPr>
      </w:pPr>
      <w:r>
        <w:rPr>
          <w:rFonts w:eastAsia="方正仿宋_GBK"/>
          <w:b/>
          <w:color w:val="auto"/>
          <w:sz w:val="32"/>
          <w:szCs w:val="32"/>
        </w:rPr>
        <w:t>秸秆可收集系数：</w:t>
      </w:r>
      <w:r>
        <w:rPr>
          <w:rFonts w:eastAsia="方正仿宋_GBK"/>
          <w:color w:val="auto"/>
          <w:sz w:val="32"/>
          <w:szCs w:val="32"/>
        </w:rPr>
        <w:t>某种农作物单位面积可收集的秸秆重量与产生量的比值。</w:t>
      </w:r>
    </w:p>
    <w:p>
      <w:pPr>
        <w:spacing w:line="600" w:lineRule="exact"/>
        <w:ind w:firstLine="643" w:firstLineChars="200"/>
        <w:rPr>
          <w:rFonts w:eastAsia="方正仿宋_GBK"/>
          <w:color w:val="auto"/>
          <w:sz w:val="32"/>
          <w:szCs w:val="32"/>
        </w:rPr>
      </w:pPr>
      <w:r>
        <w:rPr>
          <w:rFonts w:eastAsia="方正仿宋_GBK"/>
          <w:b/>
          <w:color w:val="auto"/>
          <w:sz w:val="32"/>
          <w:szCs w:val="32"/>
        </w:rPr>
        <w:t>秸秆可收集量：</w:t>
      </w:r>
      <w:r>
        <w:rPr>
          <w:rFonts w:eastAsia="方正仿宋_GBK"/>
          <w:color w:val="auto"/>
          <w:sz w:val="32"/>
          <w:szCs w:val="32"/>
        </w:rPr>
        <w:t>某一区域利用现有收集方式，收集获得可供实际利用的农作物秸秆重量。</w:t>
      </w:r>
    </w:p>
    <w:p>
      <w:pPr>
        <w:spacing w:line="600" w:lineRule="atLeast"/>
        <w:ind w:firstLine="643" w:firstLineChars="200"/>
        <w:rPr>
          <w:rFonts w:eastAsia="方正仿宋_GBK"/>
          <w:color w:val="auto"/>
          <w:sz w:val="32"/>
          <w:szCs w:val="32"/>
        </w:rPr>
      </w:pPr>
      <w:r>
        <w:rPr>
          <w:rFonts w:eastAsia="方正仿宋_GBK"/>
          <w:b/>
          <w:color w:val="auto"/>
          <w:sz w:val="32"/>
          <w:szCs w:val="32"/>
        </w:rPr>
        <w:t>枝叶损失率：</w:t>
      </w:r>
      <w:r>
        <w:rPr>
          <w:rFonts w:eastAsia="方正仿宋_GBK"/>
          <w:color w:val="auto"/>
          <w:sz w:val="32"/>
          <w:szCs w:val="32"/>
        </w:rPr>
        <w:t>农作物秸秆在收割、收集过程中，发生部分枝叶脱落而造成损失的比例。</w:t>
      </w:r>
    </w:p>
    <w:p>
      <w:pPr>
        <w:pStyle w:val="13"/>
        <w:spacing w:line="600" w:lineRule="atLeast"/>
        <w:ind w:firstLine="643"/>
        <w:rPr>
          <w:rFonts w:eastAsia="方正仿宋_GBK"/>
          <w:b/>
          <w:color w:val="auto"/>
          <w:sz w:val="32"/>
          <w:szCs w:val="32"/>
        </w:rPr>
      </w:pPr>
      <w:r>
        <w:rPr>
          <w:rFonts w:eastAsia="方正仿宋_GBK"/>
          <w:b/>
          <w:color w:val="auto"/>
          <w:sz w:val="32"/>
          <w:szCs w:val="32"/>
        </w:rPr>
        <w:t>秸秆产生量的测算公式：</w:t>
      </w:r>
    </w:p>
    <w:p>
      <w:pPr>
        <w:pStyle w:val="13"/>
        <w:spacing w:line="600" w:lineRule="exact"/>
        <w:ind w:firstLine="640"/>
        <w:jc w:val="right"/>
        <w:rPr>
          <w:rFonts w:eastAsia="方正仿宋_GBK"/>
          <w:color w:val="auto"/>
          <w:sz w:val="32"/>
          <w:szCs w:val="32"/>
        </w:rPr>
      </w:pPr>
      <m:oMath>
        <m:r>
          <m:rPr>
            <m:sty m:val="p"/>
          </m:rPr>
          <w:rPr>
            <w:rFonts w:ascii="Cambria Math" w:hAnsi="Cambria Math" w:eastAsia="方正仿宋_GBK"/>
            <w:color w:val="auto"/>
            <w:sz w:val="32"/>
            <w:szCs w:val="32"/>
          </w:rPr>
          <m:t>P=</m:t>
        </m:r>
        <m:nary>
          <m:naryPr>
            <m:chr m:val="∑"/>
            <m:limLoc m:val="undOvr"/>
            <m:ctrlPr>
              <w:rPr>
                <w:rFonts w:ascii="Cambria Math" w:hAnsi="Cambria Math" w:eastAsia="方正仿宋_GBK"/>
                <w:color w:val="auto"/>
                <w:sz w:val="32"/>
                <w:szCs w:val="32"/>
              </w:rPr>
            </m:ctrlPr>
          </m:naryPr>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up>
            <m:r>
              <w:rPr>
                <w:rFonts w:ascii="Cambria Math" w:hAnsi="Cambria Math" w:eastAsia="方正仿宋_GBK"/>
                <w:color w:val="auto"/>
                <w:sz w:val="32"/>
                <w:szCs w:val="32"/>
              </w:rPr>
              <m:t>n</m:t>
            </m:r>
            <m:ctrlPr>
              <w:rPr>
                <w:rFonts w:ascii="Cambria Math" w:hAnsi="Cambria Math" w:eastAsia="方正仿宋_GBK"/>
                <w:color w:val="auto"/>
                <w:sz w:val="32"/>
                <w:szCs w:val="32"/>
              </w:rPr>
            </m:ctrlPr>
          </m:sup>
          <m:e>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λ</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G</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Sub>
            <m:ctrlPr>
              <w:rPr>
                <w:rFonts w:ascii="Cambria Math" w:hAnsi="Cambria Math" w:eastAsia="方正仿宋_GBK"/>
                <w:color w:val="auto"/>
                <w:sz w:val="32"/>
                <w:szCs w:val="32"/>
              </w:rPr>
            </m:ctrlPr>
          </m:e>
        </m:nary>
      </m:oMath>
      <w:r>
        <w:rPr>
          <w:rFonts w:eastAsia="方正仿宋_GBK"/>
          <w:color w:val="auto"/>
          <w:sz w:val="32"/>
          <w:szCs w:val="32"/>
        </w:rPr>
        <w:t xml:space="preserve">               （1）                    </w:t>
      </w:r>
    </w:p>
    <w:p>
      <w:pPr>
        <w:pStyle w:val="13"/>
        <w:spacing w:line="600" w:lineRule="exact"/>
        <w:ind w:firstLine="640"/>
        <w:rPr>
          <w:rFonts w:eastAsia="方正仿宋_GBK"/>
          <w:color w:val="auto"/>
          <w:sz w:val="32"/>
          <w:szCs w:val="32"/>
        </w:rPr>
      </w:pPr>
      <w:r>
        <w:rPr>
          <w:rFonts w:eastAsia="方正仿宋_GBK"/>
          <w:color w:val="auto"/>
          <w:sz w:val="32"/>
          <w:szCs w:val="32"/>
        </w:rPr>
        <w:t>式中：</w:t>
      </w:r>
    </w:p>
    <w:p>
      <w:pPr>
        <w:pStyle w:val="13"/>
        <w:spacing w:line="600" w:lineRule="exact"/>
        <w:ind w:firstLine="640"/>
        <w:rPr>
          <w:rFonts w:eastAsia="方正仿宋_GBK"/>
          <w:color w:val="auto"/>
          <w:sz w:val="32"/>
          <w:szCs w:val="32"/>
        </w:rPr>
      </w:pPr>
      <m:oMath>
        <m:r>
          <w:rPr>
            <w:rFonts w:ascii="Cambria Math" w:hAnsi="Cambria Math" w:eastAsia="方正仿宋_GBK"/>
            <w:color w:val="auto"/>
            <w:sz w:val="32"/>
            <w:szCs w:val="32"/>
          </w:rPr>
          <m:t>P</m:t>
        </m:r>
      </m:oMath>
      <w:r>
        <w:rPr>
          <w:rFonts w:eastAsia="方正仿宋_GBK"/>
          <w:color w:val="auto"/>
          <w:sz w:val="32"/>
          <w:szCs w:val="32"/>
        </w:rPr>
        <w:t>—某一区域农作物秸秆年产生量的数值，单位为吨（t）；</w:t>
      </w:r>
    </w:p>
    <w:p>
      <w:pPr>
        <w:pStyle w:val="13"/>
        <w:spacing w:line="600" w:lineRule="exact"/>
        <w:ind w:firstLine="640"/>
        <w:rPr>
          <w:rFonts w:eastAsia="方正仿宋_GBK"/>
          <w:color w:val="auto"/>
          <w:sz w:val="32"/>
          <w:szCs w:val="32"/>
        </w:rPr>
      </w:pPr>
      <m:oMath>
        <m:r>
          <w:rPr>
            <w:rFonts w:ascii="Cambria Math" w:hAnsi="Cambria Math" w:eastAsia="方正仿宋_GBK"/>
            <w:color w:val="auto"/>
            <w:sz w:val="32"/>
            <w:szCs w:val="32"/>
          </w:rPr>
          <m:t>i</m:t>
        </m:r>
      </m:oMath>
      <w:r>
        <w:rPr>
          <w:rFonts w:eastAsia="方正仿宋_GBK"/>
          <w:color w:val="auto"/>
          <w:sz w:val="32"/>
          <w:szCs w:val="32"/>
        </w:rPr>
        <w:t>—农作物秸秆的编号，</w:t>
      </w:r>
      <w:r>
        <w:rPr>
          <w:rFonts w:eastAsia="方正仿宋_GBK"/>
          <w:i/>
          <w:color w:val="auto"/>
          <w:sz w:val="32"/>
          <w:szCs w:val="32"/>
        </w:rPr>
        <w:t>i</w:t>
      </w:r>
      <w:r>
        <w:rPr>
          <w:rFonts w:eastAsia="方正仿宋_GBK"/>
          <w:color w:val="auto"/>
          <w:sz w:val="32"/>
          <w:szCs w:val="32"/>
        </w:rPr>
        <w:t>=1，2，...，n；</w:t>
      </w:r>
    </w:p>
    <w:p>
      <w:pPr>
        <w:spacing w:line="600" w:lineRule="exact"/>
        <w:ind w:firstLine="656" w:firstLineChars="205"/>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λ</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oMath>
      <w:r>
        <w:rPr>
          <w:rFonts w:eastAsia="方正仿宋_GBK"/>
          <w:color w:val="auto"/>
          <w:sz w:val="32"/>
          <w:szCs w:val="32"/>
        </w:rPr>
        <w:t>—第</w:t>
      </w:r>
      <w:r>
        <w:rPr>
          <w:rFonts w:eastAsia="方正仿宋_GBK"/>
          <w:i/>
          <w:color w:val="auto"/>
          <w:sz w:val="32"/>
          <w:szCs w:val="32"/>
        </w:rPr>
        <w:t>i</w:t>
      </w:r>
      <w:r>
        <w:rPr>
          <w:rFonts w:eastAsia="方正仿宋_GBK"/>
          <w:color w:val="auto"/>
          <w:sz w:val="32"/>
          <w:szCs w:val="32"/>
        </w:rPr>
        <w:t>种农作物秸秆的草谷比系数；</w:t>
      </w:r>
    </w:p>
    <w:p>
      <w:pPr>
        <w:pStyle w:val="13"/>
        <w:spacing w:line="600" w:lineRule="exact"/>
        <w:ind w:firstLine="640"/>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G</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oMath>
      <w:r>
        <w:rPr>
          <w:rFonts w:eastAsia="方正仿宋_GBK"/>
          <w:color w:val="auto"/>
          <w:sz w:val="32"/>
          <w:szCs w:val="32"/>
        </w:rPr>
        <w:t>—某一区域第</w:t>
      </w:r>
      <w:r>
        <w:rPr>
          <w:rFonts w:eastAsia="方正仿宋_GBK"/>
          <w:i/>
          <w:color w:val="auto"/>
          <w:sz w:val="32"/>
          <w:szCs w:val="32"/>
        </w:rPr>
        <w:t>i</w:t>
      </w:r>
      <w:r>
        <w:rPr>
          <w:rFonts w:eastAsia="方正仿宋_GBK"/>
          <w:color w:val="auto"/>
          <w:sz w:val="32"/>
          <w:szCs w:val="32"/>
        </w:rPr>
        <w:t>种农作物籽实年产量的数值，单位为吨（t），小麦、水稻、玉米的籽实重量按脱粒后的原粮计，棉花按皮棉计，大豆按去豆荚后的干豆计，薯类按鲜薯计，花生按带壳干花生计。</w:t>
      </w:r>
    </w:p>
    <w:p>
      <w:pPr>
        <w:pStyle w:val="13"/>
        <w:spacing w:line="600" w:lineRule="exact"/>
        <w:ind w:firstLine="643"/>
        <w:rPr>
          <w:rFonts w:eastAsia="方正仿宋_GBK"/>
          <w:color w:val="auto"/>
          <w:sz w:val="32"/>
          <w:szCs w:val="32"/>
        </w:rPr>
      </w:pPr>
      <w:r>
        <w:rPr>
          <w:rFonts w:eastAsia="方正仿宋_GBK"/>
          <w:b/>
          <w:color w:val="auto"/>
          <w:sz w:val="32"/>
          <w:szCs w:val="32"/>
        </w:rPr>
        <w:t>秸秆可收集量的测算公式:</w:t>
      </w:r>
    </w:p>
    <w:p>
      <w:pPr>
        <w:pStyle w:val="15"/>
        <w:spacing w:line="600" w:lineRule="exact"/>
        <w:ind w:firstLine="640"/>
        <w:jc w:val="right"/>
        <w:rPr>
          <w:rFonts w:ascii="Times New Roman" w:eastAsia="方正仿宋_GBK"/>
          <w:color w:val="auto"/>
          <w:sz w:val="32"/>
          <w:szCs w:val="32"/>
        </w:rPr>
      </w:pPr>
      <m:oMath>
        <m:sSub>
          <w:bookmarkStart w:id="364" w:name="OLE_LINK10"/>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P</m:t>
            </m:r>
            <m:ctrlPr>
              <w:rPr>
                <w:rFonts w:ascii="Cambria Math" w:hAnsi="Cambria Math" w:eastAsia="方正仿宋_GBK"/>
                <w:color w:val="auto"/>
                <w:sz w:val="32"/>
                <w:szCs w:val="32"/>
              </w:rPr>
            </m:ctrlPr>
          </m:e>
          <m:sub>
            <m:r>
              <w:rPr>
                <w:rFonts w:ascii="Cambria Math" w:hAnsi="Cambria Math" w:eastAsia="方正仿宋_GBK"/>
                <w:color w:val="auto"/>
                <w:sz w:val="32"/>
                <w:szCs w:val="32"/>
              </w:rPr>
              <m:t>c</m:t>
            </m:r>
            <m:ctrlPr>
              <w:rPr>
                <w:rFonts w:ascii="Cambria Math" w:hAnsi="Cambria Math" w:eastAsia="方正仿宋_GBK"/>
                <w:color w:val="auto"/>
                <w:sz w:val="32"/>
                <w:szCs w:val="32"/>
              </w:rPr>
            </m:ctrlPr>
          </m:sub>
        </m:sSub>
        <m:r>
          <w:rPr>
            <w:rFonts w:ascii="Cambria Math" w:hAnsi="Cambria Math" w:eastAsia="方正仿宋_GBK"/>
            <w:color w:val="auto"/>
            <w:sz w:val="32"/>
            <w:szCs w:val="32"/>
          </w:rPr>
          <m:t>=</m:t>
        </m:r>
        <m:nary>
          <m:naryPr>
            <m:chr m:val="∑"/>
            <m:limLoc m:val="undOvr"/>
            <m:ctrlPr>
              <w:rPr>
                <w:rFonts w:ascii="Cambria Math" w:hAnsi="Cambria Math" w:eastAsia="方正仿宋_GBK"/>
                <w:i/>
                <w:color w:val="auto"/>
                <w:sz w:val="32"/>
                <w:szCs w:val="32"/>
              </w:rPr>
            </m:ctrlPr>
          </m:naryPr>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up>
            <m:r>
              <w:rPr>
                <w:rFonts w:ascii="Cambria Math" w:hAnsi="Cambria Math" w:eastAsia="方正仿宋_GBK"/>
                <w:color w:val="auto"/>
                <w:sz w:val="32"/>
                <w:szCs w:val="32"/>
              </w:rPr>
              <m:t>n</m:t>
            </m:r>
            <m:ctrlPr>
              <w:rPr>
                <w:rFonts w:ascii="Cambria Math" w:hAnsi="Cambria Math" w:eastAsia="方正仿宋_GBK"/>
                <w:i/>
                <w:color w:val="auto"/>
                <w:sz w:val="32"/>
                <w:szCs w:val="32"/>
              </w:rPr>
            </m:ctrlPr>
          </m:sup>
          <m:e>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η</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Sub>
            <m:r>
              <w:rPr>
                <w:rFonts w:ascii="Cambria Math" w:hAnsi="Cambria Math" w:eastAsia="微软雅黑"/>
                <w:color w:val="auto"/>
                <w:sz w:val="32"/>
                <w:szCs w:val="32"/>
              </w:rPr>
              <m:t>∙</m:t>
            </m:r>
            <m:r>
              <w:rPr>
                <w:rFonts w:ascii="Cambria Math" w:hAnsi="Cambria Math" w:eastAsia="方正仿宋_GBK"/>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λ</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Sub>
            <m:r>
              <w:rPr>
                <w:rFonts w:ascii="Cambria Math" w:hAnsi="Cambria Math" w:eastAsia="微软雅黑"/>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G</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m:t>
            </m:r>
            <w:bookmarkEnd w:id="364"/>
            <m:ctrlPr>
              <w:rPr>
                <w:rFonts w:ascii="Cambria Math" w:hAnsi="Cambria Math" w:eastAsia="方正仿宋_GBK"/>
                <w:i/>
                <w:color w:val="auto"/>
                <w:sz w:val="32"/>
                <w:szCs w:val="32"/>
              </w:rPr>
            </m:ctrlPr>
          </m:e>
        </m:nary>
      </m:oMath>
      <w:r>
        <w:rPr>
          <w:rFonts w:ascii="Times New Roman" w:eastAsia="方正仿宋_GBK"/>
          <w:color w:val="auto"/>
          <w:sz w:val="32"/>
          <w:szCs w:val="32"/>
        </w:rPr>
        <w:t xml:space="preserve">            （2）                      </w:t>
      </w:r>
    </w:p>
    <w:p>
      <w:pPr>
        <w:pStyle w:val="13"/>
        <w:spacing w:line="600" w:lineRule="exact"/>
        <w:ind w:firstLine="640"/>
        <w:rPr>
          <w:rFonts w:eastAsia="方正仿宋_GBK"/>
          <w:color w:val="auto"/>
          <w:sz w:val="32"/>
          <w:szCs w:val="32"/>
        </w:rPr>
      </w:pPr>
      <w:r>
        <w:rPr>
          <w:rFonts w:eastAsia="方正仿宋_GBK"/>
          <w:color w:val="auto"/>
          <w:sz w:val="32"/>
          <w:szCs w:val="32"/>
        </w:rPr>
        <w:t>式中：</w:t>
      </w:r>
    </w:p>
    <w:p>
      <w:pPr>
        <w:pStyle w:val="13"/>
        <w:spacing w:line="600" w:lineRule="exact"/>
        <w:ind w:firstLine="640"/>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P</m:t>
            </m:r>
            <m:ctrlPr>
              <w:rPr>
                <w:rFonts w:ascii="Cambria Math" w:hAnsi="Cambria Math" w:eastAsia="方正仿宋_GBK"/>
                <w:color w:val="auto"/>
                <w:sz w:val="32"/>
                <w:szCs w:val="32"/>
              </w:rPr>
            </m:ctrlPr>
          </m:e>
          <m:sub>
            <m:r>
              <m:rPr>
                <m:sty m:val="p"/>
              </m:rPr>
              <w:rPr>
                <w:rFonts w:ascii="Cambria Math" w:hAnsi="Cambria Math" w:eastAsia="方正仿宋_GBK"/>
                <w:color w:val="auto"/>
                <w:sz w:val="32"/>
                <w:szCs w:val="32"/>
              </w:rPr>
              <m:t>c</m:t>
            </m:r>
            <m:ctrlPr>
              <w:rPr>
                <w:rFonts w:ascii="Cambria Math" w:hAnsi="Cambria Math" w:eastAsia="方正仿宋_GBK"/>
                <w:color w:val="auto"/>
                <w:sz w:val="32"/>
                <w:szCs w:val="32"/>
              </w:rPr>
            </m:ctrlPr>
          </m:sub>
        </m:sSub>
      </m:oMath>
      <w:r>
        <w:rPr>
          <w:rFonts w:eastAsia="方正仿宋_GBK"/>
          <w:color w:val="auto"/>
          <w:sz w:val="32"/>
          <w:szCs w:val="32"/>
        </w:rPr>
        <w:t>—某一地区农作物秸秆资源可收集量，单位为吨（t）；</w:t>
      </w:r>
    </w:p>
    <w:p>
      <w:pPr>
        <w:pStyle w:val="13"/>
        <w:spacing w:line="600" w:lineRule="exact"/>
        <w:ind w:firstLine="640"/>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η</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oMath>
      <w:r>
        <w:rPr>
          <w:rFonts w:eastAsia="方正仿宋_GBK"/>
          <w:color w:val="auto"/>
          <w:sz w:val="32"/>
          <w:szCs w:val="32"/>
        </w:rPr>
        <w:t>—某一地区第</w:t>
      </w:r>
      <w:r>
        <w:rPr>
          <w:rFonts w:eastAsia="方正仿宋_GBK"/>
          <w:i/>
          <w:color w:val="auto"/>
          <w:sz w:val="32"/>
          <w:szCs w:val="32"/>
        </w:rPr>
        <w:t>i</w:t>
      </w:r>
      <w:r>
        <w:rPr>
          <w:rFonts w:eastAsia="方正仿宋_GBK"/>
          <w:color w:val="auto"/>
          <w:sz w:val="32"/>
          <w:szCs w:val="32"/>
        </w:rPr>
        <w:t>种农作物秸秆的可收集系数；</w:t>
      </w:r>
    </w:p>
    <w:p>
      <w:pPr>
        <w:spacing w:line="600" w:lineRule="exact"/>
        <w:ind w:firstLine="656" w:firstLineChars="205"/>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λ</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oMath>
      <w:r>
        <w:rPr>
          <w:rFonts w:eastAsia="方正仿宋_GBK"/>
          <w:color w:val="auto"/>
          <w:sz w:val="32"/>
          <w:szCs w:val="32"/>
        </w:rPr>
        <w:t>—第</w:t>
      </w:r>
      <w:r>
        <w:rPr>
          <w:rFonts w:eastAsia="方正仿宋_GBK"/>
          <w:i/>
          <w:color w:val="auto"/>
          <w:sz w:val="32"/>
          <w:szCs w:val="32"/>
        </w:rPr>
        <w:t>i</w:t>
      </w:r>
      <w:r>
        <w:rPr>
          <w:rFonts w:eastAsia="方正仿宋_GBK"/>
          <w:color w:val="auto"/>
          <w:sz w:val="32"/>
          <w:szCs w:val="32"/>
        </w:rPr>
        <w:t>种农作物秸秆的草谷比系数；</w:t>
      </w:r>
    </w:p>
    <w:p>
      <w:pPr>
        <w:pStyle w:val="13"/>
        <w:spacing w:line="600" w:lineRule="exact"/>
        <w:ind w:firstLine="640"/>
        <w:rPr>
          <w:rFonts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G</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oMath>
      <w:r>
        <w:rPr>
          <w:rFonts w:eastAsia="方正仿宋_GBK"/>
          <w:color w:val="auto"/>
          <w:sz w:val="32"/>
          <w:szCs w:val="32"/>
        </w:rPr>
        <w:t>—某一区域第</w:t>
      </w:r>
      <w:r>
        <w:rPr>
          <w:rFonts w:eastAsia="方正仿宋_GBK"/>
          <w:i/>
          <w:color w:val="auto"/>
          <w:sz w:val="32"/>
          <w:szCs w:val="32"/>
        </w:rPr>
        <w:t>i</w:t>
      </w:r>
      <w:r>
        <w:rPr>
          <w:rFonts w:eastAsia="方正仿宋_GBK"/>
          <w:color w:val="auto"/>
          <w:sz w:val="32"/>
          <w:szCs w:val="32"/>
        </w:rPr>
        <w:t>种农作物籽实年产量的数值，单位为吨（t），小麦、水稻、玉米的籽实重量按脱粒后的原粮计，棉花按皮棉计，大豆按去豆荚后的干豆计，薯类按鲜薯计，花生按带壳干花生计。</w:t>
      </w:r>
    </w:p>
    <w:p>
      <w:pPr>
        <w:pStyle w:val="13"/>
        <w:spacing w:line="600" w:lineRule="exact"/>
        <w:ind w:firstLine="640"/>
        <w:rPr>
          <w:rFonts w:eastAsia="方正仿宋_GBK"/>
          <w:color w:val="auto"/>
          <w:sz w:val="32"/>
          <w:szCs w:val="32"/>
        </w:rPr>
      </w:pPr>
      <w:r>
        <w:rPr>
          <w:rFonts w:eastAsia="方正仿宋_GBK"/>
          <w:color w:val="auto"/>
          <w:sz w:val="32"/>
          <w:szCs w:val="32"/>
        </w:rPr>
        <w:t>农作物草谷比与秸秆可收集系数是秸秆资源量与可收集量测算的重要参数，是建立秸秆资源台账的基础。</w:t>
      </w:r>
    </w:p>
    <w:p>
      <w:pPr>
        <w:jc w:val="left"/>
        <w:rPr>
          <w:rFonts w:eastAsia="方正楷体_GBK"/>
          <w:b/>
          <w:bCs/>
          <w:color w:val="auto"/>
          <w:sz w:val="32"/>
          <w:szCs w:val="32"/>
        </w:rPr>
      </w:pPr>
      <w:r>
        <w:rPr>
          <w:rFonts w:eastAsia="方正楷体_GBK"/>
          <w:b/>
          <w:bCs/>
          <w:color w:val="auto"/>
          <w:sz w:val="32"/>
          <w:szCs w:val="32"/>
        </w:rPr>
        <w:t>四、实施内容及操作步骤</w:t>
      </w:r>
    </w:p>
    <w:p>
      <w:pPr>
        <w:pStyle w:val="13"/>
        <w:ind w:firstLine="640"/>
        <w:rPr>
          <w:rFonts w:eastAsia="方正仿宋_GBK"/>
          <w:color w:val="auto"/>
          <w:szCs w:val="32"/>
        </w:rPr>
      </w:pPr>
      <w:r>
        <w:rPr>
          <w:rFonts w:eastAsia="方正仿宋_GBK"/>
          <w:color w:val="auto"/>
          <w:sz w:val="32"/>
          <w:szCs w:val="48"/>
        </w:rPr>
        <w:t>农作物草谷比监测主要包括以下步骤：测量材料准备、抽样地块选取、取样点布设、作物样本实（割）测、采集样品制备、样品保存及运输、秸秆与籽实水分测定、草谷比核算。</w:t>
      </w:r>
    </w:p>
    <w:p>
      <w:pPr>
        <w:rPr>
          <w:color w:val="auto"/>
          <w:szCs w:val="32"/>
        </w:rPr>
      </w:pPr>
      <w:r>
        <w:rPr>
          <w:color w:val="auto"/>
          <w:szCs w:val="32"/>
        </w:rPr>
        <w:drawing>
          <wp:inline distT="0" distB="0" distL="0" distR="0">
            <wp:extent cx="5263515" cy="968375"/>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5773" cy="969243"/>
                    </a:xfrm>
                    <a:prstGeom prst="rect">
                      <a:avLst/>
                    </a:prstGeom>
                    <a:noFill/>
                  </pic:spPr>
                </pic:pic>
              </a:graphicData>
            </a:graphic>
          </wp:inline>
        </w:drawing>
      </w:r>
    </w:p>
    <w:p>
      <w:pPr>
        <w:jc w:val="center"/>
        <w:rPr>
          <w:rFonts w:eastAsia="仿宋_GB2312"/>
          <w:b/>
          <w:color w:val="auto"/>
          <w:sz w:val="28"/>
          <w:szCs w:val="32"/>
        </w:rPr>
      </w:pPr>
      <w:r>
        <w:rPr>
          <w:rFonts w:eastAsia="仿宋_GB2312"/>
          <w:b/>
          <w:color w:val="auto"/>
          <w:sz w:val="28"/>
          <w:szCs w:val="32"/>
        </w:rPr>
        <w:t>图1  农作物草谷比监测技术路线</w:t>
      </w:r>
    </w:p>
    <w:p>
      <w:pPr>
        <w:rPr>
          <w:rFonts w:eastAsia="方正黑体_GBK"/>
          <w:color w:val="auto"/>
          <w:sz w:val="32"/>
          <w:szCs w:val="32"/>
        </w:rPr>
      </w:pPr>
      <w:r>
        <w:rPr>
          <w:rFonts w:eastAsia="方正黑体_GBK"/>
          <w:color w:val="auto"/>
          <w:sz w:val="32"/>
          <w:szCs w:val="32"/>
        </w:rPr>
        <w:br w:type="page"/>
      </w:r>
      <w:r>
        <w:rPr>
          <w:color w:val="auto"/>
          <w:sz w:val="28"/>
          <w:szCs w:val="32"/>
        </w:rPr>
        <w:drawing>
          <wp:inline distT="0" distB="0" distL="0" distR="0">
            <wp:extent cx="5274310" cy="3290570"/>
            <wp:effectExtent l="0" t="0" r="139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290721"/>
                    </a:xfrm>
                    <a:prstGeom prst="rect">
                      <a:avLst/>
                    </a:prstGeom>
                    <a:noFill/>
                  </pic:spPr>
                </pic:pic>
              </a:graphicData>
            </a:graphic>
          </wp:inline>
        </w:drawing>
      </w:r>
    </w:p>
    <w:p>
      <w:pPr>
        <w:jc w:val="center"/>
        <w:rPr>
          <w:rFonts w:eastAsia="仿宋_GB2312"/>
          <w:b/>
          <w:color w:val="auto"/>
          <w:sz w:val="28"/>
          <w:szCs w:val="32"/>
        </w:rPr>
      </w:pPr>
      <w:r>
        <w:rPr>
          <w:rFonts w:eastAsia="仿宋_GB2312"/>
          <w:b/>
          <w:color w:val="auto"/>
          <w:sz w:val="28"/>
          <w:szCs w:val="32"/>
        </w:rPr>
        <w:t>图2  典型地块农作物草谷比监测实际操作示意图</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365" w:name="_Toc29959"/>
      <w:bookmarkStart w:id="366" w:name="_Toc117259229"/>
      <w:bookmarkStart w:id="367" w:name="_Toc4125"/>
      <w:bookmarkStart w:id="368" w:name="_Toc105422650"/>
      <w:bookmarkStart w:id="369" w:name="_Toc23969"/>
      <w:bookmarkStart w:id="370" w:name="_Toc2121"/>
      <w:bookmarkStart w:id="371" w:name="_Toc14955"/>
      <w:bookmarkStart w:id="372" w:name="_Toc28825"/>
      <w:bookmarkStart w:id="373" w:name="_Toc100668778"/>
      <w:bookmarkStart w:id="374" w:name="_Toc100668657"/>
      <w:r>
        <w:rPr>
          <w:rFonts w:ascii="Times New Roman" w:eastAsia="方正仿宋_GBK"/>
          <w:b/>
          <w:bCs/>
          <w:color w:val="auto"/>
          <w:kern w:val="2"/>
          <w:sz w:val="32"/>
          <w:szCs w:val="32"/>
        </w:rPr>
        <w:t>（一）测量材料准备</w:t>
      </w:r>
      <w:bookmarkEnd w:id="365"/>
      <w:bookmarkEnd w:id="366"/>
      <w:bookmarkEnd w:id="367"/>
      <w:bookmarkEnd w:id="368"/>
      <w:bookmarkEnd w:id="369"/>
      <w:bookmarkEnd w:id="370"/>
      <w:bookmarkEnd w:id="371"/>
      <w:bookmarkEnd w:id="372"/>
    </w:p>
    <w:p>
      <w:pPr>
        <w:widowControl/>
        <w:spacing w:line="600" w:lineRule="exact"/>
        <w:ind w:firstLine="640" w:firstLineChars="200"/>
        <w:jc w:val="left"/>
        <w:rPr>
          <w:rFonts w:eastAsia="方正仿宋_GBK"/>
          <w:color w:val="auto"/>
          <w:sz w:val="32"/>
          <w:szCs w:val="32"/>
        </w:rPr>
      </w:pPr>
      <w:r>
        <w:rPr>
          <w:rFonts w:eastAsia="方正仿宋_GBK"/>
          <w:color w:val="auto"/>
          <w:sz w:val="32"/>
          <w:szCs w:val="32"/>
        </w:rPr>
        <w:t>米尺、测框、标签、秤、样品袋、计算器、GPS定位仪、剪刀、铡刀、手锯等，并保证这些工具材料的清洁、干燥。</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375" w:name="_Toc2475"/>
      <w:bookmarkStart w:id="376" w:name="_Toc6013"/>
      <w:bookmarkStart w:id="377" w:name="_Toc22216"/>
      <w:bookmarkStart w:id="378" w:name="_Toc117259230"/>
      <w:bookmarkStart w:id="379" w:name="_Toc30980"/>
      <w:bookmarkStart w:id="380" w:name="_Toc19324"/>
      <w:bookmarkStart w:id="381" w:name="_Toc21001"/>
      <w:r>
        <w:rPr>
          <w:rFonts w:ascii="Times New Roman" w:eastAsia="方正仿宋_GBK"/>
          <w:b/>
          <w:bCs/>
          <w:color w:val="auto"/>
          <w:kern w:val="2"/>
          <w:sz w:val="32"/>
          <w:szCs w:val="32"/>
        </w:rPr>
        <w:t>（二）抽样地块选取</w:t>
      </w:r>
      <w:bookmarkEnd w:id="373"/>
      <w:bookmarkEnd w:id="374"/>
      <w:bookmarkEnd w:id="375"/>
      <w:bookmarkEnd w:id="376"/>
      <w:bookmarkEnd w:id="377"/>
      <w:bookmarkEnd w:id="378"/>
      <w:bookmarkEnd w:id="379"/>
      <w:bookmarkEnd w:id="380"/>
      <w:bookmarkEnd w:id="381"/>
    </w:p>
    <w:p>
      <w:pPr>
        <w:pStyle w:val="15"/>
        <w:spacing w:line="600" w:lineRule="exact"/>
        <w:ind w:firstLine="640"/>
        <w:rPr>
          <w:rFonts w:ascii="Times New Roman" w:eastAsia="方正仿宋_GBK"/>
          <w:color w:val="auto"/>
          <w:kern w:val="2"/>
          <w:sz w:val="32"/>
          <w:szCs w:val="32"/>
        </w:rPr>
      </w:pPr>
      <w:r>
        <w:rPr>
          <w:rFonts w:ascii="Times New Roman" w:eastAsia="方正仿宋_GBK"/>
          <w:color w:val="auto"/>
          <w:kern w:val="2"/>
          <w:sz w:val="32"/>
          <w:szCs w:val="32"/>
        </w:rPr>
        <w:t>调查了解所选定的玉溪市红塔区的农作物播种面积、种植结构、产量、地块分布、机械收获比例等。</w:t>
      </w:r>
    </w:p>
    <w:p>
      <w:pPr>
        <w:pStyle w:val="15"/>
        <w:spacing w:line="600" w:lineRule="exact"/>
        <w:ind w:firstLine="640"/>
        <w:rPr>
          <w:rFonts w:ascii="Times New Roman" w:eastAsia="方正仿宋_GBK"/>
          <w:color w:val="auto"/>
          <w:kern w:val="2"/>
          <w:sz w:val="32"/>
          <w:szCs w:val="32"/>
        </w:rPr>
      </w:pPr>
      <w:r>
        <w:rPr>
          <w:rFonts w:ascii="Times New Roman" w:eastAsia="方正仿宋_GBK"/>
          <w:color w:val="auto"/>
          <w:kern w:val="2"/>
          <w:sz w:val="32"/>
          <w:szCs w:val="32"/>
        </w:rPr>
        <w:t>选定地点后，首先调查清楚当地播种面积最大、普遍推广的品种（玉溪市红塔区选择四种作物，水稻、玉米、烤烟、冬马铃薯，每种作物当中选择种植最为广泛的两个品种），然后选取具有代表性的2个典型地块。每个抽取地块行政区划、作物种类、地块编号、名称、面积等信息需要详细填入表1（见附件1），同时采用GPS对抽样地块主要拐点处的坐标位置定位，将定位点编号，并把定位数据填入表1，写明抽样地块各个定位点的明显标志，如河流、道路、大树、电线秆等。</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382" w:name="_Toc117259231"/>
      <w:bookmarkStart w:id="383" w:name="_Toc11447"/>
      <w:bookmarkStart w:id="384" w:name="_Toc11945"/>
      <w:bookmarkStart w:id="385" w:name="_Toc105422652"/>
      <w:bookmarkStart w:id="386" w:name="_Toc27393"/>
      <w:bookmarkStart w:id="387" w:name="_Toc9385"/>
      <w:bookmarkStart w:id="388" w:name="_Toc100668658"/>
      <w:bookmarkStart w:id="389" w:name="_Toc25637"/>
      <w:bookmarkStart w:id="390" w:name="_Toc20206"/>
      <w:bookmarkStart w:id="391" w:name="_Toc100668779"/>
      <w:r>
        <w:rPr>
          <w:rFonts w:ascii="Times New Roman" w:eastAsia="方正仿宋_GBK"/>
          <w:b/>
          <w:bCs/>
          <w:color w:val="auto"/>
          <w:kern w:val="2"/>
          <w:sz w:val="32"/>
          <w:szCs w:val="32"/>
        </w:rPr>
        <w:t>（三）取样点布设</w:t>
      </w:r>
      <w:bookmarkEnd w:id="382"/>
      <w:bookmarkEnd w:id="383"/>
      <w:bookmarkEnd w:id="384"/>
      <w:bookmarkEnd w:id="385"/>
      <w:bookmarkEnd w:id="386"/>
      <w:bookmarkEnd w:id="387"/>
      <w:bookmarkEnd w:id="388"/>
      <w:bookmarkEnd w:id="389"/>
      <w:bookmarkEnd w:id="390"/>
      <w:bookmarkEnd w:id="391"/>
    </w:p>
    <w:p>
      <w:pPr>
        <w:pStyle w:val="15"/>
        <w:spacing w:line="600" w:lineRule="exact"/>
        <w:ind w:firstLine="640"/>
        <w:rPr>
          <w:rFonts w:ascii="Times New Roman" w:eastAsia="方正仿宋_GBK"/>
          <w:color w:val="auto"/>
          <w:sz w:val="32"/>
          <w:szCs w:val="21"/>
          <w:lang w:bidi="ar"/>
        </w:rPr>
      </w:pPr>
      <w:r>
        <w:rPr>
          <w:rFonts w:ascii="Times New Roman" w:eastAsia="方正仿宋_GBK"/>
          <w:color w:val="auto"/>
          <w:kern w:val="2"/>
          <w:sz w:val="32"/>
          <w:szCs w:val="32"/>
        </w:rPr>
        <w:t>根据选取抽样地块的形状，宜采取五点法确定取样点位（参照GB/T5262，如图3），即首先在四方形的地块内找到两条对角线，非四方形地块近似按四方形对待，两条对角线的交点作为一个取样点位，然后，在两条对角线上，距4个定点(A、B、C、D)距离约为对角线长的四分之一处取另外四个点作为取样点位进行取样或测量，每个取样点位面积为1m</w:t>
      </w:r>
      <w:r>
        <w:rPr>
          <w:rFonts w:ascii="Times New Roman" w:eastAsia="方正仿宋_GBK"/>
          <w:color w:val="auto"/>
          <w:kern w:val="2"/>
          <w:sz w:val="32"/>
          <w:szCs w:val="32"/>
          <w:vertAlign w:val="superscript"/>
        </w:rPr>
        <w:t>2</w:t>
      </w:r>
      <w:r>
        <w:rPr>
          <w:rFonts w:ascii="Times New Roman" w:eastAsia="方正仿宋_GBK"/>
          <w:color w:val="auto"/>
          <w:kern w:val="2"/>
          <w:sz w:val="32"/>
          <w:szCs w:val="32"/>
        </w:rPr>
        <w:t>。条（撒）播农作物，每点位测取面积为1m</w:t>
      </w:r>
      <w:r>
        <w:rPr>
          <w:rFonts w:ascii="Times New Roman" w:eastAsia="方正仿宋_GBK"/>
          <w:color w:val="auto"/>
          <w:kern w:val="2"/>
          <w:sz w:val="32"/>
          <w:szCs w:val="32"/>
          <w:vertAlign w:val="superscript"/>
        </w:rPr>
        <w:t>2</w:t>
      </w:r>
      <w:r>
        <w:rPr>
          <w:rFonts w:ascii="Times New Roman" w:eastAsia="方正仿宋_GBK"/>
          <w:color w:val="auto"/>
          <w:kern w:val="2"/>
          <w:sz w:val="32"/>
          <w:szCs w:val="32"/>
        </w:rPr>
        <w:t>（垄作时，在相邻两条垄上割取，以两个垄距为宽，测取约1m</w:t>
      </w:r>
      <w:r>
        <w:rPr>
          <w:rFonts w:ascii="Times New Roman" w:eastAsia="方正仿宋_GBK"/>
          <w:color w:val="auto"/>
          <w:kern w:val="2"/>
          <w:sz w:val="32"/>
          <w:szCs w:val="32"/>
          <w:vertAlign w:val="superscript"/>
        </w:rPr>
        <w:t>2</w:t>
      </w:r>
      <w:r>
        <w:rPr>
          <w:rFonts w:ascii="Times New Roman" w:eastAsia="方正仿宋_GBK"/>
          <w:color w:val="auto"/>
          <w:kern w:val="2"/>
          <w:sz w:val="32"/>
          <w:szCs w:val="32"/>
        </w:rPr>
        <w:t>面积）；穴播农作物每点位测取范围为连续5行、每行连续5穴，具体布设方式按当地实际条件进行调整（如图4）。</w:t>
      </w:r>
    </w:p>
    <w:p>
      <w:pPr>
        <w:jc w:val="center"/>
        <w:rPr>
          <w:rFonts w:eastAsia="方正仿宋_GBK"/>
          <w:color w:val="auto"/>
          <w:sz w:val="28"/>
          <w:szCs w:val="32"/>
        </w:rPr>
      </w:pPr>
      <w:r>
        <w:rPr>
          <w:rFonts w:eastAsia="方正仿宋_GBK"/>
          <w:color w:val="auto"/>
          <w:sz w:val="28"/>
          <w:szCs w:val="32"/>
        </w:rPr>
        <w:drawing>
          <wp:inline distT="0" distB="0" distL="0" distR="0">
            <wp:extent cx="4694555" cy="2209165"/>
            <wp:effectExtent l="0" t="0" r="1460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694892" cy="2209663"/>
                    </a:xfrm>
                    <a:prstGeom prst="rect">
                      <a:avLst/>
                    </a:prstGeom>
                    <a:noFill/>
                  </pic:spPr>
                </pic:pic>
              </a:graphicData>
            </a:graphic>
          </wp:inline>
        </w:drawing>
      </w:r>
    </w:p>
    <w:p>
      <w:pPr>
        <w:spacing w:before="156" w:beforeLines="50" w:after="156" w:afterLines="50" w:line="600" w:lineRule="exact"/>
        <w:jc w:val="center"/>
        <w:rPr>
          <w:rFonts w:eastAsia="方正仿宋_GBK"/>
          <w:b/>
          <w:color w:val="auto"/>
          <w:sz w:val="28"/>
          <w:szCs w:val="32"/>
        </w:rPr>
      </w:pPr>
      <w:r>
        <w:rPr>
          <w:rFonts w:eastAsia="方正仿宋_GBK"/>
          <w:b/>
          <w:color w:val="auto"/>
          <w:sz w:val="28"/>
          <w:szCs w:val="32"/>
        </w:rPr>
        <w:t>图3  典型地块五点取样法示意图</w:t>
      </w:r>
    </w:p>
    <w:p>
      <w:pPr>
        <w:pStyle w:val="15"/>
        <w:ind w:firstLine="0" w:firstLineChars="0"/>
        <w:jc w:val="center"/>
        <w:rPr>
          <w:rFonts w:ascii="Times New Roman" w:eastAsia="方正仿宋_GBK"/>
          <w:color w:val="auto"/>
          <w:sz w:val="32"/>
          <w:szCs w:val="21"/>
          <w:lang w:bidi="ar"/>
        </w:rPr>
      </w:pPr>
      <w:r>
        <w:rPr>
          <w:rFonts w:ascii="Times New Roman" w:eastAsia="方正仿宋_GBK"/>
          <w:color w:val="auto"/>
          <w:sz w:val="32"/>
          <w:szCs w:val="21"/>
        </w:rPr>
        <w:drawing>
          <wp:inline distT="0" distB="0" distL="0" distR="0">
            <wp:extent cx="1678305" cy="1223645"/>
            <wp:effectExtent l="0" t="0" r="13335"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78694" cy="1224000"/>
                    </a:xfrm>
                    <a:prstGeom prst="rect">
                      <a:avLst/>
                    </a:prstGeom>
                    <a:noFill/>
                  </pic:spPr>
                </pic:pic>
              </a:graphicData>
            </a:graphic>
          </wp:inline>
        </w:drawing>
      </w:r>
      <w:r>
        <w:rPr>
          <w:rFonts w:ascii="Times New Roman" w:eastAsia="方正仿宋_GBK"/>
          <w:b/>
          <w:color w:val="auto"/>
          <w:sz w:val="28"/>
          <w:szCs w:val="32"/>
        </w:rPr>
        <w:drawing>
          <wp:inline distT="0" distB="0" distL="0" distR="0">
            <wp:extent cx="1677035" cy="1229360"/>
            <wp:effectExtent l="0" t="0" r="14605"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77600" cy="1229821"/>
                    </a:xfrm>
                    <a:prstGeom prst="rect">
                      <a:avLst/>
                    </a:prstGeom>
                    <a:noFill/>
                  </pic:spPr>
                </pic:pic>
              </a:graphicData>
            </a:graphic>
          </wp:inline>
        </w:drawing>
      </w:r>
      <w:r>
        <w:rPr>
          <w:rFonts w:ascii="Times New Roman" w:eastAsia="方正仿宋_GBK"/>
          <w:color w:val="auto"/>
          <w:sz w:val="32"/>
          <w:szCs w:val="21"/>
        </w:rPr>
        <w:drawing>
          <wp:inline distT="0" distB="0" distL="0" distR="0">
            <wp:extent cx="1682750" cy="1223645"/>
            <wp:effectExtent l="0" t="0" r="8890" b="1079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82792" cy="1224000"/>
                    </a:xfrm>
                    <a:prstGeom prst="rect">
                      <a:avLst/>
                    </a:prstGeom>
                    <a:noFill/>
                  </pic:spPr>
                </pic:pic>
              </a:graphicData>
            </a:graphic>
          </wp:inline>
        </w:drawing>
      </w:r>
    </w:p>
    <w:p>
      <w:pPr>
        <w:pStyle w:val="15"/>
        <w:ind w:firstLine="0" w:firstLineChars="0"/>
        <w:rPr>
          <w:rFonts w:ascii="Times New Roman" w:eastAsia="方正仿宋_GBK"/>
          <w:b/>
          <w:color w:val="auto"/>
          <w:kern w:val="2"/>
          <w:sz w:val="28"/>
          <w:szCs w:val="32"/>
        </w:rPr>
      </w:pPr>
      <w:r>
        <w:rPr>
          <w:rFonts w:ascii="Times New Roman" w:eastAsia="方正仿宋_GBK"/>
          <w:color w:val="auto"/>
          <w:sz w:val="32"/>
          <w:szCs w:val="21"/>
          <w:lang w:bidi="ar"/>
        </w:rPr>
        <w:t xml:space="preserve">    </w:t>
      </w:r>
      <w:r>
        <w:rPr>
          <w:rFonts w:ascii="Times New Roman" w:eastAsia="方正仿宋_GBK"/>
          <w:b/>
          <w:color w:val="auto"/>
          <w:kern w:val="2"/>
          <w:sz w:val="28"/>
          <w:szCs w:val="32"/>
        </w:rPr>
        <w:t>条（撒）播             垄作                穴播</w:t>
      </w:r>
    </w:p>
    <w:p>
      <w:pPr>
        <w:spacing w:before="156" w:beforeLines="50" w:after="156" w:afterLines="50" w:line="600" w:lineRule="exact"/>
        <w:jc w:val="center"/>
        <w:rPr>
          <w:rFonts w:eastAsia="方正仿宋_GBK"/>
          <w:b/>
          <w:color w:val="auto"/>
          <w:sz w:val="28"/>
          <w:szCs w:val="32"/>
        </w:rPr>
      </w:pPr>
      <w:r>
        <w:rPr>
          <w:rFonts w:eastAsia="方正仿宋_GBK"/>
          <w:b/>
          <w:color w:val="auto"/>
          <w:sz w:val="28"/>
          <w:szCs w:val="32"/>
        </w:rPr>
        <w:t>图4  不同播种方式取样点的选取</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392" w:name="_Toc15132"/>
      <w:bookmarkStart w:id="393" w:name="_Toc100668659"/>
      <w:bookmarkStart w:id="394" w:name="_Toc117259232"/>
      <w:bookmarkStart w:id="395" w:name="_Toc21798"/>
      <w:bookmarkStart w:id="396" w:name="_Toc105422653"/>
      <w:bookmarkStart w:id="397" w:name="_Toc1017"/>
      <w:bookmarkStart w:id="398" w:name="_Toc100668780"/>
      <w:bookmarkStart w:id="399" w:name="_Toc1515"/>
      <w:bookmarkStart w:id="400" w:name="_Toc3310"/>
      <w:bookmarkStart w:id="401" w:name="_Toc21808"/>
      <w:r>
        <w:rPr>
          <w:rFonts w:ascii="Times New Roman" w:eastAsia="方正仿宋_GBK"/>
          <w:b/>
          <w:bCs/>
          <w:color w:val="auto"/>
          <w:kern w:val="2"/>
          <w:sz w:val="32"/>
          <w:szCs w:val="32"/>
        </w:rPr>
        <w:t>（四）农作物样本实（割）测</w:t>
      </w:r>
      <w:bookmarkEnd w:id="392"/>
      <w:bookmarkEnd w:id="393"/>
      <w:bookmarkEnd w:id="394"/>
      <w:bookmarkEnd w:id="395"/>
      <w:bookmarkEnd w:id="396"/>
      <w:bookmarkEnd w:id="397"/>
      <w:bookmarkEnd w:id="398"/>
      <w:bookmarkEnd w:id="399"/>
      <w:bookmarkEnd w:id="400"/>
      <w:bookmarkEnd w:id="401"/>
    </w:p>
    <w:p>
      <w:pPr>
        <w:pStyle w:val="15"/>
        <w:spacing w:line="600" w:lineRule="exact"/>
        <w:ind w:firstLine="643"/>
        <w:rPr>
          <w:rFonts w:ascii="Times New Roman" w:eastAsia="方正仿宋_GBK"/>
          <w:color w:val="auto"/>
          <w:kern w:val="2"/>
          <w:sz w:val="32"/>
          <w:szCs w:val="32"/>
        </w:rPr>
      </w:pPr>
      <w:r>
        <w:rPr>
          <w:rFonts w:ascii="Times New Roman" w:eastAsia="方正仿宋_GBK"/>
          <w:b/>
          <w:color w:val="auto"/>
          <w:kern w:val="2"/>
          <w:sz w:val="32"/>
          <w:szCs w:val="32"/>
        </w:rPr>
        <w:t>玉米、水稻：</w:t>
      </w:r>
      <w:r>
        <w:rPr>
          <w:rFonts w:ascii="Times New Roman" w:eastAsia="方正仿宋_GBK"/>
          <w:color w:val="auto"/>
          <w:kern w:val="2"/>
          <w:sz w:val="32"/>
          <w:szCs w:val="32"/>
        </w:rPr>
        <w:t>将各取样点中作物地上部分整株收割并混合（即贴地割），将采割后全株样本进行风干、晾晒后进行脱粒，分别称量秸秆(</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)和籽实(</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)的重量并记录，记录表见附件2。</w:t>
      </w:r>
    </w:p>
    <w:p>
      <w:pPr>
        <w:pStyle w:val="15"/>
        <w:spacing w:line="600" w:lineRule="exact"/>
        <w:ind w:firstLine="643"/>
        <w:rPr>
          <w:rFonts w:ascii="Times New Roman" w:eastAsia="方正仿宋_GBK"/>
          <w:color w:val="auto"/>
          <w:kern w:val="2"/>
          <w:sz w:val="32"/>
          <w:szCs w:val="32"/>
        </w:rPr>
      </w:pPr>
      <w:r>
        <w:rPr>
          <w:rFonts w:ascii="Times New Roman" w:eastAsia="方正仿宋_GBK"/>
          <w:b/>
          <w:color w:val="auto"/>
          <w:kern w:val="2"/>
          <w:sz w:val="32"/>
          <w:szCs w:val="32"/>
        </w:rPr>
        <w:t>烤烟：</w:t>
      </w:r>
      <w:r>
        <w:rPr>
          <w:rFonts w:ascii="Times New Roman" w:eastAsia="方正仿宋_GBK"/>
          <w:color w:val="auto"/>
          <w:kern w:val="2"/>
          <w:sz w:val="32"/>
          <w:szCs w:val="32"/>
        </w:rPr>
        <w:t>将各取样点内全部植株地上部分收割并混合，晾晒、风干后分别称取烤烟叶(</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)和秸秆的重量(</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)并记录，数据记录表见附件2。</w:t>
      </w:r>
    </w:p>
    <w:p>
      <w:pPr>
        <w:pStyle w:val="15"/>
        <w:spacing w:line="600" w:lineRule="exact"/>
        <w:ind w:firstLine="643"/>
        <w:rPr>
          <w:rFonts w:ascii="Times New Roman" w:eastAsia="方正仿宋_GBK"/>
          <w:color w:val="auto"/>
          <w:kern w:val="2"/>
          <w:sz w:val="32"/>
          <w:szCs w:val="32"/>
        </w:rPr>
      </w:pPr>
      <w:r>
        <w:rPr>
          <w:rFonts w:ascii="Times New Roman" w:eastAsia="方正仿宋_GBK"/>
          <w:b/>
          <w:color w:val="auto"/>
          <w:kern w:val="2"/>
          <w:sz w:val="32"/>
          <w:szCs w:val="32"/>
        </w:rPr>
        <w:t>薯类：</w:t>
      </w:r>
      <w:r>
        <w:rPr>
          <w:rFonts w:ascii="Times New Roman" w:eastAsia="方正仿宋_GBK"/>
          <w:color w:val="auto"/>
          <w:kern w:val="2"/>
          <w:sz w:val="32"/>
          <w:szCs w:val="32"/>
        </w:rPr>
        <w:t>将各取样点内全部植株地上部分收割并混合，晾晒、风干后称取薯类秸秆的重量(</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)并记录；翻挖收获，除去薯块上的泥土后称取鲜薯的重量(</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)并记录，数据记录表见附件2。</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402" w:name="_Toc24009"/>
      <w:bookmarkStart w:id="403" w:name="_Toc117259233"/>
      <w:bookmarkStart w:id="404" w:name="_Toc100668660"/>
      <w:bookmarkStart w:id="405" w:name="_Toc425"/>
      <w:bookmarkStart w:id="406" w:name="_Toc25343"/>
      <w:bookmarkStart w:id="407" w:name="_Toc100668781"/>
      <w:bookmarkStart w:id="408" w:name="_Toc17257"/>
      <w:bookmarkStart w:id="409" w:name="_Toc5047"/>
      <w:bookmarkStart w:id="410" w:name="_Toc105422654"/>
      <w:bookmarkStart w:id="411" w:name="_Toc14877"/>
      <w:r>
        <w:rPr>
          <w:rFonts w:ascii="Times New Roman" w:eastAsia="方正仿宋_GBK"/>
          <w:b/>
          <w:bCs/>
          <w:color w:val="auto"/>
          <w:kern w:val="2"/>
          <w:sz w:val="32"/>
          <w:szCs w:val="32"/>
        </w:rPr>
        <w:t>（五）样品制备</w:t>
      </w:r>
      <w:bookmarkEnd w:id="402"/>
      <w:bookmarkEnd w:id="403"/>
      <w:bookmarkEnd w:id="404"/>
      <w:bookmarkEnd w:id="405"/>
      <w:bookmarkEnd w:id="406"/>
      <w:bookmarkEnd w:id="407"/>
      <w:bookmarkEnd w:id="408"/>
      <w:bookmarkEnd w:id="409"/>
      <w:bookmarkEnd w:id="410"/>
      <w:bookmarkEnd w:id="411"/>
    </w:p>
    <w:p>
      <w:pPr>
        <w:pStyle w:val="15"/>
        <w:spacing w:line="600" w:lineRule="exact"/>
        <w:ind w:firstLine="640"/>
        <w:rPr>
          <w:rFonts w:ascii="Times New Roman" w:eastAsia="方正仿宋_GBK"/>
          <w:color w:val="auto"/>
          <w:kern w:val="2"/>
          <w:sz w:val="32"/>
          <w:szCs w:val="32"/>
        </w:rPr>
      </w:pPr>
      <w:r>
        <w:rPr>
          <w:rFonts w:ascii="Times New Roman" w:eastAsia="方正仿宋_GBK"/>
          <w:color w:val="auto"/>
          <w:kern w:val="2"/>
          <w:sz w:val="32"/>
          <w:szCs w:val="32"/>
        </w:rPr>
        <w:t>首先将抽取地块采集的风干秸秆样本全部切碎至3cm以下的碎段，然后分别将切碎的秸秆样本与籽实样本混合均匀（薯类除外）后，采用四分法（如图5所示）分别抽取1kg以上的秸秆和籽实样本，称量并记录抽取秸秆(</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i,S1</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)与籽实(</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i,G1</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)样品的实际重量，保存于样品袋中。若使用透明的包装，样品应避免阳光直射。填写表3标签（见附件3），一式两份，一份放在袋内，另一份贴在袋口。</w:t>
      </w:r>
    </w:p>
    <w:p>
      <w:pPr>
        <w:pStyle w:val="15"/>
        <w:ind w:firstLine="0" w:firstLineChars="0"/>
        <w:jc w:val="center"/>
        <w:rPr>
          <w:rFonts w:ascii="Times New Roman" w:eastAsia="方正仿宋_GBK"/>
          <w:color w:val="auto"/>
        </w:rPr>
      </w:pPr>
      <w:r>
        <w:rPr>
          <w:rFonts w:ascii="Times New Roman" w:eastAsia="方正仿宋_GBK"/>
          <w:color w:val="auto"/>
        </w:rPr>
        <w:drawing>
          <wp:inline distT="0" distB="0" distL="0" distR="0">
            <wp:extent cx="3418205" cy="1830705"/>
            <wp:effectExtent l="0" t="0" r="10795" b="13335"/>
            <wp:docPr id="43" name="图片 43" descr="插图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插图004"/>
                    <pic:cNvPicPr>
                      <a:picLocks noChangeAspect="1" noChangeArrowheads="1"/>
                    </pic:cNvPicPr>
                  </pic:nvPicPr>
                  <pic:blipFill>
                    <a:blip r:embed="rId37">
                      <a:extLst>
                        <a:ext uri="{28A0092B-C50C-407E-A947-70E740481C1C}">
                          <a14:useLocalDpi xmlns:a14="http://schemas.microsoft.com/office/drawing/2010/main" val="0"/>
                        </a:ext>
                      </a:extLst>
                    </a:blip>
                    <a:srcRect l="-1" r="-143" b="19680"/>
                    <a:stretch>
                      <a:fillRect/>
                    </a:stretch>
                  </pic:blipFill>
                  <pic:spPr>
                    <a:xfrm>
                      <a:off x="0" y="0"/>
                      <a:ext cx="3429141" cy="1836439"/>
                    </a:xfrm>
                    <a:prstGeom prst="rect">
                      <a:avLst/>
                    </a:prstGeom>
                    <a:noFill/>
                    <a:ln>
                      <a:noFill/>
                    </a:ln>
                  </pic:spPr>
                </pic:pic>
              </a:graphicData>
            </a:graphic>
          </wp:inline>
        </w:drawing>
      </w:r>
    </w:p>
    <w:p>
      <w:pPr>
        <w:pStyle w:val="15"/>
        <w:ind w:firstLine="0" w:firstLineChars="0"/>
        <w:jc w:val="center"/>
        <w:rPr>
          <w:rFonts w:ascii="Times New Roman" w:eastAsia="方正仿宋_GBK"/>
          <w:b/>
          <w:color w:val="auto"/>
          <w:kern w:val="2"/>
          <w:sz w:val="28"/>
          <w:szCs w:val="32"/>
        </w:rPr>
      </w:pPr>
      <w:r>
        <w:rPr>
          <w:rFonts w:ascii="Times New Roman" w:eastAsia="方正仿宋_GBK"/>
          <w:b/>
          <w:color w:val="auto"/>
          <w:kern w:val="2"/>
          <w:sz w:val="28"/>
          <w:szCs w:val="32"/>
        </w:rPr>
        <w:t>图5 锥形四分法</w:t>
      </w:r>
    </w:p>
    <w:p>
      <w:pPr>
        <w:pStyle w:val="15"/>
        <w:ind w:firstLine="0" w:firstLineChars="0"/>
        <w:rPr>
          <w:rFonts w:ascii="Times New Roman" w:eastAsia="方正仿宋_GBK"/>
          <w:color w:val="auto"/>
          <w:kern w:val="2"/>
          <w:sz w:val="32"/>
          <w:szCs w:val="32"/>
        </w:rPr>
      </w:pPr>
      <w:r>
        <w:rPr>
          <w:rFonts w:ascii="Times New Roman" w:eastAsia="方正仿宋_GBK"/>
          <w:color w:val="auto"/>
          <w:kern w:val="2"/>
          <w:sz w:val="32"/>
          <w:szCs w:val="32"/>
        </w:rPr>
        <w:t>（锥形四分法-首先将合并样品放置在干净、坚硬的表面上。用铁锹将样品铲起堆成圆锥体，每锹样品洒在前一锹样品上，使籽实或农作物秸秆从锥体四周均匀落下，使物料充分混合。重复上述过程三次。竖直地用铁锹插入第三次形成的圆锥体顶部将其摊平，使其厚度和直径一致且高度不超过铁锹的铲高。将铁锹沿对角线垂直插入扁平锥体的顶部，将其分成四份（可使用十字金属板），废弃相对的两份。重复堆锥和四分过程直到获得所需的分样重量）。</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412" w:name="_Toc100668782"/>
      <w:bookmarkStart w:id="413" w:name="_Toc105422655"/>
      <w:bookmarkStart w:id="414" w:name="_Toc117259234"/>
      <w:bookmarkStart w:id="415" w:name="_Toc24703"/>
      <w:bookmarkStart w:id="416" w:name="_Toc19500"/>
      <w:bookmarkStart w:id="417" w:name="_Toc21311"/>
      <w:bookmarkStart w:id="418" w:name="_Toc12164"/>
      <w:bookmarkStart w:id="419" w:name="_Toc10889"/>
      <w:bookmarkStart w:id="420" w:name="_Toc100668661"/>
      <w:bookmarkStart w:id="421" w:name="_Toc21105"/>
      <w:r>
        <w:rPr>
          <w:rFonts w:ascii="Times New Roman" w:eastAsia="方正仿宋_GBK"/>
          <w:b/>
          <w:bCs/>
          <w:color w:val="auto"/>
          <w:kern w:val="2"/>
          <w:sz w:val="32"/>
          <w:szCs w:val="32"/>
        </w:rPr>
        <w:t>（六）样品保存及运输</w:t>
      </w:r>
      <w:bookmarkEnd w:id="412"/>
      <w:bookmarkEnd w:id="413"/>
      <w:bookmarkEnd w:id="414"/>
      <w:bookmarkEnd w:id="415"/>
      <w:bookmarkEnd w:id="416"/>
      <w:bookmarkEnd w:id="417"/>
      <w:bookmarkEnd w:id="418"/>
      <w:bookmarkEnd w:id="419"/>
      <w:bookmarkEnd w:id="420"/>
      <w:bookmarkEnd w:id="421"/>
    </w:p>
    <w:p>
      <w:pPr>
        <w:pStyle w:val="15"/>
        <w:spacing w:line="600" w:lineRule="exact"/>
        <w:ind w:firstLine="640"/>
        <w:rPr>
          <w:rFonts w:ascii="Times New Roman" w:eastAsia="方正仿宋_GBK"/>
          <w:color w:val="auto"/>
          <w:kern w:val="2"/>
          <w:sz w:val="32"/>
          <w:szCs w:val="32"/>
        </w:rPr>
      </w:pPr>
      <w:r>
        <w:rPr>
          <w:rFonts w:ascii="Times New Roman" w:eastAsia="方正仿宋_GBK"/>
          <w:color w:val="auto"/>
          <w:kern w:val="2"/>
          <w:sz w:val="32"/>
          <w:szCs w:val="32"/>
        </w:rPr>
        <w:t>抽取的代表性样品运送至实验室，避光保存。应在24h内对秸秆与籽实样品水分含量进行测试；或将样品在5℃时保存并尽快测试，保存时间不得超过7天。</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422" w:name="_Toc12738"/>
      <w:bookmarkStart w:id="423" w:name="_Toc7102"/>
      <w:bookmarkStart w:id="424" w:name="_Toc105422656"/>
      <w:bookmarkStart w:id="425" w:name="_Toc4562"/>
      <w:bookmarkStart w:id="426" w:name="_Toc5205"/>
      <w:bookmarkStart w:id="427" w:name="_Toc117259235"/>
      <w:bookmarkStart w:id="428" w:name="_Toc25454"/>
      <w:bookmarkStart w:id="429" w:name="_Toc4206"/>
      <w:r>
        <w:rPr>
          <w:rFonts w:ascii="Times New Roman" w:eastAsia="方正仿宋_GBK"/>
          <w:b/>
          <w:bCs/>
          <w:color w:val="auto"/>
          <w:kern w:val="2"/>
          <w:sz w:val="32"/>
          <w:szCs w:val="32"/>
        </w:rPr>
        <w:t>（七）秸秆与籽实水分测定</w:t>
      </w:r>
      <w:bookmarkEnd w:id="422"/>
      <w:bookmarkEnd w:id="423"/>
      <w:bookmarkEnd w:id="424"/>
      <w:bookmarkEnd w:id="425"/>
      <w:bookmarkEnd w:id="426"/>
      <w:bookmarkEnd w:id="427"/>
      <w:bookmarkEnd w:id="428"/>
      <w:bookmarkEnd w:id="429"/>
    </w:p>
    <w:p>
      <w:pPr>
        <w:pStyle w:val="15"/>
        <w:spacing w:line="600" w:lineRule="exact"/>
        <w:ind w:firstLine="640"/>
        <w:rPr>
          <w:rFonts w:ascii="Times New Roman" w:eastAsia="方正仿宋_GBK"/>
          <w:color w:val="auto"/>
          <w:kern w:val="2"/>
          <w:sz w:val="32"/>
          <w:szCs w:val="32"/>
        </w:rPr>
      </w:pPr>
      <w:r>
        <w:rPr>
          <w:rFonts w:ascii="Times New Roman" w:eastAsia="方正仿宋_GBK"/>
          <w:color w:val="auto"/>
          <w:kern w:val="2"/>
          <w:sz w:val="32"/>
          <w:szCs w:val="32"/>
        </w:rPr>
        <w:t>称取洁净的空干燥容器（托盘、坩埚等）重量（</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1</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），精确到0.01g，去皮，称取100g左右秸秆/籽实样本（</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2</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）至干燥容器内，利用烘箱中置于（105±2）℃烘干至恒重，冷却后，测定样品与容器的重量（</w:t>
      </w: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3</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每个试样，应取两个平行样进行测定，以其算术平均值为结果，标准偏差不超过10%，否则重做。（由于物料的烘干时间取决于样品堆放厚度，避免使用太深的干燥容器。为避免不必要的挥发分损失，烘干时间一般不超过24h，烘箱不能过载，在样品层上方与烘箱之间要有足够的空间）。</w:t>
      </w:r>
    </w:p>
    <w:p>
      <w:pPr>
        <w:pStyle w:val="16"/>
        <w:spacing w:beforeLines="0" w:afterLines="0" w:line="600" w:lineRule="exact"/>
        <w:ind w:firstLine="643" w:firstLineChars="200"/>
        <w:outlineLvl w:val="9"/>
        <w:rPr>
          <w:rFonts w:ascii="Times New Roman" w:eastAsia="方正仿宋_GBK"/>
          <w:b/>
          <w:bCs/>
          <w:color w:val="auto"/>
          <w:kern w:val="2"/>
          <w:sz w:val="32"/>
          <w:szCs w:val="32"/>
        </w:rPr>
      </w:pPr>
      <w:bookmarkStart w:id="430" w:name="_Toc20667"/>
      <w:bookmarkStart w:id="431" w:name="_Toc18116"/>
      <w:bookmarkStart w:id="432" w:name="_Toc19567"/>
      <w:bookmarkStart w:id="433" w:name="_Toc205172814"/>
      <w:bookmarkStart w:id="434" w:name="_Toc208908163"/>
      <w:bookmarkStart w:id="435" w:name="_Toc208374148"/>
      <w:bookmarkStart w:id="436" w:name="_Toc211913451"/>
      <w:bookmarkStart w:id="437" w:name="_Toc17145"/>
      <w:bookmarkStart w:id="438" w:name="_Toc211909339"/>
      <w:bookmarkStart w:id="439" w:name="_Toc17109"/>
      <w:bookmarkStart w:id="440" w:name="_Toc208302137"/>
      <w:bookmarkStart w:id="441" w:name="_Toc507936159"/>
      <w:bookmarkStart w:id="442" w:name="_Toc22075"/>
      <w:bookmarkStart w:id="443" w:name="_Toc211649273"/>
      <w:bookmarkStart w:id="444" w:name="_Toc211673982"/>
      <w:bookmarkStart w:id="445" w:name="_Toc208303183"/>
      <w:bookmarkStart w:id="446" w:name="_Toc211227161"/>
      <w:r>
        <w:rPr>
          <w:rFonts w:ascii="Times New Roman" w:eastAsia="方正仿宋_GBK"/>
          <w:b/>
          <w:bCs/>
          <w:color w:val="auto"/>
          <w:kern w:val="2"/>
          <w:sz w:val="32"/>
          <w:szCs w:val="32"/>
        </w:rPr>
        <w:t>3.水分含量计算</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pStyle w:val="15"/>
        <w:ind w:firstLine="643"/>
        <w:rPr>
          <w:rFonts w:ascii="Times New Roman" w:eastAsia="方正仿宋_GBK"/>
          <w:color w:val="auto"/>
          <w:kern w:val="2"/>
          <w:sz w:val="32"/>
          <w:szCs w:val="32"/>
        </w:rPr>
      </w:pPr>
      <w:r>
        <w:rPr>
          <w:rFonts w:ascii="Times New Roman" w:eastAsia="方正仿宋_GBK"/>
          <w:b/>
          <w:color w:val="auto"/>
          <w:kern w:val="2"/>
          <w:sz w:val="32"/>
          <w:szCs w:val="32"/>
        </w:rPr>
        <w:t>秸秆</w:t>
      </w:r>
      <w:r>
        <w:rPr>
          <w:rFonts w:ascii="Times New Roman" w:eastAsia="方正仿宋_GBK"/>
          <w:color w:val="auto"/>
          <w:kern w:val="2"/>
          <w:sz w:val="32"/>
          <w:szCs w:val="32"/>
        </w:rPr>
        <w:t>水分含量计算公式：</w:t>
      </w:r>
    </w:p>
    <w:p>
      <w:pPr>
        <w:pStyle w:val="15"/>
        <w:ind w:firstLine="640"/>
        <w:rPr>
          <w:rFonts w:ascii="Times New Roman"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A</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i,s</m:t>
            </m:r>
            <m:ctrlPr>
              <w:rPr>
                <w:rFonts w:ascii="Cambria Math" w:hAnsi="Cambria Math" w:eastAsia="方正仿宋_GBK"/>
                <w:color w:val="auto"/>
                <w:sz w:val="32"/>
                <w:szCs w:val="32"/>
              </w:rPr>
            </m:ctrlPr>
          </m:sub>
        </m:sSub>
        <m:r>
          <w:rPr>
            <w:rFonts w:ascii="Cambria Math" w:hAnsi="Cambria Math" w:eastAsia="方正仿宋_GBK"/>
            <w:color w:val="auto"/>
            <w:sz w:val="32"/>
            <w:szCs w:val="32"/>
          </w:rPr>
          <m:t>=</m:t>
        </m:r>
        <m:f>
          <m:fPr>
            <m:ctrlPr>
              <w:rPr>
                <w:rFonts w:ascii="Cambria Math" w:hAnsi="Cambria Math" w:eastAsia="方正仿宋_GBK"/>
                <w:i/>
                <w:color w:val="auto"/>
                <w:sz w:val="32"/>
                <w:szCs w:val="32"/>
              </w:rPr>
            </m:ctrlPr>
          </m:fPr>
          <m:num>
            <m:d>
              <m:dPr>
                <m:begChr m:val="（"/>
                <m:endChr m:val="）"/>
                <m:ctrlPr>
                  <w:rPr>
                    <w:rFonts w:ascii="Cambria Math" w:hAnsi="Cambria Math" w:eastAsia="方正仿宋_GBK"/>
                    <w:i/>
                    <w:color w:val="auto"/>
                    <w:sz w:val="32"/>
                    <w:szCs w:val="32"/>
                  </w:rPr>
                </m:ctrlPr>
              </m:dPr>
              <m:e>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1</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2</m:t>
                    </m:r>
                    <m:ctrlPr>
                      <w:rPr>
                        <w:rFonts w:ascii="Cambria Math" w:hAnsi="Cambria Math" w:eastAsia="方正仿宋_GBK"/>
                        <w:i/>
                        <w:color w:val="auto"/>
                        <w:sz w:val="32"/>
                        <w:szCs w:val="32"/>
                      </w:rPr>
                    </m:ctrlPr>
                  </m:sub>
                </m:sSub>
                <m:r>
                  <w:rPr>
                    <w:rFonts w:ascii="Cambria Math" w:hAnsi="Cambria Math" w:eastAsia="微软雅黑"/>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3</m:t>
                    </m:r>
                    <m:ctrlPr>
                      <w:rPr>
                        <w:rFonts w:ascii="Cambria Math" w:hAnsi="Cambria Math" w:eastAsia="方正仿宋_GBK"/>
                        <w:i/>
                        <w:color w:val="auto"/>
                        <w:sz w:val="32"/>
                        <w:szCs w:val="32"/>
                      </w:rPr>
                    </m:ctrlPr>
                  </m:sub>
                </m:sSub>
                <m:ctrlPr>
                  <w:rPr>
                    <w:rFonts w:ascii="Cambria Math" w:hAnsi="Cambria Math" w:eastAsia="方正仿宋_GBK"/>
                    <w:i/>
                    <w:color w:val="auto"/>
                    <w:sz w:val="32"/>
                    <w:szCs w:val="32"/>
                  </w:rPr>
                </m:ctrlPr>
              </m:e>
            </m:d>
            <m:ctrlPr>
              <w:rPr>
                <w:rFonts w:ascii="Cambria Math" w:hAnsi="Cambria Math" w:eastAsia="方正仿宋_GBK"/>
                <w:i/>
                <w:color w:val="auto"/>
                <w:sz w:val="32"/>
                <w:szCs w:val="32"/>
              </w:rPr>
            </m:ctrlPr>
          </m:num>
          <m:den>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2</m:t>
                </m:r>
                <m:ctrlPr>
                  <w:rPr>
                    <w:rFonts w:ascii="Cambria Math" w:hAnsi="Cambria Math" w:eastAsia="方正仿宋_GBK"/>
                    <w:i/>
                    <w:color w:val="auto"/>
                    <w:sz w:val="32"/>
                    <w:szCs w:val="32"/>
                  </w:rPr>
                </m:ctrlPr>
              </m:sub>
            </m:sSub>
            <m:ctrlPr>
              <w:rPr>
                <w:rFonts w:ascii="Cambria Math" w:hAnsi="Cambria Math" w:eastAsia="方正仿宋_GBK"/>
                <w:i/>
                <w:color w:val="auto"/>
                <w:sz w:val="32"/>
                <w:szCs w:val="32"/>
              </w:rPr>
            </m:ctrlPr>
          </m:den>
        </m:f>
        <m:r>
          <w:rPr>
            <w:rFonts w:ascii="Cambria Math" w:hAnsi="Cambria Math" w:eastAsia="方正仿宋_GBK"/>
            <w:color w:val="auto"/>
            <w:sz w:val="32"/>
            <w:szCs w:val="32"/>
          </w:rPr>
          <m:t>×100%</m:t>
        </m:r>
      </m:oMath>
      <w:r>
        <w:rPr>
          <w:rFonts w:ascii="Times New Roman" w:eastAsia="方正仿宋_GBK"/>
          <w:color w:val="auto"/>
          <w:sz w:val="32"/>
          <w:szCs w:val="32"/>
        </w:rPr>
        <w:t xml:space="preserve">                      （3）</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A</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—样本水分含量，单位为百分比（%）；</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1</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—空干燥容器的质量，单位为克（g）；</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2</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—称取样品的质量，单位为克（g）；</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3</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—烘干后干燥容器和样品的总质量，单位为克（g）；</w:t>
      </w:r>
    </w:p>
    <w:p>
      <w:pPr>
        <w:pStyle w:val="15"/>
        <w:ind w:firstLine="640"/>
        <w:rPr>
          <w:rFonts w:ascii="Times New Roman" w:eastAsia="方正仿宋_GBK"/>
          <w:color w:val="auto"/>
          <w:kern w:val="2"/>
          <w:sz w:val="32"/>
          <w:szCs w:val="32"/>
        </w:rPr>
      </w:pPr>
      <w:r>
        <w:rPr>
          <w:rFonts w:ascii="Times New Roman" w:eastAsia="方正仿宋_GBK"/>
          <w:color w:val="auto"/>
          <w:kern w:val="2"/>
          <w:sz w:val="32"/>
          <w:szCs w:val="32"/>
        </w:rPr>
        <w:t>计算结果精确到小数点后一位。</w:t>
      </w:r>
    </w:p>
    <w:p>
      <w:pPr>
        <w:pStyle w:val="15"/>
        <w:ind w:firstLine="643"/>
        <w:rPr>
          <w:rFonts w:ascii="Times New Roman" w:eastAsia="方正仿宋_GBK"/>
          <w:color w:val="auto"/>
          <w:kern w:val="2"/>
          <w:sz w:val="32"/>
          <w:szCs w:val="32"/>
        </w:rPr>
      </w:pPr>
      <w:r>
        <w:rPr>
          <w:rFonts w:ascii="Times New Roman" w:eastAsia="方正仿宋_GBK"/>
          <w:b/>
          <w:color w:val="auto"/>
          <w:kern w:val="2"/>
          <w:sz w:val="32"/>
          <w:szCs w:val="32"/>
        </w:rPr>
        <w:t>籽粒/烟叶</w:t>
      </w:r>
      <w:r>
        <w:rPr>
          <w:rFonts w:ascii="Times New Roman" w:eastAsia="方正仿宋_GBK"/>
          <w:color w:val="auto"/>
          <w:kern w:val="2"/>
          <w:sz w:val="32"/>
          <w:szCs w:val="32"/>
        </w:rPr>
        <w:t>水分含量计算公式：</w:t>
      </w:r>
    </w:p>
    <w:p>
      <w:pPr>
        <w:pStyle w:val="15"/>
        <w:ind w:firstLine="640"/>
        <w:rPr>
          <w:rFonts w:ascii="Times New Roman" w:eastAsia="方正仿宋_GBK"/>
          <w:color w:val="auto"/>
          <w:sz w:val="32"/>
          <w:szCs w:val="32"/>
        </w:rPr>
      </w:pPr>
      <m:oMath>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A</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i,G</m:t>
            </m:r>
            <m:ctrlPr>
              <w:rPr>
                <w:rFonts w:ascii="Cambria Math" w:hAnsi="Cambria Math" w:eastAsia="方正仿宋_GBK"/>
                <w:color w:val="auto"/>
                <w:sz w:val="32"/>
                <w:szCs w:val="32"/>
              </w:rPr>
            </m:ctrlPr>
          </m:sub>
        </m:sSub>
        <m:r>
          <w:rPr>
            <w:rFonts w:ascii="Cambria Math" w:hAnsi="Cambria Math" w:eastAsia="方正仿宋_GBK"/>
            <w:color w:val="auto"/>
            <w:sz w:val="32"/>
            <w:szCs w:val="32"/>
          </w:rPr>
          <m:t>=</m:t>
        </m:r>
        <m:f>
          <m:fPr>
            <m:ctrlPr>
              <w:rPr>
                <w:rFonts w:ascii="Cambria Math" w:hAnsi="Cambria Math" w:eastAsia="方正仿宋_GBK"/>
                <w:i/>
                <w:color w:val="auto"/>
                <w:sz w:val="32"/>
                <w:szCs w:val="32"/>
              </w:rPr>
            </m:ctrlPr>
          </m:fPr>
          <m:num>
            <m:d>
              <m:dPr>
                <m:begChr m:val="（"/>
                <m:endChr m:val="）"/>
                <m:ctrlPr>
                  <w:rPr>
                    <w:rFonts w:ascii="Cambria Math" w:hAnsi="Cambria Math" w:eastAsia="方正仿宋_GBK"/>
                    <w:i/>
                    <w:color w:val="auto"/>
                    <w:sz w:val="32"/>
                    <w:szCs w:val="32"/>
                  </w:rPr>
                </m:ctrlPr>
              </m:dPr>
              <m:e>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1</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2</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3</m:t>
                    </m:r>
                    <m:ctrlPr>
                      <w:rPr>
                        <w:rFonts w:ascii="Cambria Math" w:hAnsi="Cambria Math" w:eastAsia="方正仿宋_GBK"/>
                        <w:i/>
                        <w:color w:val="auto"/>
                        <w:sz w:val="32"/>
                        <w:szCs w:val="32"/>
                      </w:rPr>
                    </m:ctrlPr>
                  </m:sub>
                </m:sSub>
                <m:ctrlPr>
                  <w:rPr>
                    <w:rFonts w:ascii="Cambria Math" w:hAnsi="Cambria Math" w:eastAsia="方正仿宋_GBK"/>
                    <w:i/>
                    <w:color w:val="auto"/>
                    <w:sz w:val="32"/>
                    <w:szCs w:val="32"/>
                  </w:rPr>
                </m:ctrlPr>
              </m:e>
            </m:d>
            <m:ctrlPr>
              <w:rPr>
                <w:rFonts w:ascii="Cambria Math" w:hAnsi="Cambria Math" w:eastAsia="方正仿宋_GBK"/>
                <w:i/>
                <w:color w:val="auto"/>
                <w:sz w:val="32"/>
                <w:szCs w:val="32"/>
              </w:rPr>
            </m:ctrlPr>
          </m:num>
          <m:den>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2</m:t>
                </m:r>
                <m:ctrlPr>
                  <w:rPr>
                    <w:rFonts w:ascii="Cambria Math" w:hAnsi="Cambria Math" w:eastAsia="方正仿宋_GBK"/>
                    <w:i/>
                    <w:color w:val="auto"/>
                    <w:sz w:val="32"/>
                    <w:szCs w:val="32"/>
                  </w:rPr>
                </m:ctrlPr>
              </m:sub>
            </m:sSub>
            <m:ctrlPr>
              <w:rPr>
                <w:rFonts w:ascii="Cambria Math" w:hAnsi="Cambria Math" w:eastAsia="方正仿宋_GBK"/>
                <w:i/>
                <w:color w:val="auto"/>
                <w:sz w:val="32"/>
                <w:szCs w:val="32"/>
              </w:rPr>
            </m:ctrlPr>
          </m:den>
        </m:f>
        <m:r>
          <w:rPr>
            <w:rFonts w:ascii="Cambria Math" w:hAnsi="Cambria Math" w:eastAsia="方正仿宋_GBK"/>
            <w:color w:val="auto"/>
            <w:sz w:val="32"/>
            <w:szCs w:val="32"/>
          </w:rPr>
          <m:t>×100%</m:t>
        </m:r>
      </m:oMath>
      <w:r>
        <w:rPr>
          <w:rFonts w:ascii="Times New Roman" w:eastAsia="方正仿宋_GBK"/>
          <w:color w:val="auto"/>
          <w:sz w:val="32"/>
          <w:szCs w:val="32"/>
        </w:rPr>
        <w:t xml:space="preserve">                      （4）</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A</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—籽粒样本水分含量，单位为百分比（%）；</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1</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—空干燥容器的质量，单位为克（g）；</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2</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—称取样品的质量，单位为克（g）；</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m</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3</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—烘干后干燥容器和样品的总质量，单位为克（g）；</w:t>
      </w:r>
    </w:p>
    <w:p>
      <w:pPr>
        <w:pStyle w:val="15"/>
        <w:ind w:firstLine="640"/>
        <w:rPr>
          <w:rFonts w:ascii="Times New Roman" w:eastAsia="方正仿宋_GBK"/>
          <w:color w:val="auto"/>
          <w:kern w:val="2"/>
          <w:sz w:val="32"/>
          <w:szCs w:val="32"/>
        </w:rPr>
      </w:pPr>
      <w:r>
        <w:rPr>
          <w:rFonts w:ascii="Times New Roman" w:eastAsia="方正仿宋_GBK"/>
          <w:color w:val="auto"/>
          <w:kern w:val="2"/>
          <w:sz w:val="32"/>
          <w:szCs w:val="32"/>
        </w:rPr>
        <w:t>计算结果精确到小数点后一位。</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447" w:name="_Toc31285"/>
      <w:bookmarkStart w:id="448" w:name="_Toc105422657"/>
      <w:bookmarkStart w:id="449" w:name="_Toc28774"/>
      <w:bookmarkStart w:id="450" w:name="_Toc9914"/>
      <w:bookmarkStart w:id="451" w:name="_Toc17842"/>
      <w:bookmarkStart w:id="452" w:name="_Toc24450"/>
      <w:bookmarkStart w:id="453" w:name="_Toc100668662"/>
      <w:bookmarkStart w:id="454" w:name="_Toc21992"/>
      <w:bookmarkStart w:id="455" w:name="_Toc117259236"/>
      <w:bookmarkStart w:id="456" w:name="_Toc100668783"/>
      <w:r>
        <w:rPr>
          <w:rFonts w:ascii="Times New Roman" w:eastAsia="方正仿宋_GBK"/>
          <w:b/>
          <w:bCs/>
          <w:color w:val="auto"/>
          <w:kern w:val="2"/>
          <w:sz w:val="32"/>
          <w:szCs w:val="32"/>
        </w:rPr>
        <w:t>（八）草谷比核算</w:t>
      </w:r>
      <w:bookmarkEnd w:id="447"/>
      <w:bookmarkEnd w:id="448"/>
      <w:bookmarkEnd w:id="449"/>
      <w:bookmarkEnd w:id="450"/>
      <w:bookmarkEnd w:id="451"/>
      <w:bookmarkEnd w:id="452"/>
      <w:bookmarkEnd w:id="453"/>
      <w:bookmarkEnd w:id="454"/>
      <w:bookmarkEnd w:id="455"/>
      <w:bookmarkEnd w:id="456"/>
    </w:p>
    <w:p>
      <w:pPr>
        <w:pStyle w:val="15"/>
        <w:ind w:firstLine="643"/>
        <w:rPr>
          <w:rFonts w:ascii="Times New Roman" w:eastAsia="方正仿宋_GBK"/>
          <w:color w:val="auto"/>
          <w:kern w:val="2"/>
          <w:sz w:val="32"/>
          <w:szCs w:val="32"/>
        </w:rPr>
      </w:pPr>
      <w:r>
        <w:rPr>
          <w:rFonts w:ascii="Times New Roman" w:eastAsia="方正仿宋_GBK"/>
          <w:b/>
          <w:color w:val="auto"/>
          <w:kern w:val="2"/>
          <w:sz w:val="32"/>
          <w:szCs w:val="32"/>
        </w:rPr>
        <w:t>某一地块</w:t>
      </w:r>
      <w:r>
        <w:rPr>
          <w:rFonts w:ascii="Times New Roman" w:eastAsia="方正仿宋_GBK"/>
          <w:color w:val="auto"/>
          <w:kern w:val="2"/>
          <w:sz w:val="32"/>
          <w:szCs w:val="32"/>
        </w:rPr>
        <w:t>某种农作物的草谷比计算公式：</w:t>
      </w:r>
    </w:p>
    <w:p>
      <w:pPr>
        <w:tabs>
          <w:tab w:val="center" w:pos="4201"/>
          <w:tab w:val="right" w:leader="dot" w:pos="9298"/>
        </w:tabs>
        <w:autoSpaceDE w:val="0"/>
        <w:autoSpaceDN w:val="0"/>
        <w:rPr>
          <w:rFonts w:eastAsia="方正仿宋_GBK"/>
          <w:color w:val="auto"/>
          <w:sz w:val="32"/>
          <w:szCs w:val="32"/>
        </w:rPr>
      </w:pPr>
      <w:bookmarkStart w:id="457" w:name="OLE_LINK5"/>
      <m:oMath>
        <m:r>
          <w:rPr>
            <w:rFonts w:ascii="Cambria Math" w:hAnsi="Cambria Math" w:eastAsia="方正仿宋_GBK"/>
            <w:color w:val="auto"/>
            <w:sz w:val="32"/>
            <w:szCs w:val="32"/>
          </w:rPr>
          <m:t xml:space="preserve">         </m:t>
        </m:r>
        <m:sSub>
          <m:sSubPr>
            <m:ctrlPr>
              <w:rPr>
                <w:rFonts w:ascii="Cambria Math" w:hAnsi="Cambria Math" w:eastAsia="方正仿宋_GBK"/>
                <w:color w:val="auto"/>
                <w:sz w:val="32"/>
                <w:szCs w:val="32"/>
              </w:rPr>
            </m:ctrlPr>
          </m:sSubPr>
          <m:e>
            <m:r>
              <w:rPr>
                <w:rFonts w:ascii="Cambria Math" w:hAnsi="Cambria Math" w:eastAsia="方正仿宋_GBK"/>
                <w:color w:val="auto"/>
                <w:sz w:val="32"/>
                <w:szCs w:val="32"/>
              </w:rPr>
              <m:t>λ</m:t>
            </m:r>
            <m:ctrlPr>
              <w:rPr>
                <w:rFonts w:ascii="Cambria Math" w:hAnsi="Cambria Math" w:eastAsia="方正仿宋_GBK"/>
                <w:color w:val="auto"/>
                <w:sz w:val="32"/>
                <w:szCs w:val="32"/>
              </w:rPr>
            </m:ctrlPr>
          </m:e>
          <m:sub>
            <m:r>
              <w:rPr>
                <w:rFonts w:ascii="Cambria Math" w:hAnsi="Cambria Math" w:eastAsia="方正仿宋_GBK"/>
                <w:color w:val="auto"/>
                <w:sz w:val="32"/>
                <w:szCs w:val="32"/>
              </w:rPr>
              <m:t>i</m:t>
            </m:r>
            <m:ctrlPr>
              <w:rPr>
                <w:rFonts w:ascii="Cambria Math" w:hAnsi="Cambria Math" w:eastAsia="方正仿宋_GBK"/>
                <w:color w:val="auto"/>
                <w:sz w:val="32"/>
                <w:szCs w:val="32"/>
              </w:rPr>
            </m:ctrlPr>
          </m:sub>
        </m:sSub>
        <m:r>
          <w:rPr>
            <w:rFonts w:ascii="Cambria Math" w:hAnsi="Cambria Math" w:eastAsia="方正仿宋_GBK"/>
            <w:color w:val="auto"/>
            <w:sz w:val="32"/>
            <w:szCs w:val="32"/>
          </w:rPr>
          <m:t>=</m:t>
        </m:r>
        <m:f>
          <m:fPr>
            <m:ctrlPr>
              <w:rPr>
                <w:rFonts w:ascii="Cambria Math" w:hAnsi="Cambria Math" w:eastAsia="方正仿宋_GBK"/>
                <w:i/>
                <w:color w:val="auto"/>
                <w:sz w:val="32"/>
                <w:szCs w:val="32"/>
              </w:rPr>
            </m:ctrlPr>
          </m:fPr>
          <m:num>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i,S</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(1</m:t>
            </m:r>
            <m:r>
              <w:rPr>
                <w:rFonts w:ascii="Cambria Math" w:hAnsi="Cambria Math" w:eastAsia="微软雅黑"/>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A</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i,S</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)/(1</m:t>
            </m:r>
            <m:r>
              <w:rPr>
                <w:rFonts w:ascii="Cambria Math" w:hAnsi="Cambria Math" w:eastAsia="微软雅黑"/>
                <w:color w:val="auto"/>
                <w:sz w:val="32"/>
                <w:szCs w:val="32"/>
              </w:rPr>
              <m:t>−</m:t>
            </m:r>
            <m:r>
              <w:rPr>
                <w:rFonts w:ascii="Cambria Math" w:hAnsi="Cambria Math" w:eastAsia="方正仿宋_GBK"/>
                <w:color w:val="auto"/>
                <w:sz w:val="32"/>
                <w:szCs w:val="32"/>
              </w:rPr>
              <m:t>15%)</m:t>
            </m:r>
            <m:ctrlPr>
              <w:rPr>
                <w:rFonts w:ascii="Cambria Math" w:hAnsi="Cambria Math" w:eastAsia="方正仿宋_GBK"/>
                <w:i/>
                <w:color w:val="auto"/>
                <w:sz w:val="32"/>
                <w:szCs w:val="32"/>
              </w:rPr>
            </m:ctrlPr>
          </m:num>
          <m:den>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m</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i,G</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(1</m:t>
            </m:r>
            <m:r>
              <w:rPr>
                <w:rFonts w:ascii="Cambria Math" w:hAnsi="Cambria Math" w:eastAsia="微软雅黑"/>
                <w:color w:val="auto"/>
                <w:sz w:val="32"/>
                <w:szCs w:val="32"/>
              </w:rPr>
              <m:t>−</m:t>
            </m:r>
            <m:sSub>
              <m:sSubPr>
                <m:ctrlPr>
                  <w:rPr>
                    <w:rFonts w:ascii="Cambria Math" w:hAnsi="Cambria Math" w:eastAsia="方正仿宋_GBK"/>
                    <w:i/>
                    <w:color w:val="auto"/>
                    <w:sz w:val="32"/>
                    <w:szCs w:val="32"/>
                  </w:rPr>
                </m:ctrlPr>
              </m:sSubPr>
              <m:e>
                <m:r>
                  <w:rPr>
                    <w:rFonts w:ascii="Cambria Math" w:hAnsi="Cambria Math" w:eastAsia="方正仿宋_GBK"/>
                    <w:color w:val="auto"/>
                    <w:sz w:val="32"/>
                    <w:szCs w:val="32"/>
                  </w:rPr>
                  <m:t>A</m:t>
                </m:r>
                <m:ctrlPr>
                  <w:rPr>
                    <w:rFonts w:ascii="Cambria Math" w:hAnsi="Cambria Math" w:eastAsia="方正仿宋_GBK"/>
                    <w:i/>
                    <w:color w:val="auto"/>
                    <w:sz w:val="32"/>
                    <w:szCs w:val="32"/>
                  </w:rPr>
                </m:ctrlPr>
              </m:e>
              <m:sub>
                <m:r>
                  <w:rPr>
                    <w:rFonts w:ascii="Cambria Math" w:hAnsi="Cambria Math" w:eastAsia="方正仿宋_GBK"/>
                    <w:color w:val="auto"/>
                    <w:sz w:val="32"/>
                    <w:szCs w:val="32"/>
                  </w:rPr>
                  <m:t>i,G</m:t>
                </m:r>
                <m:ctrlPr>
                  <w:rPr>
                    <w:rFonts w:ascii="Cambria Math" w:hAnsi="Cambria Math" w:eastAsia="方正仿宋_GBK"/>
                    <w:i/>
                    <w:color w:val="auto"/>
                    <w:sz w:val="32"/>
                    <w:szCs w:val="32"/>
                  </w:rPr>
                </m:ctrlPr>
              </m:sub>
            </m:sSub>
            <m:r>
              <w:rPr>
                <w:rFonts w:ascii="Cambria Math" w:hAnsi="Cambria Math" w:eastAsia="方正仿宋_GBK"/>
                <w:color w:val="auto"/>
                <w:sz w:val="32"/>
                <w:szCs w:val="32"/>
              </w:rPr>
              <m:t>)/(1</m:t>
            </m:r>
            <m:r>
              <w:rPr>
                <w:rFonts w:ascii="Cambria Math" w:hAnsi="Cambria Math" w:eastAsia="微软雅黑"/>
                <w:color w:val="auto"/>
                <w:sz w:val="32"/>
                <w:szCs w:val="32"/>
              </w:rPr>
              <m:t>−</m:t>
            </m:r>
            <m:r>
              <w:rPr>
                <w:rFonts w:ascii="Cambria Math" w:hAnsi="Cambria Math" w:eastAsia="方正仿宋_GBK"/>
                <w:color w:val="auto"/>
                <w:sz w:val="32"/>
                <w:szCs w:val="32"/>
              </w:rPr>
              <m:t>M)</m:t>
            </m:r>
            <w:bookmarkEnd w:id="457"/>
            <m:ctrlPr>
              <w:rPr>
                <w:rFonts w:ascii="Cambria Math" w:hAnsi="Cambria Math" w:eastAsia="方正仿宋_GBK"/>
                <w:i/>
                <w:color w:val="auto"/>
                <w:sz w:val="32"/>
                <w:szCs w:val="32"/>
              </w:rPr>
            </m:ctrlPr>
          </m:den>
        </m:f>
      </m:oMath>
      <w:r>
        <w:rPr>
          <w:rFonts w:eastAsia="方正仿宋_GBK"/>
          <w:color w:val="auto"/>
          <w:sz w:val="32"/>
          <w:szCs w:val="32"/>
        </w:rPr>
        <w:t xml:space="preserve">                         （5）</w:t>
      </w:r>
    </w:p>
    <w:p>
      <w:pPr>
        <w:pStyle w:val="15"/>
        <w:ind w:firstLine="640"/>
        <w:rPr>
          <w:rFonts w:ascii="Times New Roman" w:eastAsia="方正仿宋_GBK"/>
          <w:color w:val="auto"/>
          <w:kern w:val="2"/>
          <w:sz w:val="32"/>
          <w:szCs w:val="32"/>
        </w:rPr>
      </w:pPr>
      <w:r>
        <w:rPr>
          <w:rFonts w:ascii="Times New Roman" w:eastAsia="方正仿宋_GBK"/>
          <w:color w:val="auto"/>
          <w:kern w:val="2"/>
          <w:sz w:val="32"/>
          <w:szCs w:val="32"/>
        </w:rPr>
        <w:t>式中：</w:t>
      </w:r>
    </w:p>
    <w:p>
      <w:pPr>
        <w:tabs>
          <w:tab w:val="center" w:pos="4201"/>
          <w:tab w:val="right" w:leader="dot" w:pos="9298"/>
        </w:tabs>
        <w:autoSpaceDE w:val="0"/>
        <w:autoSpaceDN w:val="0"/>
        <w:ind w:firstLine="640" w:firstLineChars="200"/>
        <w:rPr>
          <w:rFonts w:eastAsia="方正仿宋_GBK"/>
          <w:color w:val="auto"/>
          <w:sz w:val="32"/>
          <w:szCs w:val="32"/>
        </w:rPr>
      </w:pPr>
      <m:oMath>
        <m:sSub>
          <m:sSubPr>
            <m:ctrlPr>
              <w:rPr>
                <w:rFonts w:ascii="Cambria Math" w:hAnsi="Cambria Math" w:eastAsia="方正仿宋_GBK"/>
                <w:color w:val="auto"/>
                <w:sz w:val="32"/>
                <w:szCs w:val="28"/>
                <w:vertAlign w:val="subscript"/>
              </w:rPr>
            </m:ctrlPr>
          </m:sSubPr>
          <m:e>
            <m:r>
              <w:rPr>
                <w:rFonts w:ascii="Cambria Math" w:hAnsi="Cambria Math" w:eastAsia="方正仿宋_GBK"/>
                <w:color w:val="auto"/>
                <w:sz w:val="32"/>
                <w:szCs w:val="28"/>
                <w:vertAlign w:val="subscript"/>
              </w:rPr>
              <m:t>λ</m:t>
            </m:r>
            <m:ctrlPr>
              <w:rPr>
                <w:rFonts w:ascii="Cambria Math" w:hAnsi="Cambria Math" w:eastAsia="方正仿宋_GBK"/>
                <w:color w:val="auto"/>
                <w:sz w:val="32"/>
                <w:szCs w:val="28"/>
                <w:vertAlign w:val="subscript"/>
              </w:rPr>
            </m:ctrlPr>
          </m:e>
          <m:sub>
            <m:r>
              <w:rPr>
                <w:rFonts w:ascii="Cambria Math" w:hAnsi="Cambria Math" w:eastAsia="方正仿宋_GBK"/>
                <w:color w:val="auto"/>
                <w:sz w:val="32"/>
                <w:szCs w:val="28"/>
                <w:vertAlign w:val="subscript"/>
              </w:rPr>
              <m:t>i</m:t>
            </m:r>
            <m:ctrlPr>
              <w:rPr>
                <w:rFonts w:ascii="Cambria Math" w:hAnsi="Cambria Math" w:eastAsia="方正仿宋_GBK"/>
                <w:color w:val="auto"/>
                <w:sz w:val="32"/>
                <w:szCs w:val="28"/>
                <w:vertAlign w:val="subscript"/>
              </w:rPr>
            </m:ctrlPr>
          </m:sub>
        </m:sSub>
      </m:oMath>
      <w:r>
        <w:rPr>
          <w:rFonts w:eastAsia="方正仿宋_GBK"/>
          <w:i/>
          <w:color w:val="auto"/>
          <w:sz w:val="32"/>
          <w:szCs w:val="28"/>
          <w:vertAlign w:val="subscript"/>
        </w:rPr>
        <w:t xml:space="preserve"> </w:t>
      </w:r>
      <w:r>
        <w:rPr>
          <w:rFonts w:eastAsia="方正仿宋_GBK"/>
          <w:color w:val="auto"/>
          <w:sz w:val="32"/>
          <w:szCs w:val="28"/>
        </w:rPr>
        <w:t>—</w:t>
      </w:r>
      <w:r>
        <w:rPr>
          <w:rFonts w:eastAsia="方正仿宋_GBK"/>
          <w:color w:val="auto"/>
          <w:sz w:val="32"/>
          <w:szCs w:val="32"/>
        </w:rPr>
        <w:t>某一地块第</w:t>
      </w:r>
      <w:r>
        <w:rPr>
          <w:rFonts w:eastAsia="方正仿宋_GBK"/>
          <w:i/>
          <w:color w:val="auto"/>
          <w:sz w:val="32"/>
          <w:szCs w:val="32"/>
        </w:rPr>
        <w:t>i</w:t>
      </w:r>
      <w:r>
        <w:rPr>
          <w:rFonts w:eastAsia="方正仿宋_GBK"/>
          <w:color w:val="auto"/>
          <w:sz w:val="32"/>
          <w:szCs w:val="32"/>
        </w:rPr>
        <w:t>种农作物草谷比；</w:t>
      </w:r>
    </w:p>
    <w:p>
      <w:pPr>
        <w:tabs>
          <w:tab w:val="center" w:pos="4201"/>
          <w:tab w:val="right" w:leader="dot" w:pos="9298"/>
        </w:tabs>
        <w:autoSpaceDE w:val="0"/>
        <w:autoSpaceDN w:val="0"/>
        <w:ind w:firstLine="640" w:firstLineChars="200"/>
        <w:rPr>
          <w:rFonts w:eastAsia="方正仿宋_GBK"/>
          <w:color w:val="auto"/>
          <w:sz w:val="32"/>
          <w:szCs w:val="32"/>
        </w:rPr>
      </w:pPr>
      <m:oMath>
        <m:sSub>
          <m:sSubPr>
            <m:ctrlPr>
              <w:rPr>
                <w:rFonts w:ascii="Cambria Math" w:hAnsi="Cambria Math" w:eastAsia="方正仿宋_GBK"/>
                <w:color w:val="auto"/>
                <w:sz w:val="32"/>
                <w:szCs w:val="28"/>
                <w:vertAlign w:val="subscript"/>
              </w:rPr>
            </m:ctrlPr>
          </m:sSubPr>
          <m:e>
            <m:r>
              <w:rPr>
                <w:rFonts w:ascii="Cambria Math" w:hAnsi="Cambria Math" w:eastAsia="方正仿宋_GBK"/>
                <w:color w:val="auto"/>
                <w:sz w:val="32"/>
                <w:szCs w:val="28"/>
                <w:vertAlign w:val="subscript"/>
              </w:rPr>
              <m:t>m</m:t>
            </m:r>
            <m:ctrlPr>
              <w:rPr>
                <w:rFonts w:ascii="Cambria Math" w:hAnsi="Cambria Math" w:eastAsia="方正仿宋_GBK"/>
                <w:color w:val="auto"/>
                <w:sz w:val="32"/>
                <w:szCs w:val="28"/>
                <w:vertAlign w:val="subscript"/>
              </w:rPr>
            </m:ctrlPr>
          </m:e>
          <m:sub>
            <m:r>
              <w:rPr>
                <w:rFonts w:ascii="Cambria Math" w:hAnsi="Cambria Math" w:eastAsia="方正仿宋_GBK"/>
                <w:color w:val="auto"/>
                <w:sz w:val="32"/>
                <w:szCs w:val="28"/>
                <w:vertAlign w:val="subscript"/>
              </w:rPr>
              <m:t>i,S</m:t>
            </m:r>
            <m:ctrlPr>
              <w:rPr>
                <w:rFonts w:ascii="Cambria Math" w:hAnsi="Cambria Math" w:eastAsia="方正仿宋_GBK"/>
                <w:color w:val="auto"/>
                <w:sz w:val="32"/>
                <w:szCs w:val="28"/>
                <w:vertAlign w:val="subscript"/>
              </w:rPr>
            </m:ctrlPr>
          </m:sub>
        </m:sSub>
      </m:oMath>
      <w:r>
        <w:rPr>
          <w:rFonts w:eastAsia="方正仿宋_GBK"/>
          <w:color w:val="auto"/>
          <w:sz w:val="32"/>
          <w:szCs w:val="28"/>
        </w:rPr>
        <w:t>—</w:t>
      </w:r>
      <w:r>
        <w:rPr>
          <w:rFonts w:eastAsia="方正仿宋_GBK"/>
          <w:color w:val="auto"/>
          <w:sz w:val="32"/>
          <w:szCs w:val="32"/>
        </w:rPr>
        <w:t>某一地块第</w:t>
      </w:r>
      <w:r>
        <w:rPr>
          <w:rFonts w:eastAsia="方正仿宋_GBK"/>
          <w:i/>
          <w:iCs/>
          <w:color w:val="auto"/>
          <w:sz w:val="32"/>
          <w:szCs w:val="32"/>
        </w:rPr>
        <w:t>i</w:t>
      </w:r>
      <w:r>
        <w:rPr>
          <w:rFonts w:eastAsia="方正仿宋_GBK"/>
          <w:color w:val="auto"/>
          <w:sz w:val="32"/>
          <w:szCs w:val="32"/>
        </w:rPr>
        <w:t>种秸秆重量，单位为千克（kg）；</w:t>
      </w:r>
    </w:p>
    <w:p>
      <w:pPr>
        <w:tabs>
          <w:tab w:val="center" w:pos="4201"/>
          <w:tab w:val="right" w:leader="dot" w:pos="9298"/>
        </w:tabs>
        <w:autoSpaceDE w:val="0"/>
        <w:autoSpaceDN w:val="0"/>
        <w:ind w:firstLine="640" w:firstLineChars="200"/>
        <w:rPr>
          <w:rFonts w:eastAsia="方正仿宋_GBK"/>
          <w:color w:val="auto"/>
          <w:sz w:val="32"/>
          <w:szCs w:val="32"/>
        </w:rPr>
      </w:pPr>
      <m:oMath>
        <m:sSub>
          <m:sSubPr>
            <m:ctrlPr>
              <w:rPr>
                <w:rFonts w:ascii="Cambria Math" w:hAnsi="Cambria Math" w:eastAsia="方正仿宋_GBK"/>
                <w:color w:val="auto"/>
                <w:sz w:val="32"/>
                <w:szCs w:val="28"/>
                <w:vertAlign w:val="subscript"/>
              </w:rPr>
            </m:ctrlPr>
          </m:sSubPr>
          <m:e>
            <m:r>
              <w:rPr>
                <w:rFonts w:ascii="Cambria Math" w:hAnsi="Cambria Math" w:eastAsia="方正仿宋_GBK"/>
                <w:color w:val="auto"/>
                <w:sz w:val="32"/>
                <w:szCs w:val="28"/>
                <w:vertAlign w:val="subscript"/>
              </w:rPr>
              <m:t>m</m:t>
            </m:r>
            <m:ctrlPr>
              <w:rPr>
                <w:rFonts w:ascii="Cambria Math" w:hAnsi="Cambria Math" w:eastAsia="方正仿宋_GBK"/>
                <w:color w:val="auto"/>
                <w:sz w:val="32"/>
                <w:szCs w:val="28"/>
                <w:vertAlign w:val="subscript"/>
              </w:rPr>
            </m:ctrlPr>
          </m:e>
          <m:sub>
            <m:r>
              <w:rPr>
                <w:rFonts w:ascii="Cambria Math" w:hAnsi="Cambria Math" w:eastAsia="方正仿宋_GBK"/>
                <w:color w:val="auto"/>
                <w:sz w:val="32"/>
                <w:szCs w:val="28"/>
                <w:vertAlign w:val="subscript"/>
              </w:rPr>
              <m:t>i,G</m:t>
            </m:r>
            <m:ctrlPr>
              <w:rPr>
                <w:rFonts w:ascii="Cambria Math" w:hAnsi="Cambria Math" w:eastAsia="方正仿宋_GBK"/>
                <w:color w:val="auto"/>
                <w:sz w:val="32"/>
                <w:szCs w:val="28"/>
                <w:vertAlign w:val="subscript"/>
              </w:rPr>
            </m:ctrlPr>
          </m:sub>
        </m:sSub>
      </m:oMath>
      <w:r>
        <w:rPr>
          <w:rFonts w:eastAsia="方正仿宋_GBK"/>
          <w:color w:val="auto"/>
          <w:sz w:val="32"/>
          <w:szCs w:val="28"/>
        </w:rPr>
        <w:t>—</w:t>
      </w:r>
      <w:r>
        <w:rPr>
          <w:rFonts w:eastAsia="方正仿宋_GBK"/>
          <w:color w:val="auto"/>
          <w:sz w:val="32"/>
          <w:szCs w:val="32"/>
        </w:rPr>
        <w:t>某一地块第</w:t>
      </w:r>
      <w:r>
        <w:rPr>
          <w:rFonts w:eastAsia="方正仿宋_GBK"/>
          <w:i/>
          <w:iCs/>
          <w:color w:val="auto"/>
          <w:sz w:val="32"/>
          <w:szCs w:val="32"/>
        </w:rPr>
        <w:t>i</w:t>
      </w:r>
      <w:r>
        <w:rPr>
          <w:rFonts w:eastAsia="方正仿宋_GBK"/>
          <w:color w:val="auto"/>
          <w:sz w:val="32"/>
          <w:szCs w:val="32"/>
        </w:rPr>
        <w:t>种基籽实重量，单位为千克（kg）；</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A</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i,S</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w:t>
      </w:r>
      <w:r>
        <w:rPr>
          <w:rFonts w:ascii="Times New Roman" w:eastAsia="方正仿宋_GBK"/>
          <w:color w:val="auto"/>
          <w:sz w:val="32"/>
          <w:szCs w:val="32"/>
        </w:rPr>
        <w:t>第</w:t>
      </w:r>
      <w:r>
        <w:rPr>
          <w:rFonts w:ascii="Times New Roman" w:eastAsia="方正仿宋_GBK"/>
          <w:i/>
          <w:iCs/>
          <w:color w:val="auto"/>
          <w:sz w:val="32"/>
          <w:szCs w:val="32"/>
        </w:rPr>
        <w:t>i</w:t>
      </w:r>
      <w:r>
        <w:rPr>
          <w:rFonts w:ascii="Times New Roman" w:eastAsia="方正仿宋_GBK"/>
          <w:color w:val="auto"/>
          <w:sz w:val="32"/>
          <w:szCs w:val="32"/>
        </w:rPr>
        <w:t>种</w:t>
      </w:r>
      <w:r>
        <w:rPr>
          <w:rFonts w:ascii="Times New Roman" w:eastAsia="方正仿宋_GBK"/>
          <w:color w:val="auto"/>
          <w:kern w:val="2"/>
          <w:sz w:val="32"/>
          <w:szCs w:val="32"/>
        </w:rPr>
        <w:t>秸秆样本水分含量，单位为百分比（%）；</w:t>
      </w:r>
    </w:p>
    <w:p>
      <w:pPr>
        <w:pStyle w:val="15"/>
        <w:ind w:firstLine="640"/>
        <w:rPr>
          <w:rFonts w:ascii="Times New Roman" w:eastAsia="方正仿宋_GBK"/>
          <w:color w:val="auto"/>
          <w:kern w:val="2"/>
          <w:sz w:val="32"/>
          <w:szCs w:val="32"/>
        </w:rPr>
      </w:pPr>
      <m:oMath>
        <m:sSub>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A</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i,G</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w:t>
      </w:r>
      <w:r>
        <w:rPr>
          <w:rFonts w:ascii="Times New Roman" w:eastAsia="方正仿宋_GBK"/>
          <w:color w:val="auto"/>
          <w:sz w:val="32"/>
          <w:szCs w:val="32"/>
        </w:rPr>
        <w:t>第</w:t>
      </w:r>
      <w:r>
        <w:rPr>
          <w:rFonts w:ascii="Times New Roman" w:eastAsia="方正仿宋_GBK"/>
          <w:i/>
          <w:iCs/>
          <w:color w:val="auto"/>
          <w:sz w:val="32"/>
          <w:szCs w:val="32"/>
        </w:rPr>
        <w:t>i</w:t>
      </w:r>
      <w:r>
        <w:rPr>
          <w:rFonts w:ascii="Times New Roman" w:eastAsia="方正仿宋_GBK"/>
          <w:color w:val="auto"/>
          <w:sz w:val="32"/>
          <w:szCs w:val="32"/>
        </w:rPr>
        <w:t>种</w:t>
      </w:r>
      <w:r>
        <w:rPr>
          <w:rFonts w:ascii="Times New Roman" w:eastAsia="方正仿宋_GBK"/>
          <w:color w:val="auto"/>
          <w:kern w:val="2"/>
          <w:sz w:val="32"/>
          <w:szCs w:val="32"/>
        </w:rPr>
        <w:t>采集基籽实样本水分含量，单位为百分比（%）；</w:t>
      </w:r>
    </w:p>
    <w:p>
      <w:pPr>
        <w:tabs>
          <w:tab w:val="center" w:pos="4201"/>
          <w:tab w:val="right" w:leader="dot" w:pos="9298"/>
        </w:tabs>
        <w:autoSpaceDE w:val="0"/>
        <w:autoSpaceDN w:val="0"/>
        <w:ind w:firstLine="640" w:firstLineChars="200"/>
        <w:rPr>
          <w:rFonts w:eastAsia="方正仿宋_GBK"/>
          <w:color w:val="auto"/>
          <w:sz w:val="32"/>
          <w:szCs w:val="32"/>
        </w:rPr>
      </w:pPr>
      <w:r>
        <w:rPr>
          <w:rFonts w:eastAsia="方正仿宋_GBK"/>
          <w:i/>
          <w:color w:val="auto"/>
          <w:sz w:val="32"/>
          <w:szCs w:val="28"/>
        </w:rPr>
        <w:t>M</w:t>
      </w:r>
      <w:r>
        <w:rPr>
          <w:rFonts w:eastAsia="方正仿宋_GBK"/>
          <w:color w:val="auto"/>
          <w:sz w:val="32"/>
          <w:szCs w:val="28"/>
        </w:rPr>
        <w:t>—</w:t>
      </w:r>
      <w:r>
        <w:rPr>
          <w:rFonts w:eastAsia="方正仿宋_GBK"/>
          <w:color w:val="auto"/>
          <w:sz w:val="32"/>
          <w:szCs w:val="32"/>
        </w:rPr>
        <w:t>国家标准水分含量（%），其取值为：小麦13%，籼稻13.5%，粳稻14.5%，玉米14%，油菜14%，花生10%，大豆13.5%，薯类0，棉花0。</w:t>
      </w:r>
    </w:p>
    <w:p>
      <w:pPr>
        <w:pStyle w:val="15"/>
        <w:ind w:firstLine="643"/>
        <w:rPr>
          <w:rFonts w:ascii="Times New Roman" w:eastAsia="方正仿宋_GBK"/>
          <w:b/>
          <w:color w:val="auto"/>
          <w:kern w:val="2"/>
          <w:sz w:val="32"/>
          <w:szCs w:val="32"/>
        </w:rPr>
      </w:pPr>
      <w:r>
        <w:rPr>
          <w:rFonts w:ascii="Times New Roman" w:eastAsia="方正仿宋_GBK"/>
          <w:b/>
          <w:color w:val="auto"/>
          <w:kern w:val="2"/>
          <w:sz w:val="32"/>
          <w:szCs w:val="32"/>
        </w:rPr>
        <w:t>某一区域</w:t>
      </w:r>
      <w:r>
        <w:rPr>
          <w:rFonts w:ascii="Times New Roman" w:eastAsia="方正仿宋_GBK"/>
          <w:color w:val="auto"/>
          <w:kern w:val="2"/>
          <w:sz w:val="32"/>
          <w:szCs w:val="32"/>
        </w:rPr>
        <w:t>某种农作物的草谷比计算公式：</w:t>
      </w:r>
    </w:p>
    <w:p>
      <w:pPr>
        <w:tabs>
          <w:tab w:val="center" w:pos="4201"/>
          <w:tab w:val="right" w:leader="dot" w:pos="9298"/>
        </w:tabs>
        <w:autoSpaceDE w:val="0"/>
        <w:autoSpaceDN w:val="0"/>
        <w:ind w:firstLine="640" w:firstLineChars="200"/>
        <w:jc w:val="center"/>
        <w:rPr>
          <w:rFonts w:eastAsia="方正仿宋_GBK"/>
          <w:color w:val="auto"/>
          <w:sz w:val="32"/>
        </w:rPr>
      </w:pPr>
      <m:oMath>
        <m:sSub>
          <m:sSubPr>
            <m:ctrlPr>
              <w:rPr>
                <w:rFonts w:ascii="Cambria Math" w:hAnsi="Cambria Math" w:eastAsia="方正仿宋_GBK"/>
                <w:color w:val="auto"/>
                <w:sz w:val="32"/>
              </w:rPr>
            </m:ctrlPr>
          </m:sSubPr>
          <m:e>
            <m:r>
              <w:rPr>
                <w:rFonts w:ascii="Cambria Math" w:hAnsi="Cambria Math" w:eastAsia="方正仿宋_GBK"/>
                <w:color w:val="auto"/>
                <w:sz w:val="32"/>
              </w:rPr>
              <m:t>λ</m:t>
            </m:r>
            <m:ctrlPr>
              <w:rPr>
                <w:rFonts w:ascii="Cambria Math" w:hAnsi="Cambria Math" w:eastAsia="方正仿宋_GBK"/>
                <w:color w:val="auto"/>
                <w:sz w:val="32"/>
              </w:rPr>
            </m:ctrlPr>
          </m:e>
          <m:sub>
            <m:r>
              <w:rPr>
                <w:rFonts w:ascii="Cambria Math" w:hAnsi="Cambria Math" w:eastAsia="方正仿宋_GBK"/>
                <w:color w:val="auto"/>
                <w:sz w:val="32"/>
              </w:rPr>
              <m:t>di</m:t>
            </m:r>
            <m:ctrlPr>
              <w:rPr>
                <w:rFonts w:ascii="Cambria Math" w:hAnsi="Cambria Math" w:eastAsia="方正仿宋_GBK"/>
                <w:color w:val="auto"/>
                <w:sz w:val="32"/>
              </w:rPr>
            </m:ctrlPr>
          </m:sub>
        </m:sSub>
        <m:r>
          <w:rPr>
            <w:rFonts w:ascii="Cambria Math" w:hAnsi="Cambria Math" w:eastAsia="方正仿宋_GBK"/>
            <w:color w:val="auto"/>
            <w:sz w:val="32"/>
          </w:rPr>
          <m:t>=</m:t>
        </m:r>
        <m:nary>
          <m:naryPr>
            <m:chr m:val="∑"/>
            <m:limLoc m:val="undOvr"/>
            <m:ctrlPr>
              <w:rPr>
                <w:rFonts w:ascii="Cambria Math" w:hAnsi="Cambria Math" w:eastAsia="方正仿宋_GBK"/>
                <w:i/>
                <w:color w:val="auto"/>
                <w:sz w:val="32"/>
              </w:rPr>
            </m:ctrlPr>
          </m:naryPr>
          <m:sub>
            <m:r>
              <w:rPr>
                <w:rFonts w:ascii="Cambria Math" w:hAnsi="Cambria Math" w:eastAsia="方正仿宋_GBK"/>
                <w:color w:val="auto"/>
                <w:sz w:val="32"/>
              </w:rPr>
              <m:t>k=1</m:t>
            </m:r>
            <m:ctrlPr>
              <w:rPr>
                <w:rFonts w:ascii="Cambria Math" w:hAnsi="Cambria Math" w:eastAsia="方正仿宋_GBK"/>
                <w:i/>
                <w:color w:val="auto"/>
                <w:sz w:val="32"/>
              </w:rPr>
            </m:ctrlPr>
          </m:sub>
          <m:sup>
            <m:r>
              <w:rPr>
                <w:rFonts w:ascii="Cambria Math" w:hAnsi="Cambria Math" w:eastAsia="方正仿宋_GBK"/>
                <w:color w:val="auto"/>
                <w:sz w:val="32"/>
              </w:rPr>
              <m:t>m</m:t>
            </m:r>
            <m:ctrlPr>
              <w:rPr>
                <w:rFonts w:ascii="Cambria Math" w:hAnsi="Cambria Math" w:eastAsia="方正仿宋_GBK"/>
                <w:i/>
                <w:color w:val="auto"/>
                <w:sz w:val="32"/>
              </w:rPr>
            </m:ctrlPr>
          </m:sup>
          <m:e>
            <m:f>
              <m:fPr>
                <m:ctrlPr>
                  <w:rPr>
                    <w:rFonts w:ascii="Cambria Math" w:hAnsi="Cambria Math" w:eastAsia="方正仿宋_GBK"/>
                    <w:i/>
                    <w:color w:val="auto"/>
                    <w:sz w:val="32"/>
                  </w:rPr>
                </m:ctrlPr>
              </m:fPr>
              <m:num>
                <m:sSub>
                  <m:sSubPr>
                    <m:ctrlPr>
                      <w:rPr>
                        <w:rFonts w:ascii="Cambria Math" w:hAnsi="Cambria Math" w:eastAsia="方正仿宋_GBK"/>
                        <w:i/>
                        <w:color w:val="auto"/>
                        <w:sz w:val="32"/>
                      </w:rPr>
                    </m:ctrlPr>
                  </m:sSubPr>
                  <m:e>
                    <m:r>
                      <w:rPr>
                        <w:rFonts w:ascii="Cambria Math" w:hAnsi="Cambria Math" w:eastAsia="方正仿宋_GBK"/>
                        <w:color w:val="auto"/>
                        <w:sz w:val="32"/>
                      </w:rPr>
                      <m:t>λ</m:t>
                    </m:r>
                    <m:ctrlPr>
                      <w:rPr>
                        <w:rFonts w:ascii="Cambria Math" w:hAnsi="Cambria Math" w:eastAsia="方正仿宋_GBK"/>
                        <w:i/>
                        <w:color w:val="auto"/>
                        <w:sz w:val="32"/>
                      </w:rPr>
                    </m:ctrlPr>
                  </m:e>
                  <m:sub>
                    <m:r>
                      <w:rPr>
                        <w:rFonts w:ascii="Cambria Math" w:hAnsi="Cambria Math" w:eastAsia="方正仿宋_GBK"/>
                        <w:color w:val="auto"/>
                        <w:sz w:val="32"/>
                      </w:rPr>
                      <m:t>i,k</m:t>
                    </m:r>
                    <m:ctrlPr>
                      <w:rPr>
                        <w:rFonts w:ascii="Cambria Math" w:hAnsi="Cambria Math" w:eastAsia="方正仿宋_GBK"/>
                        <w:i/>
                        <w:color w:val="auto"/>
                        <w:sz w:val="32"/>
                      </w:rPr>
                    </m:ctrlPr>
                  </m:sub>
                </m:sSub>
                <m:ctrlPr>
                  <w:rPr>
                    <w:rFonts w:ascii="Cambria Math" w:hAnsi="Cambria Math" w:eastAsia="方正仿宋_GBK"/>
                    <w:i/>
                    <w:color w:val="auto"/>
                    <w:sz w:val="32"/>
                  </w:rPr>
                </m:ctrlPr>
              </m:num>
              <m:den>
                <m:r>
                  <w:rPr>
                    <w:rFonts w:ascii="Cambria Math" w:hAnsi="Cambria Math" w:eastAsia="方正仿宋_GBK"/>
                    <w:color w:val="auto"/>
                    <w:sz w:val="32"/>
                  </w:rPr>
                  <m:t>m</m:t>
                </m:r>
                <m:ctrlPr>
                  <w:rPr>
                    <w:rFonts w:ascii="Cambria Math" w:hAnsi="Cambria Math" w:eastAsia="方正仿宋_GBK"/>
                    <w:i/>
                    <w:color w:val="auto"/>
                    <w:sz w:val="32"/>
                  </w:rPr>
                </m:ctrlPr>
              </m:den>
            </m:f>
            <m:ctrlPr>
              <w:rPr>
                <w:rFonts w:ascii="Cambria Math" w:hAnsi="Cambria Math" w:eastAsia="方正仿宋_GBK"/>
                <w:i/>
                <w:color w:val="auto"/>
                <w:sz w:val="32"/>
              </w:rPr>
            </m:ctrlPr>
          </m:e>
        </m:nary>
      </m:oMath>
      <w:r>
        <w:rPr>
          <w:rFonts w:eastAsia="方正仿宋_GBK"/>
          <w:color w:val="auto"/>
          <w:sz w:val="32"/>
        </w:rPr>
        <w:t xml:space="preserve">                                 (7)</w:t>
      </w:r>
    </w:p>
    <w:p>
      <w:pPr>
        <w:tabs>
          <w:tab w:val="center" w:pos="4201"/>
          <w:tab w:val="right" w:leader="dot" w:pos="9298"/>
        </w:tabs>
        <w:autoSpaceDE w:val="0"/>
        <w:autoSpaceDN w:val="0"/>
        <w:ind w:firstLine="640" w:firstLineChars="200"/>
        <w:rPr>
          <w:rFonts w:eastAsia="方正仿宋_GBK"/>
          <w:color w:val="auto"/>
        </w:rPr>
      </w:pPr>
      <m:oMath>
        <m:sSub>
          <m:sSubPr>
            <m:ctrlPr>
              <w:rPr>
                <w:rFonts w:ascii="Cambria Math" w:hAnsi="Cambria Math" w:eastAsia="方正仿宋_GBK"/>
                <w:color w:val="auto"/>
                <w:sz w:val="32"/>
                <w:szCs w:val="28"/>
                <w:vertAlign w:val="subscript"/>
              </w:rPr>
            </m:ctrlPr>
          </m:sSubPr>
          <m:e>
            <m:r>
              <w:rPr>
                <w:rFonts w:ascii="Cambria Math" w:hAnsi="Cambria Math" w:eastAsia="方正仿宋_GBK"/>
                <w:color w:val="auto"/>
                <w:sz w:val="32"/>
                <w:szCs w:val="28"/>
                <w:vertAlign w:val="subscript"/>
              </w:rPr>
              <m:t>λ</m:t>
            </m:r>
            <m:ctrlPr>
              <w:rPr>
                <w:rFonts w:ascii="Cambria Math" w:hAnsi="Cambria Math" w:eastAsia="方正仿宋_GBK"/>
                <w:color w:val="auto"/>
                <w:sz w:val="32"/>
                <w:szCs w:val="28"/>
                <w:vertAlign w:val="subscript"/>
              </w:rPr>
            </m:ctrlPr>
          </m:e>
          <m:sub>
            <m:r>
              <w:rPr>
                <w:rFonts w:ascii="Cambria Math" w:hAnsi="Cambria Math" w:eastAsia="方正仿宋_GBK"/>
                <w:color w:val="auto"/>
                <w:sz w:val="32"/>
                <w:szCs w:val="28"/>
                <w:vertAlign w:val="subscript"/>
              </w:rPr>
              <m:t>di</m:t>
            </m:r>
            <m:ctrlPr>
              <w:rPr>
                <w:rFonts w:ascii="Cambria Math" w:hAnsi="Cambria Math" w:eastAsia="方正仿宋_GBK"/>
                <w:color w:val="auto"/>
                <w:sz w:val="32"/>
                <w:szCs w:val="28"/>
                <w:vertAlign w:val="subscript"/>
              </w:rPr>
            </m:ctrlPr>
          </m:sub>
        </m:sSub>
      </m:oMath>
      <w:r>
        <w:rPr>
          <w:rFonts w:eastAsia="方正仿宋_GBK"/>
          <w:i/>
          <w:color w:val="auto"/>
          <w:sz w:val="32"/>
          <w:szCs w:val="28"/>
        </w:rPr>
        <w:t>—</w:t>
      </w:r>
      <w:r>
        <w:rPr>
          <w:rFonts w:eastAsia="方正仿宋_GBK"/>
          <w:color w:val="auto"/>
          <w:sz w:val="32"/>
          <w:szCs w:val="32"/>
        </w:rPr>
        <w:t>某一区域第</w:t>
      </w:r>
      <w:r>
        <w:rPr>
          <w:rFonts w:eastAsia="方正仿宋_GBK"/>
          <w:i/>
          <w:color w:val="auto"/>
          <w:sz w:val="32"/>
          <w:szCs w:val="32"/>
        </w:rPr>
        <w:t>i</w:t>
      </w:r>
      <w:r>
        <w:rPr>
          <w:rFonts w:eastAsia="方正仿宋_GBK"/>
          <w:color w:val="auto"/>
          <w:sz w:val="32"/>
          <w:szCs w:val="32"/>
        </w:rPr>
        <w:t>种农作物的草谷比；</w:t>
      </w:r>
    </w:p>
    <w:p>
      <w:pPr>
        <w:tabs>
          <w:tab w:val="center" w:pos="4201"/>
          <w:tab w:val="right" w:leader="dot" w:pos="9298"/>
        </w:tabs>
        <w:autoSpaceDE w:val="0"/>
        <w:autoSpaceDN w:val="0"/>
        <w:ind w:firstLine="640" w:firstLineChars="200"/>
        <w:rPr>
          <w:rFonts w:eastAsia="方正仿宋_GBK"/>
          <w:i/>
          <w:color w:val="auto"/>
          <w:sz w:val="32"/>
          <w:szCs w:val="28"/>
        </w:rPr>
      </w:pPr>
      <w:r>
        <w:rPr>
          <w:rFonts w:eastAsia="方正仿宋_GBK"/>
          <w:i/>
          <w:color w:val="auto"/>
          <w:sz w:val="32"/>
          <w:szCs w:val="28"/>
        </w:rPr>
        <w:t>k—</w:t>
      </w:r>
      <w:r>
        <w:rPr>
          <w:rFonts w:eastAsia="方正仿宋_GBK"/>
          <w:color w:val="auto"/>
          <w:sz w:val="32"/>
          <w:szCs w:val="32"/>
        </w:rPr>
        <w:t>进行实采实测的调查地块编号，</w:t>
      </w:r>
      <w:r>
        <w:rPr>
          <w:rFonts w:eastAsia="方正仿宋_GBK"/>
          <w:i/>
          <w:color w:val="auto"/>
          <w:sz w:val="32"/>
          <w:szCs w:val="28"/>
        </w:rPr>
        <w:t>k=1，2，…，m。</w:t>
      </w:r>
    </w:p>
    <w:p>
      <w:pPr>
        <w:jc w:val="left"/>
        <w:rPr>
          <w:rFonts w:eastAsia="方正楷体_GBK"/>
          <w:b/>
          <w:bCs/>
          <w:color w:val="auto"/>
          <w:sz w:val="32"/>
          <w:szCs w:val="32"/>
        </w:rPr>
      </w:pPr>
      <w:bookmarkStart w:id="458" w:name="_Toc100668664"/>
      <w:bookmarkStart w:id="459" w:name="_Toc24852"/>
      <w:bookmarkStart w:id="460" w:name="_Toc2677"/>
      <w:bookmarkStart w:id="461" w:name="_Toc117259237"/>
      <w:bookmarkStart w:id="462" w:name="_Toc105422658"/>
      <w:bookmarkStart w:id="463" w:name="_Toc25576"/>
      <w:bookmarkStart w:id="464" w:name="_Toc100668785"/>
      <w:bookmarkStart w:id="465" w:name="_Toc9997"/>
      <w:r>
        <w:rPr>
          <w:rFonts w:eastAsia="方正楷体_GBK"/>
          <w:b/>
          <w:bCs/>
          <w:color w:val="auto"/>
          <w:sz w:val="32"/>
          <w:szCs w:val="32"/>
        </w:rPr>
        <w:t>五、秸秆可收集系数监测基本流程</w:t>
      </w:r>
      <w:bookmarkEnd w:id="458"/>
      <w:bookmarkEnd w:id="459"/>
      <w:bookmarkEnd w:id="460"/>
      <w:bookmarkEnd w:id="461"/>
      <w:bookmarkEnd w:id="462"/>
      <w:bookmarkEnd w:id="463"/>
      <w:bookmarkEnd w:id="464"/>
      <w:bookmarkEnd w:id="465"/>
    </w:p>
    <w:p>
      <w:pPr>
        <w:pStyle w:val="13"/>
        <w:spacing w:line="600" w:lineRule="exact"/>
        <w:ind w:firstLine="640"/>
        <w:rPr>
          <w:rFonts w:eastAsia="方正仿宋_GBK"/>
          <w:color w:val="auto"/>
          <w:sz w:val="32"/>
          <w:szCs w:val="48"/>
        </w:rPr>
      </w:pPr>
      <w:r>
        <w:rPr>
          <w:rFonts w:eastAsia="方正仿宋_GBK"/>
          <w:color w:val="auto"/>
          <w:sz w:val="32"/>
          <w:szCs w:val="48"/>
        </w:rPr>
        <w:t>秸秆可收集系数监测主要包括以下几个步骤：测定材料准备、抽样村镇选取、作物株高实测、割茬高度实测、枝叶损失率测定、可收集系数核算。</w:t>
      </w:r>
    </w:p>
    <w:p>
      <w:pPr>
        <w:spacing w:before="156" w:beforeLines="50" w:after="156" w:afterLines="50" w:line="360" w:lineRule="auto"/>
        <w:jc w:val="center"/>
        <w:rPr>
          <w:rFonts w:eastAsia="方正仿宋_GBK"/>
          <w:color w:val="auto"/>
          <w:szCs w:val="32"/>
        </w:rPr>
      </w:pPr>
      <w:r>
        <w:rPr>
          <w:rFonts w:eastAsia="方正仿宋_GBK"/>
          <w:color w:val="auto"/>
          <w:szCs w:val="32"/>
        </w:rPr>
        <w:drawing>
          <wp:inline distT="0" distB="0" distL="0" distR="0">
            <wp:extent cx="4175760" cy="10071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176000" cy="1007161"/>
                    </a:xfrm>
                    <a:prstGeom prst="rect">
                      <a:avLst/>
                    </a:prstGeom>
                    <a:noFill/>
                  </pic:spPr>
                </pic:pic>
              </a:graphicData>
            </a:graphic>
          </wp:inline>
        </w:drawing>
      </w:r>
    </w:p>
    <w:p>
      <w:pPr>
        <w:spacing w:before="156" w:beforeLines="50" w:after="156" w:afterLines="50" w:line="360" w:lineRule="auto"/>
        <w:jc w:val="center"/>
        <w:rPr>
          <w:rFonts w:eastAsia="方正仿宋_GBK"/>
          <w:b/>
          <w:color w:val="auto"/>
          <w:sz w:val="28"/>
          <w:szCs w:val="32"/>
        </w:rPr>
      </w:pPr>
      <w:r>
        <w:rPr>
          <w:rFonts w:eastAsia="方正仿宋_GBK"/>
          <w:b/>
          <w:color w:val="auto"/>
          <w:sz w:val="28"/>
          <w:szCs w:val="32"/>
        </w:rPr>
        <w:t>图6 秸秆可收集系数监测基本流程</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466" w:name="_Toc105422659"/>
      <w:bookmarkStart w:id="467" w:name="_Toc24730"/>
      <w:bookmarkStart w:id="468" w:name="_Toc117259238"/>
      <w:bookmarkStart w:id="469" w:name="_Toc100668786"/>
      <w:bookmarkStart w:id="470" w:name="_Toc197"/>
      <w:bookmarkStart w:id="471" w:name="_Toc28364"/>
      <w:bookmarkStart w:id="472" w:name="_Toc5657"/>
      <w:bookmarkStart w:id="473" w:name="_Toc16257"/>
      <w:bookmarkStart w:id="474" w:name="_Toc100668665"/>
      <w:bookmarkStart w:id="475" w:name="_Toc876"/>
      <w:r>
        <w:rPr>
          <w:rFonts w:ascii="Times New Roman" w:eastAsia="方正仿宋_GBK"/>
          <w:b/>
          <w:bCs/>
          <w:color w:val="auto"/>
          <w:kern w:val="2"/>
          <w:sz w:val="32"/>
          <w:szCs w:val="32"/>
        </w:rPr>
        <w:t>（一）测量材料准备</w:t>
      </w:r>
      <w:bookmarkEnd w:id="466"/>
      <w:bookmarkEnd w:id="467"/>
      <w:bookmarkEnd w:id="468"/>
      <w:bookmarkEnd w:id="469"/>
      <w:bookmarkEnd w:id="470"/>
      <w:bookmarkEnd w:id="471"/>
      <w:bookmarkEnd w:id="472"/>
      <w:bookmarkEnd w:id="473"/>
      <w:bookmarkEnd w:id="474"/>
      <w:bookmarkEnd w:id="475"/>
    </w:p>
    <w:p>
      <w:pPr>
        <w:widowControl/>
        <w:spacing w:line="600" w:lineRule="exact"/>
        <w:ind w:firstLine="640" w:firstLineChars="200"/>
        <w:jc w:val="left"/>
        <w:rPr>
          <w:rFonts w:eastAsia="方正仿宋_GBK"/>
          <w:color w:val="auto"/>
          <w:sz w:val="32"/>
          <w:szCs w:val="32"/>
        </w:rPr>
      </w:pPr>
      <w:r>
        <w:rPr>
          <w:rFonts w:eastAsia="方正仿宋_GBK"/>
          <w:color w:val="auto"/>
          <w:sz w:val="32"/>
          <w:szCs w:val="32"/>
        </w:rPr>
        <w:t>米尺、测框、标签、计算器、GPS定位仪等</w:t>
      </w:r>
      <w:r>
        <w:rPr>
          <w:rFonts w:eastAsia="方正仿宋_GBK"/>
          <w:color w:val="auto"/>
          <w:szCs w:val="32"/>
        </w:rPr>
        <w:t>。</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476" w:name="_Toc100668666"/>
      <w:bookmarkStart w:id="477" w:name="_Toc32018"/>
      <w:bookmarkStart w:id="478" w:name="_Toc22877"/>
      <w:bookmarkStart w:id="479" w:name="_Toc32440"/>
      <w:bookmarkStart w:id="480" w:name="_Toc2245"/>
      <w:bookmarkStart w:id="481" w:name="_Toc11910"/>
      <w:bookmarkStart w:id="482" w:name="_Toc117259239"/>
      <w:bookmarkStart w:id="483" w:name="_Toc4385"/>
      <w:bookmarkStart w:id="484" w:name="_Toc105422660"/>
      <w:bookmarkStart w:id="485" w:name="_Toc100668787"/>
      <w:r>
        <w:rPr>
          <w:rFonts w:ascii="Times New Roman" w:eastAsia="方正仿宋_GBK"/>
          <w:b/>
          <w:bCs/>
          <w:color w:val="auto"/>
          <w:kern w:val="2"/>
          <w:sz w:val="32"/>
          <w:szCs w:val="32"/>
        </w:rPr>
        <w:t>（二）抽样村镇选取</w:t>
      </w:r>
      <w:bookmarkEnd w:id="476"/>
      <w:bookmarkEnd w:id="477"/>
      <w:bookmarkEnd w:id="478"/>
      <w:bookmarkEnd w:id="479"/>
      <w:bookmarkEnd w:id="480"/>
      <w:bookmarkEnd w:id="481"/>
      <w:bookmarkEnd w:id="482"/>
      <w:bookmarkEnd w:id="483"/>
      <w:bookmarkEnd w:id="484"/>
      <w:bookmarkEnd w:id="485"/>
    </w:p>
    <w:p>
      <w:pPr>
        <w:pStyle w:val="13"/>
        <w:spacing w:line="600" w:lineRule="exact"/>
        <w:ind w:firstLine="640"/>
        <w:rPr>
          <w:rFonts w:eastAsia="方正仿宋_GBK"/>
          <w:color w:val="auto"/>
          <w:sz w:val="32"/>
          <w:szCs w:val="48"/>
        </w:rPr>
      </w:pPr>
      <w:r>
        <w:rPr>
          <w:rFonts w:eastAsia="方正仿宋_GBK"/>
          <w:color w:val="auto"/>
          <w:sz w:val="32"/>
          <w:szCs w:val="48"/>
        </w:rPr>
        <w:t>秸秆可收集系数调查村与农作物草谷比监测选取村镇保持一致。</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486" w:name="_Toc22879"/>
      <w:bookmarkStart w:id="487" w:name="_Toc29873"/>
      <w:bookmarkStart w:id="488" w:name="_Toc100668667"/>
      <w:bookmarkStart w:id="489" w:name="_Toc8186"/>
      <w:bookmarkStart w:id="490" w:name="_Toc117259240"/>
      <w:bookmarkStart w:id="491" w:name="_Toc105422661"/>
      <w:bookmarkStart w:id="492" w:name="_Toc576"/>
      <w:bookmarkStart w:id="493" w:name="_Toc5703"/>
      <w:bookmarkStart w:id="494" w:name="_Toc2241"/>
      <w:bookmarkStart w:id="495" w:name="_Toc100668788"/>
      <w:r>
        <w:rPr>
          <w:rFonts w:ascii="Times New Roman" w:eastAsia="方正仿宋_GBK"/>
          <w:b/>
          <w:bCs/>
          <w:color w:val="auto"/>
          <w:kern w:val="2"/>
          <w:sz w:val="32"/>
          <w:szCs w:val="32"/>
        </w:rPr>
        <w:t>（三）农作物株高实测</w:t>
      </w:r>
      <w:bookmarkEnd w:id="486"/>
      <w:bookmarkEnd w:id="487"/>
      <w:bookmarkEnd w:id="488"/>
      <w:bookmarkEnd w:id="489"/>
      <w:bookmarkEnd w:id="490"/>
      <w:bookmarkEnd w:id="491"/>
      <w:bookmarkEnd w:id="492"/>
      <w:bookmarkEnd w:id="493"/>
      <w:bookmarkEnd w:id="494"/>
      <w:bookmarkEnd w:id="495"/>
    </w:p>
    <w:p>
      <w:pPr>
        <w:pStyle w:val="13"/>
        <w:spacing w:line="600" w:lineRule="exact"/>
        <w:ind w:firstLine="640"/>
        <w:rPr>
          <w:rFonts w:eastAsia="方正仿宋_GBK"/>
          <w:color w:val="auto"/>
          <w:sz w:val="32"/>
          <w:szCs w:val="48"/>
        </w:rPr>
      </w:pPr>
      <w:r>
        <w:rPr>
          <w:rFonts w:eastAsia="方正仿宋_GBK"/>
          <w:color w:val="auto"/>
          <w:sz w:val="32"/>
          <w:szCs w:val="48"/>
        </w:rPr>
        <w:t>在调查村选取10个典型地块，每个典型地块宜用五点法确定测量点位（如图3），每点位取样面积为1m</w:t>
      </w:r>
      <w:r>
        <w:rPr>
          <w:rFonts w:eastAsia="方正仿宋_GBK"/>
          <w:color w:val="auto"/>
          <w:sz w:val="32"/>
          <w:szCs w:val="48"/>
          <w:vertAlign w:val="superscript"/>
        </w:rPr>
        <w:t>2</w:t>
      </w:r>
      <w:r>
        <w:rPr>
          <w:rFonts w:eastAsia="方正仿宋_GBK"/>
          <w:color w:val="auto"/>
          <w:sz w:val="32"/>
          <w:szCs w:val="48"/>
        </w:rPr>
        <w:t>，随机测10株（丛），测量每株农作物株高，计算算术平均值并记录，记录表见附件4。</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496" w:name="_Toc21267"/>
      <w:bookmarkStart w:id="497" w:name="_Toc100668789"/>
      <w:bookmarkStart w:id="498" w:name="_Toc117259241"/>
      <w:bookmarkStart w:id="499" w:name="_Toc5203"/>
      <w:bookmarkStart w:id="500" w:name="_Toc31366"/>
      <w:bookmarkStart w:id="501" w:name="_Toc5119"/>
      <w:bookmarkStart w:id="502" w:name="_Toc105422662"/>
      <w:bookmarkStart w:id="503" w:name="_Toc15490"/>
      <w:bookmarkStart w:id="504" w:name="_Toc11433"/>
      <w:bookmarkStart w:id="505" w:name="_Toc100668668"/>
      <w:r>
        <w:rPr>
          <w:rFonts w:ascii="Times New Roman" w:eastAsia="方正仿宋_GBK"/>
          <w:b/>
          <w:bCs/>
          <w:color w:val="auto"/>
          <w:kern w:val="2"/>
          <w:sz w:val="32"/>
          <w:szCs w:val="32"/>
        </w:rPr>
        <w:t>（四）割茬高度实测</w:t>
      </w:r>
      <w:bookmarkEnd w:id="496"/>
      <w:bookmarkEnd w:id="497"/>
      <w:bookmarkEnd w:id="498"/>
      <w:bookmarkEnd w:id="499"/>
      <w:bookmarkEnd w:id="500"/>
      <w:bookmarkEnd w:id="501"/>
      <w:bookmarkEnd w:id="502"/>
      <w:bookmarkEnd w:id="503"/>
      <w:bookmarkEnd w:id="504"/>
      <w:bookmarkEnd w:id="505"/>
    </w:p>
    <w:p>
      <w:pPr>
        <w:pStyle w:val="13"/>
        <w:spacing w:line="600" w:lineRule="exact"/>
        <w:ind w:firstLine="640"/>
        <w:rPr>
          <w:rFonts w:eastAsia="方正仿宋_GBK"/>
          <w:color w:val="auto"/>
          <w:sz w:val="32"/>
          <w:szCs w:val="48"/>
        </w:rPr>
      </w:pPr>
      <w:r>
        <w:rPr>
          <w:rFonts w:eastAsia="方正仿宋_GBK"/>
          <w:color w:val="auto"/>
          <w:sz w:val="32"/>
          <w:szCs w:val="48"/>
        </w:rPr>
        <w:t>在调查村，分别选取机械收获和人工收获的典型地块各10个，测量两种收获方式下农作物秸秆的割茬高度。每个典型地块宜用五点法确定测量点位（如图3），每点位取样面积为1m</w:t>
      </w:r>
      <w:r>
        <w:rPr>
          <w:rFonts w:eastAsia="方正仿宋_GBK"/>
          <w:color w:val="auto"/>
          <w:sz w:val="32"/>
          <w:szCs w:val="48"/>
          <w:vertAlign w:val="superscript"/>
        </w:rPr>
        <w:t>2</w:t>
      </w:r>
      <w:r>
        <w:rPr>
          <w:rFonts w:eastAsia="方正仿宋_GBK"/>
          <w:color w:val="auto"/>
          <w:sz w:val="32"/>
          <w:szCs w:val="48"/>
        </w:rPr>
        <w:t>，随机测10株（丛），计算算术平均值并记录，记录表见附件4。</w:t>
      </w:r>
    </w:p>
    <w:p>
      <w:pPr>
        <w:pStyle w:val="13"/>
        <w:spacing w:line="600" w:lineRule="exact"/>
        <w:ind w:firstLine="640"/>
        <w:rPr>
          <w:rFonts w:eastAsia="方正仿宋_GBK"/>
          <w:color w:val="auto"/>
          <w:sz w:val="32"/>
          <w:szCs w:val="48"/>
        </w:rPr>
      </w:pPr>
      <w:r>
        <w:rPr>
          <w:rFonts w:eastAsia="方正仿宋_GBK"/>
          <w:color w:val="auto"/>
          <w:sz w:val="32"/>
          <w:szCs w:val="48"/>
        </w:rPr>
        <w:t>马铃薯秧、甘薯秧、花生秧、木薯秸秆和大豆秸秆的割茬高度可按照0cm进行计算。</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506" w:name="_Toc26601"/>
      <w:bookmarkStart w:id="507" w:name="_Toc32388"/>
      <w:bookmarkStart w:id="508" w:name="_Toc22743"/>
      <w:bookmarkStart w:id="509" w:name="_Toc29343"/>
      <w:bookmarkStart w:id="510" w:name="_Toc100668790"/>
      <w:bookmarkStart w:id="511" w:name="_Toc32381"/>
      <w:bookmarkStart w:id="512" w:name="_Toc100668669"/>
      <w:bookmarkStart w:id="513" w:name="_Toc117259242"/>
      <w:bookmarkStart w:id="514" w:name="_Toc10018"/>
      <w:bookmarkStart w:id="515" w:name="_Toc105422663"/>
      <w:r>
        <w:rPr>
          <w:rFonts w:ascii="Times New Roman" w:eastAsia="方正仿宋_GBK"/>
          <w:b/>
          <w:bCs/>
          <w:color w:val="auto"/>
          <w:kern w:val="2"/>
          <w:sz w:val="32"/>
          <w:szCs w:val="32"/>
        </w:rPr>
        <w:t>（五）枝叶损失率测定</w:t>
      </w:r>
      <w:bookmarkEnd w:id="506"/>
      <w:bookmarkEnd w:id="507"/>
      <w:bookmarkEnd w:id="508"/>
      <w:bookmarkEnd w:id="509"/>
      <w:bookmarkEnd w:id="510"/>
      <w:bookmarkEnd w:id="511"/>
      <w:bookmarkEnd w:id="512"/>
      <w:bookmarkEnd w:id="513"/>
      <w:bookmarkEnd w:id="514"/>
      <w:bookmarkEnd w:id="515"/>
    </w:p>
    <w:p>
      <w:pPr>
        <w:pStyle w:val="13"/>
        <w:spacing w:line="600" w:lineRule="exact"/>
        <w:ind w:firstLine="640"/>
        <w:rPr>
          <w:rFonts w:eastAsia="方正仿宋_GBK"/>
          <w:color w:val="auto"/>
          <w:sz w:val="32"/>
          <w:szCs w:val="48"/>
          <w:highlight w:val="yellow"/>
        </w:rPr>
      </w:pPr>
      <w:r>
        <w:rPr>
          <w:rFonts w:eastAsia="方正仿宋_GBK"/>
          <w:color w:val="auto"/>
          <w:sz w:val="32"/>
          <w:szCs w:val="48"/>
        </w:rPr>
        <w:t>实地调查测定秸秆收集过程中的枝叶损失率，测定方法按照GB/T 25423中有关捡拾损失率的测定方法执行（即测定前将打捆机上的碎秸秆等清理干净，在秸秆条左侧地面铺上塑料布或帆布、牵引梁、打结器底板和放捆板上的碎秸秆收集起来，称其重量。计算方法：捡拾损失率是指捡拾器漏拾秸秆质量占测定地段全长上秸秆质量的百分比），记录测定结果，记录表见表附件4。</w:t>
      </w:r>
    </w:p>
    <w:p>
      <w:pPr>
        <w:pStyle w:val="16"/>
        <w:adjustRightInd w:val="0"/>
        <w:snapToGrid w:val="0"/>
        <w:spacing w:beforeLines="0" w:afterLines="0" w:line="600" w:lineRule="exact"/>
        <w:ind w:firstLine="643" w:firstLineChars="200"/>
        <w:outlineLvl w:val="9"/>
        <w:rPr>
          <w:rFonts w:ascii="Times New Roman" w:eastAsia="方正仿宋_GBK"/>
          <w:b/>
          <w:bCs/>
          <w:color w:val="auto"/>
          <w:kern w:val="2"/>
          <w:sz w:val="32"/>
          <w:szCs w:val="32"/>
        </w:rPr>
      </w:pPr>
      <w:bookmarkStart w:id="516" w:name="_Toc100668791"/>
      <w:bookmarkStart w:id="517" w:name="_Toc100668670"/>
      <w:bookmarkStart w:id="518" w:name="_Toc6819"/>
      <w:bookmarkStart w:id="519" w:name="_Toc16958"/>
      <w:bookmarkStart w:id="520" w:name="_Toc28785"/>
      <w:bookmarkStart w:id="521" w:name="_Toc5923"/>
      <w:bookmarkStart w:id="522" w:name="_Toc117259243"/>
      <w:bookmarkStart w:id="523" w:name="_Toc7032"/>
      <w:bookmarkStart w:id="524" w:name="_Toc28035"/>
      <w:bookmarkStart w:id="525" w:name="_Toc105422664"/>
      <w:r>
        <w:rPr>
          <w:rFonts w:ascii="Times New Roman" w:eastAsia="方正仿宋_GBK"/>
          <w:b/>
          <w:bCs/>
          <w:color w:val="auto"/>
          <w:kern w:val="2"/>
          <w:sz w:val="32"/>
          <w:szCs w:val="32"/>
        </w:rPr>
        <w:t>（六）可收集系数</w:t>
      </w:r>
      <w:bookmarkEnd w:id="516"/>
      <w:bookmarkEnd w:id="517"/>
      <w:r>
        <w:rPr>
          <w:rFonts w:ascii="Times New Roman" w:eastAsia="方正仿宋_GBK"/>
          <w:b/>
          <w:bCs/>
          <w:color w:val="auto"/>
          <w:kern w:val="2"/>
          <w:sz w:val="32"/>
          <w:szCs w:val="32"/>
        </w:rPr>
        <w:t>核算</w:t>
      </w:r>
      <w:bookmarkEnd w:id="518"/>
      <w:bookmarkEnd w:id="519"/>
      <w:bookmarkEnd w:id="520"/>
      <w:bookmarkEnd w:id="521"/>
      <w:bookmarkEnd w:id="522"/>
      <w:bookmarkEnd w:id="523"/>
      <w:bookmarkEnd w:id="524"/>
      <w:bookmarkEnd w:id="525"/>
    </w:p>
    <w:p>
      <w:pPr>
        <w:pStyle w:val="15"/>
        <w:ind w:left="420" w:firstLine="0" w:firstLineChars="0"/>
        <w:jc w:val="left"/>
        <w:rPr>
          <w:rFonts w:ascii="Times New Roman" w:eastAsia="方正仿宋_GBK"/>
          <w:color w:val="auto"/>
          <w:kern w:val="2"/>
          <w:sz w:val="28"/>
          <w:szCs w:val="32"/>
        </w:rPr>
      </w:pPr>
      <m:oMath>
        <m:sSub>
          <m:sSubPr>
            <m:ctrlPr>
              <w:rPr>
                <w:rFonts w:ascii="Cambria Math" w:hAnsi="Cambria Math" w:eastAsia="方正仿宋_GBK"/>
                <w:color w:val="auto"/>
                <w:kern w:val="2"/>
                <w:sz w:val="28"/>
                <w:szCs w:val="32"/>
              </w:rPr>
            </m:ctrlPr>
          </m:sSubPr>
          <m:e>
            <m:r>
              <w:rPr>
                <w:rFonts w:ascii="Cambria Math" w:hAnsi="Cambria Math" w:eastAsia="方正仿宋_GBK"/>
                <w:color w:val="auto"/>
                <w:kern w:val="2"/>
                <w:sz w:val="28"/>
                <w:szCs w:val="32"/>
              </w:rPr>
              <m:t>η</m:t>
            </m:r>
            <m:ctrlPr>
              <w:rPr>
                <w:rFonts w:ascii="Cambria Math" w:hAnsi="Cambria Math" w:eastAsia="方正仿宋_GBK"/>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color w:val="auto"/>
                <w:kern w:val="2"/>
                <w:sz w:val="28"/>
                <w:szCs w:val="32"/>
              </w:rPr>
            </m:ctrlPr>
          </m:sub>
        </m:sSub>
        <m:r>
          <w:rPr>
            <w:rFonts w:ascii="Cambria Math" w:hAnsi="Cambria Math" w:eastAsia="方正仿宋_GBK"/>
            <w:color w:val="auto"/>
            <w:kern w:val="2"/>
            <w:sz w:val="28"/>
            <w:szCs w:val="32"/>
          </w:rPr>
          <m:t>=[(1</m:t>
        </m:r>
        <m:r>
          <w:rPr>
            <w:rFonts w:ascii="Cambria Math" w:hAnsi="Cambria Math" w:eastAsia="微软雅黑"/>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L</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i,jc</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L</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J</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+(1</m:t>
        </m:r>
        <m:r>
          <w:rPr>
            <w:rFonts w:ascii="Cambria Math" w:hAnsi="Cambria Math" w:eastAsia="微软雅黑"/>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L</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i,sc</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L</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)·(1</m:t>
        </m:r>
        <m:r>
          <w:rPr>
            <w:rFonts w:ascii="Cambria Math" w:hAnsi="Cambria Math" w:eastAsia="微软雅黑"/>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J</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)]·(1</m:t>
        </m:r>
        <m:r>
          <w:rPr>
            <w:rFonts w:ascii="Cambria Math" w:hAnsi="Cambria Math" w:eastAsia="微软雅黑"/>
            <w:color w:val="auto"/>
            <w:kern w:val="2"/>
            <w:sz w:val="28"/>
            <w:szCs w:val="32"/>
          </w:rPr>
          <m:t>−</m:t>
        </m:r>
        <m:sSub>
          <m:sSubPr>
            <m:ctrlPr>
              <w:rPr>
                <w:rFonts w:ascii="Cambria Math" w:hAnsi="Cambria Math" w:eastAsia="方正仿宋_GBK"/>
                <w:i/>
                <w:color w:val="auto"/>
                <w:kern w:val="2"/>
                <w:sz w:val="28"/>
                <w:szCs w:val="32"/>
              </w:rPr>
            </m:ctrlPr>
          </m:sSubPr>
          <m:e>
            <m:r>
              <w:rPr>
                <w:rFonts w:ascii="Cambria Math" w:hAnsi="Cambria Math" w:eastAsia="方正仿宋_GBK"/>
                <w:color w:val="auto"/>
                <w:kern w:val="2"/>
                <w:sz w:val="28"/>
                <w:szCs w:val="32"/>
              </w:rPr>
              <m:t>Z</m:t>
            </m:r>
            <m:ctrlPr>
              <w:rPr>
                <w:rFonts w:ascii="Cambria Math" w:hAnsi="Cambria Math" w:eastAsia="方正仿宋_GBK"/>
                <w:i/>
                <w:color w:val="auto"/>
                <w:kern w:val="2"/>
                <w:sz w:val="28"/>
                <w:szCs w:val="32"/>
              </w:rPr>
            </m:ctrlPr>
          </m:e>
          <m:sub>
            <m:r>
              <w:rPr>
                <w:rFonts w:ascii="Cambria Math" w:hAnsi="Cambria Math" w:eastAsia="方正仿宋_GBK"/>
                <w:color w:val="auto"/>
                <w:kern w:val="2"/>
                <w:sz w:val="28"/>
                <w:szCs w:val="32"/>
              </w:rPr>
              <m:t>i</m:t>
            </m:r>
            <m:ctrlPr>
              <w:rPr>
                <w:rFonts w:ascii="Cambria Math" w:hAnsi="Cambria Math" w:eastAsia="方正仿宋_GBK"/>
                <w:i/>
                <w:color w:val="auto"/>
                <w:kern w:val="2"/>
                <w:sz w:val="28"/>
                <w:szCs w:val="32"/>
              </w:rPr>
            </m:ctrlPr>
          </m:sub>
        </m:sSub>
        <m:r>
          <w:rPr>
            <w:rFonts w:ascii="Cambria Math" w:hAnsi="Cambria Math" w:eastAsia="方正仿宋_GBK"/>
            <w:color w:val="auto"/>
            <w:kern w:val="2"/>
            <w:sz w:val="28"/>
            <w:szCs w:val="32"/>
          </w:rPr>
          <m:t>)</m:t>
        </m:r>
      </m:oMath>
      <w:r>
        <w:rPr>
          <w:rFonts w:ascii="Times New Roman" w:eastAsia="方正仿宋_GBK"/>
          <w:color w:val="auto"/>
          <w:kern w:val="2"/>
          <w:sz w:val="28"/>
          <w:szCs w:val="32"/>
        </w:rPr>
        <w:t xml:space="preserve">  （6）</w:t>
      </w:r>
    </w:p>
    <w:p>
      <w:pPr>
        <w:pStyle w:val="15"/>
        <w:numPr>
          <w:ilvl w:val="0"/>
          <w:numId w:val="1"/>
        </w:numPr>
        <w:ind w:firstLine="640"/>
        <w:rPr>
          <w:rFonts w:ascii="Times New Roman" w:eastAsia="方正仿宋_GBK"/>
          <w:color w:val="auto"/>
          <w:kern w:val="2"/>
          <w:sz w:val="32"/>
          <w:szCs w:val="32"/>
        </w:rPr>
      </w:pPr>
      <w:r>
        <w:rPr>
          <w:rFonts w:ascii="Times New Roman" w:eastAsia="方正仿宋_GBK"/>
          <w:color w:val="auto"/>
          <w:kern w:val="2"/>
          <w:sz w:val="32"/>
          <w:szCs w:val="32"/>
        </w:rPr>
        <w:t>式中：</w:t>
      </w:r>
    </w:p>
    <w:p>
      <w:pPr>
        <w:pStyle w:val="15"/>
        <w:numPr>
          <w:ilvl w:val="0"/>
          <w:numId w:val="1"/>
        </w:numPr>
        <w:tabs>
          <w:tab w:val="center" w:pos="4201"/>
          <w:tab w:val="right" w:leader="dot" w:pos="9298"/>
        </w:tabs>
        <w:ind w:firstLine="640"/>
        <w:rPr>
          <w:rFonts w:ascii="Times New Roman" w:eastAsia="方正仿宋_GBK"/>
          <w:color w:val="auto"/>
          <w:kern w:val="2"/>
          <w:sz w:val="32"/>
          <w:szCs w:val="32"/>
        </w:rPr>
      </w:pPr>
      <m:oMath>
        <m:sSub>
          <w:bookmarkStart w:id="526" w:name="OLE_LINK7"/>
          <m:sSubPr>
            <m:ctrlPr>
              <w:rPr>
                <w:rFonts w:ascii="Cambria Math" w:hAnsi="Cambria Math" w:eastAsia="方正仿宋_GBK"/>
                <w:color w:val="auto"/>
                <w:kern w:val="2"/>
                <w:sz w:val="32"/>
                <w:szCs w:val="32"/>
              </w:rPr>
            </m:ctrlPr>
          </m:sSubPr>
          <m:e>
            <m:r>
              <w:rPr>
                <w:rFonts w:ascii="Cambria Math" w:hAnsi="Cambria Math" w:eastAsia="方正仿宋_GBK"/>
                <w:color w:val="auto"/>
                <w:kern w:val="2"/>
                <w:sz w:val="32"/>
                <w:szCs w:val="32"/>
              </w:rPr>
              <m:t>η</m:t>
            </m:r>
            <m:ctrlPr>
              <w:rPr>
                <w:rFonts w:ascii="Cambria Math" w:hAnsi="Cambria Math" w:eastAsia="方正仿宋_GBK"/>
                <w:color w:val="auto"/>
                <w:kern w:val="2"/>
                <w:sz w:val="32"/>
                <w:szCs w:val="32"/>
              </w:rPr>
            </m:ctrlPr>
          </m:e>
          <m:sub>
            <m:r>
              <w:rPr>
                <w:rFonts w:ascii="Cambria Math" w:hAnsi="Cambria Math" w:eastAsia="方正仿宋_GBK"/>
                <w:color w:val="auto"/>
                <w:kern w:val="2"/>
                <w:sz w:val="32"/>
                <w:szCs w:val="32"/>
              </w:rPr>
              <m:t>i</m:t>
            </m:r>
            <m:ctrlPr>
              <w:rPr>
                <w:rFonts w:ascii="Cambria Math" w:hAnsi="Cambria Math" w:eastAsia="方正仿宋_GBK"/>
                <w:color w:val="auto"/>
                <w:kern w:val="2"/>
                <w:sz w:val="32"/>
                <w:szCs w:val="32"/>
              </w:rPr>
            </m:ctrlPr>
          </m:sub>
        </m:sSub>
      </m:oMath>
      <w:r>
        <w:rPr>
          <w:rFonts w:ascii="Times New Roman" w:eastAsia="方正仿宋_GBK"/>
          <w:color w:val="auto"/>
          <w:kern w:val="2"/>
          <w:sz w:val="32"/>
          <w:szCs w:val="32"/>
        </w:rPr>
        <w:t>—某一地区第</w:t>
      </w:r>
      <w:r>
        <w:rPr>
          <w:rFonts w:ascii="Times New Roman" w:eastAsia="方正仿宋_GBK"/>
          <w:i/>
          <w:color w:val="auto"/>
          <w:kern w:val="2"/>
          <w:sz w:val="32"/>
          <w:szCs w:val="32"/>
        </w:rPr>
        <w:t>i</w:t>
      </w:r>
      <w:r>
        <w:rPr>
          <w:rFonts w:ascii="Times New Roman" w:eastAsia="方正仿宋_GBK"/>
          <w:color w:val="auto"/>
          <w:kern w:val="2"/>
          <w:sz w:val="32"/>
          <w:szCs w:val="32"/>
        </w:rPr>
        <w:t>种农作物秸秆的可收集系数；</w:t>
      </w:r>
    </w:p>
    <w:p>
      <w:pPr>
        <w:pStyle w:val="15"/>
        <w:numPr>
          <w:ilvl w:val="0"/>
          <w:numId w:val="1"/>
        </w:numPr>
        <w:ind w:firstLine="640"/>
        <w:rPr>
          <w:rFonts w:ascii="Times New Roman" w:eastAsia="方正仿宋_GBK"/>
          <w:color w:val="auto"/>
          <w:kern w:val="2"/>
          <w:sz w:val="32"/>
          <w:szCs w:val="32"/>
        </w:rPr>
      </w:pPr>
      <m:oMath>
        <m:sSub>
          <m:sSubPr>
            <m:ctrlPr>
              <w:rPr>
                <w:rFonts w:ascii="Cambria Math" w:hAnsi="Cambria Math" w:eastAsia="方正仿宋_GBK"/>
                <w:i/>
                <w:color w:val="auto"/>
                <w:kern w:val="2"/>
                <w:sz w:val="32"/>
                <w:szCs w:val="32"/>
              </w:rPr>
            </m:ctrlPr>
          </m:sSubPr>
          <m:e>
            <m:r>
              <w:rPr>
                <w:rFonts w:ascii="Cambria Math" w:hAnsi="Cambria Math" w:eastAsia="方正仿宋_GBK"/>
                <w:color w:val="auto"/>
                <w:kern w:val="2"/>
                <w:sz w:val="32"/>
                <w:szCs w:val="32"/>
              </w:rPr>
              <m:t>L</m:t>
            </m:r>
            <m:ctrlPr>
              <w:rPr>
                <w:rFonts w:ascii="Cambria Math" w:hAnsi="Cambria Math" w:eastAsia="方正仿宋_GBK"/>
                <w:i/>
                <w:color w:val="auto"/>
                <w:kern w:val="2"/>
                <w:sz w:val="32"/>
                <w:szCs w:val="32"/>
              </w:rPr>
            </m:ctrlPr>
          </m:e>
          <m:sub>
            <m:r>
              <w:rPr>
                <w:rFonts w:ascii="Cambria Math" w:hAnsi="Cambria Math" w:eastAsia="方正仿宋_GBK"/>
                <w:color w:val="auto"/>
                <w:kern w:val="2"/>
                <w:sz w:val="32"/>
                <w:szCs w:val="32"/>
              </w:rPr>
              <m:t>i</m:t>
            </m:r>
            <m:ctrlPr>
              <w:rPr>
                <w:rFonts w:ascii="Cambria Math" w:hAnsi="Cambria Math" w:eastAsia="方正仿宋_GBK"/>
                <w:i/>
                <w:color w:val="auto"/>
                <w:kern w:val="2"/>
                <w:sz w:val="32"/>
                <w:szCs w:val="32"/>
              </w:rPr>
            </m:ctrlPr>
          </m:sub>
        </m:sSub>
      </m:oMath>
      <w:r>
        <w:rPr>
          <w:rFonts w:ascii="Times New Roman" w:eastAsia="方正仿宋_GBK"/>
          <w:color w:val="auto"/>
          <w:kern w:val="2"/>
          <w:sz w:val="32"/>
          <w:szCs w:val="32"/>
        </w:rPr>
        <w:t>—第</w:t>
      </w:r>
      <w:r>
        <w:rPr>
          <w:rFonts w:ascii="Times New Roman" w:eastAsia="方正仿宋_GBK"/>
          <w:i/>
          <w:color w:val="auto"/>
          <w:kern w:val="2"/>
          <w:sz w:val="32"/>
          <w:szCs w:val="32"/>
        </w:rPr>
        <w:t>i</w:t>
      </w:r>
      <w:r>
        <w:rPr>
          <w:rFonts w:ascii="Times New Roman" w:eastAsia="方正仿宋_GBK"/>
          <w:color w:val="auto"/>
          <w:kern w:val="2"/>
          <w:sz w:val="32"/>
          <w:szCs w:val="32"/>
        </w:rPr>
        <w:t>种农作物该区域的平均株高，单位为厘米（cm）；</w:t>
      </w:r>
    </w:p>
    <w:p>
      <w:pPr>
        <w:pStyle w:val="15"/>
        <w:numPr>
          <w:ilvl w:val="0"/>
          <w:numId w:val="1"/>
        </w:numPr>
        <w:ind w:firstLine="640"/>
        <w:rPr>
          <w:rFonts w:ascii="Times New Roman" w:eastAsia="方正仿宋_GBK"/>
          <w:color w:val="auto"/>
          <w:kern w:val="2"/>
          <w:sz w:val="32"/>
          <w:szCs w:val="32"/>
        </w:rPr>
      </w:pPr>
      <m:oMath>
        <m:sSub>
          <m:sSubPr>
            <m:ctrlPr>
              <w:rPr>
                <w:rFonts w:ascii="Cambria Math" w:hAnsi="Cambria Math" w:eastAsia="方正仿宋_GBK"/>
                <w:i/>
                <w:color w:val="auto"/>
                <w:kern w:val="2"/>
                <w:sz w:val="32"/>
                <w:szCs w:val="32"/>
              </w:rPr>
            </m:ctrlPr>
          </m:sSubPr>
          <m:e>
            <m:r>
              <w:rPr>
                <w:rFonts w:ascii="Cambria Math" w:hAnsi="Cambria Math" w:eastAsia="方正仿宋_GBK"/>
                <w:color w:val="auto"/>
                <w:kern w:val="2"/>
                <w:sz w:val="32"/>
                <w:szCs w:val="32"/>
              </w:rPr>
              <m:t>L</m:t>
            </m:r>
            <m:ctrlPr>
              <w:rPr>
                <w:rFonts w:ascii="Cambria Math" w:hAnsi="Cambria Math" w:eastAsia="方正仿宋_GBK"/>
                <w:i/>
                <w:color w:val="auto"/>
                <w:kern w:val="2"/>
                <w:sz w:val="32"/>
                <w:szCs w:val="32"/>
              </w:rPr>
            </m:ctrlPr>
          </m:e>
          <m:sub>
            <m:r>
              <w:rPr>
                <w:rFonts w:ascii="Cambria Math" w:hAnsi="Cambria Math" w:eastAsia="方正仿宋_GBK"/>
                <w:color w:val="auto"/>
                <w:kern w:val="2"/>
                <w:sz w:val="32"/>
                <w:szCs w:val="32"/>
              </w:rPr>
              <m:t>i,jc</m:t>
            </m:r>
            <m:ctrlPr>
              <w:rPr>
                <w:rFonts w:ascii="Cambria Math" w:hAnsi="Cambria Math" w:eastAsia="方正仿宋_GBK"/>
                <w:i/>
                <w:color w:val="auto"/>
                <w:kern w:val="2"/>
                <w:sz w:val="32"/>
                <w:szCs w:val="32"/>
              </w:rPr>
            </m:ctrlPr>
          </m:sub>
        </m:sSub>
      </m:oMath>
      <w:r>
        <w:rPr>
          <w:rFonts w:ascii="Times New Roman" w:eastAsia="方正仿宋_GBK"/>
          <w:color w:val="auto"/>
          <w:kern w:val="2"/>
          <w:sz w:val="32"/>
          <w:szCs w:val="32"/>
        </w:rPr>
        <w:t>—机械收获时，第</w:t>
      </w:r>
      <w:r>
        <w:rPr>
          <w:rFonts w:ascii="Times New Roman" w:eastAsia="方正仿宋_GBK"/>
          <w:i/>
          <w:color w:val="auto"/>
          <w:kern w:val="2"/>
          <w:sz w:val="32"/>
          <w:szCs w:val="32"/>
        </w:rPr>
        <w:t>i</w:t>
      </w:r>
      <w:r>
        <w:rPr>
          <w:rFonts w:ascii="Times New Roman" w:eastAsia="方正仿宋_GBK"/>
          <w:color w:val="auto"/>
          <w:kern w:val="2"/>
          <w:sz w:val="32"/>
          <w:szCs w:val="32"/>
        </w:rPr>
        <w:t>种农作物该区域的平均割茬高度，单位为厘米（cm）；</w:t>
      </w:r>
    </w:p>
    <w:p>
      <w:pPr>
        <w:pStyle w:val="15"/>
        <w:numPr>
          <w:ilvl w:val="0"/>
          <w:numId w:val="1"/>
        </w:numPr>
        <w:ind w:firstLine="640"/>
        <w:rPr>
          <w:rFonts w:ascii="Times New Roman" w:eastAsia="方正仿宋_GBK"/>
          <w:color w:val="auto"/>
          <w:kern w:val="2"/>
          <w:sz w:val="32"/>
          <w:szCs w:val="32"/>
        </w:rPr>
      </w:pPr>
      <m:oMath>
        <m:sSub>
          <m:sSubPr>
            <m:ctrlPr>
              <w:rPr>
                <w:rFonts w:ascii="Cambria Math" w:hAnsi="Cambria Math" w:eastAsia="方正仿宋_GBK"/>
                <w:i/>
                <w:color w:val="auto"/>
                <w:kern w:val="2"/>
                <w:sz w:val="32"/>
                <w:szCs w:val="32"/>
              </w:rPr>
            </m:ctrlPr>
          </m:sSubPr>
          <m:e>
            <m:r>
              <w:rPr>
                <w:rFonts w:ascii="Cambria Math" w:hAnsi="Cambria Math" w:eastAsia="方正仿宋_GBK"/>
                <w:color w:val="auto"/>
                <w:kern w:val="2"/>
                <w:sz w:val="32"/>
                <w:szCs w:val="32"/>
              </w:rPr>
              <m:t>L</m:t>
            </m:r>
            <m:ctrlPr>
              <w:rPr>
                <w:rFonts w:ascii="Cambria Math" w:hAnsi="Cambria Math" w:eastAsia="方正仿宋_GBK"/>
                <w:i/>
                <w:color w:val="auto"/>
                <w:kern w:val="2"/>
                <w:sz w:val="32"/>
                <w:szCs w:val="32"/>
              </w:rPr>
            </m:ctrlPr>
          </m:e>
          <m:sub>
            <m:r>
              <w:rPr>
                <w:rFonts w:ascii="Cambria Math" w:hAnsi="Cambria Math" w:eastAsia="方正仿宋_GBK"/>
                <w:color w:val="auto"/>
                <w:kern w:val="2"/>
                <w:sz w:val="32"/>
                <w:szCs w:val="32"/>
              </w:rPr>
              <m:t>i,sc</m:t>
            </m:r>
            <m:ctrlPr>
              <w:rPr>
                <w:rFonts w:ascii="Cambria Math" w:hAnsi="Cambria Math" w:eastAsia="方正仿宋_GBK"/>
                <w:i/>
                <w:color w:val="auto"/>
                <w:kern w:val="2"/>
                <w:sz w:val="32"/>
                <w:szCs w:val="32"/>
              </w:rPr>
            </m:ctrlPr>
          </m:sub>
        </m:sSub>
      </m:oMath>
      <w:r>
        <w:rPr>
          <w:rFonts w:ascii="Times New Roman" w:eastAsia="方正仿宋_GBK"/>
          <w:color w:val="auto"/>
          <w:kern w:val="2"/>
          <w:sz w:val="32"/>
          <w:szCs w:val="32"/>
        </w:rPr>
        <w:t>—人工收获时，第</w:t>
      </w:r>
      <w:r>
        <w:rPr>
          <w:rFonts w:ascii="Times New Roman" w:eastAsia="方正仿宋_GBK"/>
          <w:i/>
          <w:color w:val="auto"/>
          <w:kern w:val="2"/>
          <w:sz w:val="32"/>
          <w:szCs w:val="32"/>
        </w:rPr>
        <w:t>i</w:t>
      </w:r>
      <w:r>
        <w:rPr>
          <w:rFonts w:ascii="Times New Roman" w:eastAsia="方正仿宋_GBK"/>
          <w:color w:val="auto"/>
          <w:kern w:val="2"/>
          <w:sz w:val="32"/>
          <w:szCs w:val="32"/>
        </w:rPr>
        <w:t>种农作物该区域的平均割茬高度，单位为厘米（cm）；</w:t>
      </w:r>
    </w:p>
    <w:p>
      <w:pPr>
        <w:pStyle w:val="15"/>
        <w:numPr>
          <w:ilvl w:val="0"/>
          <w:numId w:val="1"/>
        </w:numPr>
        <w:ind w:firstLine="640"/>
        <w:rPr>
          <w:rFonts w:ascii="Times New Roman" w:eastAsia="方正仿宋_GBK"/>
          <w:color w:val="auto"/>
          <w:kern w:val="2"/>
          <w:sz w:val="32"/>
          <w:szCs w:val="32"/>
        </w:rPr>
      </w:pPr>
      <m:oMath>
        <m:sSub>
          <m:sSubPr>
            <m:ctrlPr>
              <w:rPr>
                <w:rFonts w:ascii="Cambria Math" w:hAnsi="Cambria Math" w:eastAsia="方正仿宋_GBK"/>
                <w:i/>
                <w:color w:val="auto"/>
                <w:kern w:val="2"/>
                <w:sz w:val="32"/>
                <w:szCs w:val="32"/>
              </w:rPr>
            </m:ctrlPr>
          </m:sSubPr>
          <m:e>
            <m:r>
              <w:rPr>
                <w:rFonts w:ascii="Cambria Math" w:hAnsi="Cambria Math" w:eastAsia="方正仿宋_GBK"/>
                <w:color w:val="auto"/>
                <w:kern w:val="2"/>
                <w:sz w:val="32"/>
                <w:szCs w:val="32"/>
              </w:rPr>
              <m:t>J</m:t>
            </m:r>
            <m:ctrlPr>
              <w:rPr>
                <w:rFonts w:ascii="Cambria Math" w:hAnsi="Cambria Math" w:eastAsia="方正仿宋_GBK"/>
                <w:i/>
                <w:color w:val="auto"/>
                <w:kern w:val="2"/>
                <w:sz w:val="32"/>
                <w:szCs w:val="32"/>
              </w:rPr>
            </m:ctrlPr>
          </m:e>
          <m:sub>
            <m:r>
              <w:rPr>
                <w:rFonts w:ascii="Cambria Math" w:hAnsi="Cambria Math" w:eastAsia="方正仿宋_GBK"/>
                <w:color w:val="auto"/>
                <w:kern w:val="2"/>
                <w:sz w:val="32"/>
                <w:szCs w:val="32"/>
              </w:rPr>
              <m:t>i</m:t>
            </m:r>
            <m:ctrlPr>
              <w:rPr>
                <w:rFonts w:ascii="Cambria Math" w:hAnsi="Cambria Math" w:eastAsia="方正仿宋_GBK"/>
                <w:i/>
                <w:color w:val="auto"/>
                <w:kern w:val="2"/>
                <w:sz w:val="32"/>
                <w:szCs w:val="32"/>
              </w:rPr>
            </m:ctrlPr>
          </m:sub>
        </m:sSub>
      </m:oMath>
      <w:r>
        <w:rPr>
          <w:rFonts w:ascii="Times New Roman" w:eastAsia="方正仿宋_GBK"/>
          <w:color w:val="auto"/>
          <w:kern w:val="2"/>
          <w:sz w:val="32"/>
          <w:szCs w:val="32"/>
        </w:rPr>
        <w:t>—第</w:t>
      </w:r>
      <w:r>
        <w:rPr>
          <w:rFonts w:ascii="Times New Roman" w:eastAsia="方正仿宋_GBK"/>
          <w:i/>
          <w:color w:val="auto"/>
          <w:kern w:val="2"/>
          <w:sz w:val="32"/>
          <w:szCs w:val="32"/>
        </w:rPr>
        <w:t>i</w:t>
      </w:r>
      <w:r>
        <w:rPr>
          <w:rFonts w:ascii="Times New Roman" w:eastAsia="方正仿宋_GBK"/>
          <w:color w:val="auto"/>
          <w:kern w:val="2"/>
          <w:sz w:val="32"/>
          <w:szCs w:val="32"/>
        </w:rPr>
        <w:t>种农作物，机械收获面积占总收获面积的比例；</w:t>
      </w:r>
    </w:p>
    <w:p>
      <w:pPr>
        <w:pStyle w:val="15"/>
        <w:widowControl w:val="0"/>
        <w:numPr>
          <w:ilvl w:val="0"/>
          <w:numId w:val="1"/>
        </w:numPr>
        <w:ind w:firstLine="640"/>
        <w:rPr>
          <w:rFonts w:ascii="Times New Roman" w:eastAsia="方正仿宋_GBK"/>
          <w:color w:val="auto"/>
          <w:kern w:val="2"/>
          <w:sz w:val="32"/>
          <w:szCs w:val="32"/>
        </w:rPr>
      </w:pPr>
      <m:oMath>
        <m:sSub>
          <m:sSubPr>
            <m:ctrlPr>
              <w:rPr>
                <w:rFonts w:ascii="Cambria Math" w:hAnsi="Cambria Math" w:eastAsia="方正仿宋_GBK"/>
                <w:i/>
                <w:color w:val="auto"/>
                <w:kern w:val="2"/>
                <w:sz w:val="32"/>
                <w:szCs w:val="32"/>
              </w:rPr>
            </m:ctrlPr>
          </m:sSubPr>
          <m:e>
            <m:r>
              <w:rPr>
                <w:rFonts w:ascii="Cambria Math" w:hAnsi="Cambria Math" w:eastAsia="方正仿宋_GBK"/>
                <w:color w:val="auto"/>
                <w:kern w:val="2"/>
                <w:sz w:val="32"/>
                <w:szCs w:val="32"/>
              </w:rPr>
              <m:t>Z</m:t>
            </m:r>
            <m:ctrlPr>
              <w:rPr>
                <w:rFonts w:ascii="Cambria Math" w:hAnsi="Cambria Math" w:eastAsia="方正仿宋_GBK"/>
                <w:i/>
                <w:color w:val="auto"/>
                <w:kern w:val="2"/>
                <w:sz w:val="32"/>
                <w:szCs w:val="32"/>
              </w:rPr>
            </m:ctrlPr>
          </m:e>
          <m:sub>
            <m:r>
              <w:rPr>
                <w:rFonts w:ascii="Cambria Math" w:hAnsi="Cambria Math" w:eastAsia="方正仿宋_GBK"/>
                <w:color w:val="auto"/>
                <w:kern w:val="2"/>
                <w:sz w:val="32"/>
                <w:szCs w:val="32"/>
              </w:rPr>
              <m:t>i</m:t>
            </m:r>
            <m:ctrlPr>
              <w:rPr>
                <w:rFonts w:ascii="Cambria Math" w:hAnsi="Cambria Math" w:eastAsia="方正仿宋_GBK"/>
                <w:i/>
                <w:color w:val="auto"/>
                <w:kern w:val="2"/>
                <w:sz w:val="32"/>
                <w:szCs w:val="32"/>
              </w:rPr>
            </m:ctrlPr>
          </m:sub>
        </m:sSub>
      </m:oMath>
      <w:r>
        <w:rPr>
          <w:rFonts w:ascii="Times New Roman" w:eastAsia="方正仿宋_GBK"/>
          <w:color w:val="auto"/>
          <w:kern w:val="2"/>
          <w:sz w:val="32"/>
          <w:szCs w:val="32"/>
        </w:rPr>
        <w:t>—第</w:t>
      </w:r>
      <w:r>
        <w:rPr>
          <w:rFonts w:ascii="Times New Roman" w:eastAsia="方正仿宋_GBK"/>
          <w:i/>
          <w:color w:val="auto"/>
          <w:kern w:val="2"/>
          <w:sz w:val="32"/>
          <w:szCs w:val="32"/>
        </w:rPr>
        <w:t>i</w:t>
      </w:r>
      <w:r>
        <w:rPr>
          <w:rFonts w:ascii="Times New Roman" w:eastAsia="方正仿宋_GBK"/>
          <w:color w:val="auto"/>
          <w:kern w:val="2"/>
          <w:sz w:val="32"/>
          <w:szCs w:val="32"/>
        </w:rPr>
        <w:t>种农作物，秸秆在收获及运输过程中的枝叶损失率，单位为%。</w:t>
      </w:r>
      <w:bookmarkStart w:id="527" w:name="_Toc211913443"/>
    </w:p>
    <w:bookmarkEnd w:id="526"/>
    <w:bookmarkEnd w:id="527"/>
    <w:p>
      <w:pPr>
        <w:jc w:val="left"/>
        <w:rPr>
          <w:rFonts w:eastAsia="方正楷体_GBK"/>
          <w:b/>
          <w:bCs/>
          <w:color w:val="auto"/>
          <w:sz w:val="32"/>
          <w:szCs w:val="32"/>
        </w:rPr>
      </w:pPr>
      <w:r>
        <w:rPr>
          <w:rFonts w:eastAsia="方正楷体_GBK"/>
          <w:b/>
          <w:bCs/>
          <w:color w:val="auto"/>
          <w:sz w:val="32"/>
          <w:szCs w:val="32"/>
        </w:rPr>
        <w:t>六、基础信息</w:t>
      </w:r>
    </w:p>
    <w:p>
      <w:pPr>
        <w:spacing w:line="360" w:lineRule="auto"/>
        <w:ind w:firstLine="640" w:firstLineChars="200"/>
        <w:jc w:val="left"/>
        <w:rPr>
          <w:rFonts w:eastAsia="方正仿宋_GBK"/>
          <w:color w:val="auto"/>
          <w:sz w:val="32"/>
          <w:szCs w:val="32"/>
        </w:rPr>
      </w:pPr>
      <w:r>
        <w:rPr>
          <w:rFonts w:eastAsia="方正仿宋_GBK"/>
          <w:color w:val="auto"/>
          <w:sz w:val="32"/>
          <w:szCs w:val="32"/>
        </w:rPr>
        <w:t>此处信息主要是对玉溪市红塔区本项目的测样地区的地块进行简述。</w:t>
      </w:r>
    </w:p>
    <w:p>
      <w:pPr>
        <w:jc w:val="left"/>
        <w:rPr>
          <w:rFonts w:eastAsia="方正楷体_GBK"/>
          <w:b/>
          <w:bCs/>
          <w:color w:val="auto"/>
          <w:sz w:val="32"/>
          <w:szCs w:val="32"/>
        </w:rPr>
      </w:pPr>
      <w:bookmarkStart w:id="528" w:name="_Toc100668672"/>
      <w:bookmarkStart w:id="529" w:name="_Toc100668793"/>
      <w:bookmarkStart w:id="530" w:name="_Toc15123"/>
      <w:bookmarkStart w:id="531" w:name="_Toc31526"/>
      <w:bookmarkStart w:id="532" w:name="_Toc27607"/>
      <w:bookmarkStart w:id="533" w:name="_Toc105422665"/>
      <w:bookmarkStart w:id="534" w:name="_Toc117259244"/>
      <w:bookmarkStart w:id="535" w:name="_Toc20526"/>
      <w:r>
        <w:rPr>
          <w:rFonts w:eastAsia="方正楷体_GBK"/>
          <w:b/>
          <w:bCs/>
          <w:color w:val="auto"/>
          <w:sz w:val="32"/>
          <w:szCs w:val="32"/>
        </w:rPr>
        <w:t>七、数据</w:t>
      </w:r>
      <w:bookmarkEnd w:id="528"/>
      <w:bookmarkEnd w:id="529"/>
      <w:r>
        <w:rPr>
          <w:rFonts w:eastAsia="方正楷体_GBK"/>
          <w:b/>
          <w:bCs/>
          <w:color w:val="auto"/>
          <w:sz w:val="32"/>
          <w:szCs w:val="32"/>
        </w:rPr>
        <w:t>分析</w:t>
      </w:r>
      <w:bookmarkEnd w:id="530"/>
      <w:bookmarkEnd w:id="531"/>
      <w:bookmarkEnd w:id="532"/>
      <w:bookmarkEnd w:id="533"/>
      <w:bookmarkEnd w:id="534"/>
      <w:bookmarkEnd w:id="535"/>
      <w:bookmarkStart w:id="536" w:name="_Toc105422667"/>
    </w:p>
    <w:bookmarkEnd w:id="536"/>
    <w:p>
      <w:pPr>
        <w:pStyle w:val="17"/>
        <w:spacing w:after="0" w:line="600" w:lineRule="exact"/>
        <w:ind w:firstLine="640" w:firstLineChars="200"/>
        <w:rPr>
          <w:rFonts w:eastAsia="方正仿宋_GBK" w:cs="Times New Roman"/>
          <w:color w:val="auto"/>
          <w:sz w:val="32"/>
          <w:szCs w:val="48"/>
        </w:rPr>
      </w:pPr>
      <w:r>
        <w:rPr>
          <w:rFonts w:eastAsia="方正仿宋_GBK" w:cs="Times New Roman"/>
          <w:color w:val="auto"/>
          <w:sz w:val="32"/>
          <w:szCs w:val="48"/>
        </w:rPr>
        <w:t>针对作物草谷比、秸秆可收集系数进行统计分析，形成数据总结报告，模板见附件3-6。</w:t>
      </w:r>
    </w:p>
    <w:p>
      <w:pPr>
        <w:jc w:val="left"/>
        <w:rPr>
          <w:rFonts w:eastAsia="方正楷体_GBK"/>
          <w:b/>
          <w:bCs/>
          <w:color w:val="auto"/>
          <w:sz w:val="32"/>
          <w:szCs w:val="32"/>
        </w:rPr>
      </w:pPr>
      <w:bookmarkStart w:id="537" w:name="_Toc15344"/>
      <w:bookmarkStart w:id="538" w:name="_Toc22303"/>
      <w:bookmarkStart w:id="539" w:name="_Toc105422669"/>
      <w:bookmarkStart w:id="540" w:name="_Toc24179"/>
      <w:bookmarkStart w:id="541" w:name="_Toc100668675"/>
      <w:bookmarkStart w:id="542" w:name="_Toc117259248"/>
      <w:bookmarkStart w:id="543" w:name="_Toc100668796"/>
      <w:bookmarkStart w:id="544" w:name="_Toc31036"/>
      <w:r>
        <w:rPr>
          <w:rFonts w:eastAsia="方正楷体_GBK"/>
          <w:b/>
          <w:bCs/>
          <w:color w:val="auto"/>
          <w:sz w:val="32"/>
          <w:szCs w:val="32"/>
        </w:rPr>
        <w:t>八、注意事项</w:t>
      </w:r>
      <w:bookmarkEnd w:id="537"/>
      <w:bookmarkEnd w:id="538"/>
      <w:bookmarkEnd w:id="539"/>
      <w:bookmarkEnd w:id="540"/>
      <w:bookmarkEnd w:id="541"/>
      <w:bookmarkEnd w:id="542"/>
      <w:bookmarkEnd w:id="543"/>
      <w:bookmarkEnd w:id="544"/>
    </w:p>
    <w:p>
      <w:pPr>
        <w:pStyle w:val="15"/>
        <w:spacing w:line="600" w:lineRule="exact"/>
        <w:ind w:firstLine="643"/>
        <w:rPr>
          <w:rFonts w:ascii="Times New Roman" w:eastAsia="方正楷体_GBK"/>
          <w:b/>
          <w:color w:val="auto"/>
          <w:kern w:val="2"/>
          <w:sz w:val="32"/>
          <w:szCs w:val="32"/>
        </w:rPr>
      </w:pPr>
      <w:r>
        <w:rPr>
          <w:rFonts w:ascii="Times New Roman" w:eastAsia="方正楷体_GBK"/>
          <w:b/>
          <w:color w:val="auto"/>
          <w:kern w:val="2"/>
          <w:sz w:val="32"/>
          <w:szCs w:val="32"/>
        </w:rPr>
        <w:t>（一）数据调查记录</w:t>
      </w:r>
    </w:p>
    <w:p>
      <w:pPr>
        <w:pStyle w:val="17"/>
        <w:spacing w:after="0" w:line="600" w:lineRule="exact"/>
        <w:ind w:firstLine="640" w:firstLineChars="200"/>
        <w:rPr>
          <w:rFonts w:eastAsia="方正仿宋_GBK" w:cs="Times New Roman"/>
          <w:color w:val="auto"/>
          <w:sz w:val="32"/>
          <w:szCs w:val="48"/>
        </w:rPr>
      </w:pPr>
      <w:r>
        <w:rPr>
          <w:rFonts w:eastAsia="方正仿宋_GBK" w:cs="Times New Roman"/>
          <w:color w:val="auto"/>
          <w:sz w:val="32"/>
          <w:szCs w:val="48"/>
        </w:rPr>
        <w:t>严格按照手册要求操作，详实记录监测的原始数据，保证数据真实、科学、有效，原始数据纸质调查记录表须妥善留存，原始数据及分析整理的数据详实录入数据填报系统。</w:t>
      </w:r>
    </w:p>
    <w:p>
      <w:pPr>
        <w:pStyle w:val="15"/>
        <w:spacing w:line="600" w:lineRule="exact"/>
        <w:ind w:firstLine="643"/>
        <w:rPr>
          <w:rFonts w:ascii="Times New Roman" w:eastAsia="方正楷体_GBK"/>
          <w:b/>
          <w:color w:val="auto"/>
          <w:kern w:val="2"/>
          <w:sz w:val="32"/>
          <w:szCs w:val="32"/>
        </w:rPr>
      </w:pPr>
      <w:r>
        <w:rPr>
          <w:rFonts w:ascii="Times New Roman" w:eastAsia="方正楷体_GBK"/>
          <w:b/>
          <w:color w:val="auto"/>
          <w:kern w:val="2"/>
          <w:sz w:val="32"/>
          <w:szCs w:val="32"/>
        </w:rPr>
        <w:t>（二）影像资料收集</w:t>
      </w:r>
    </w:p>
    <w:p>
      <w:pPr>
        <w:pStyle w:val="15"/>
        <w:spacing w:line="600" w:lineRule="exact"/>
        <w:ind w:firstLine="640"/>
        <w:rPr>
          <w:rFonts w:ascii="Times New Roman" w:eastAsia="仿宋_GB2312"/>
          <w:color w:val="auto"/>
          <w:kern w:val="2"/>
          <w:sz w:val="32"/>
          <w:szCs w:val="32"/>
        </w:rPr>
      </w:pPr>
      <w:r>
        <w:rPr>
          <w:rFonts w:ascii="Times New Roman" w:eastAsia="方正仿宋_GBK"/>
          <w:color w:val="auto"/>
          <w:kern w:val="2"/>
          <w:sz w:val="32"/>
          <w:szCs w:val="48"/>
        </w:rPr>
        <w:t>要求采用照片全面记录监测任务实施的关键过程，如典型地块、采集样品植株、样品处理过程、割茬地块等，照片须具备良好的清晰度、完整度和展示度，准确注释、图文对应。</w:t>
      </w:r>
      <w:r>
        <w:rPr>
          <w:rFonts w:ascii="Times New Roman" w:eastAsia="方正仿宋_GBK"/>
          <w:color w:val="auto"/>
          <w:kern w:val="2"/>
          <w:sz w:val="32"/>
          <w:szCs w:val="48"/>
        </w:rPr>
        <w:cr/>
      </w:r>
      <w:r>
        <w:rPr>
          <w:rFonts w:ascii="Times New Roman" w:eastAsia="方正仿宋_GBK"/>
          <w:color w:val="auto"/>
          <w:kern w:val="2"/>
          <w:sz w:val="32"/>
          <w:szCs w:val="48"/>
        </w:rPr>
        <w:t xml:space="preserve">   </w:t>
      </w:r>
      <w:r>
        <w:rPr>
          <w:rFonts w:ascii="Times New Roman" w:eastAsia="方正楷体_GBK"/>
          <w:b/>
          <w:color w:val="auto"/>
          <w:kern w:val="2"/>
          <w:sz w:val="32"/>
          <w:szCs w:val="32"/>
        </w:rPr>
        <w:t>（三）材料整理报送</w:t>
      </w:r>
    </w:p>
    <w:p>
      <w:pPr>
        <w:pStyle w:val="15"/>
        <w:spacing w:line="600" w:lineRule="exact"/>
        <w:ind w:firstLine="640"/>
        <w:rPr>
          <w:rFonts w:ascii="Times New Roman" w:eastAsia="方正仿宋_GBK"/>
          <w:color w:val="auto"/>
          <w:kern w:val="2"/>
          <w:sz w:val="32"/>
          <w:szCs w:val="48"/>
        </w:rPr>
      </w:pPr>
      <w:r>
        <w:rPr>
          <w:rFonts w:ascii="Times New Roman" w:eastAsia="方正仿宋_GBK"/>
          <w:color w:val="auto"/>
          <w:kern w:val="2"/>
          <w:sz w:val="32"/>
          <w:szCs w:val="48"/>
        </w:rPr>
        <w:t>要求及时整理和分析监测的数据、文字、照片等资料，</w:t>
      </w:r>
    </w:p>
    <w:p>
      <w:pPr>
        <w:pStyle w:val="15"/>
        <w:spacing w:line="600" w:lineRule="exact"/>
        <w:ind w:firstLine="0" w:firstLineChars="0"/>
        <w:rPr>
          <w:rFonts w:ascii="Times New Roman" w:eastAsia="方正仿宋_GBK"/>
          <w:color w:val="auto"/>
          <w:kern w:val="2"/>
          <w:sz w:val="32"/>
          <w:szCs w:val="48"/>
        </w:rPr>
      </w:pPr>
      <w:r>
        <w:rPr>
          <w:rFonts w:ascii="Times New Roman" w:eastAsia="方正仿宋_GBK"/>
          <w:color w:val="auto"/>
          <w:kern w:val="2"/>
          <w:sz w:val="32"/>
          <w:szCs w:val="48"/>
        </w:rPr>
        <w:t>以工作报告、技术报告等形式对监测成果进行全面总结，根</w:t>
      </w:r>
    </w:p>
    <w:p>
      <w:pPr>
        <w:pStyle w:val="15"/>
        <w:spacing w:line="600" w:lineRule="exact"/>
        <w:ind w:firstLine="0" w:firstLineChars="0"/>
        <w:rPr>
          <w:rFonts w:ascii="Times New Roman" w:eastAsia="方正仿宋_GBK"/>
          <w:color w:val="auto"/>
          <w:kern w:val="2"/>
          <w:sz w:val="32"/>
          <w:szCs w:val="48"/>
        </w:rPr>
      </w:pPr>
      <w:r>
        <w:rPr>
          <w:rFonts w:ascii="Times New Roman" w:eastAsia="方正仿宋_GBK"/>
          <w:color w:val="auto"/>
          <w:kern w:val="2"/>
          <w:sz w:val="32"/>
          <w:szCs w:val="48"/>
        </w:rPr>
        <w:t>据监测工作需要及时报送各类材料。</w:t>
      </w:r>
    </w:p>
    <w:p>
      <w:pPr>
        <w:jc w:val="left"/>
        <w:rPr>
          <w:rFonts w:eastAsia="方正楷体_GBK"/>
          <w:b/>
          <w:bCs/>
          <w:color w:val="auto"/>
          <w:sz w:val="32"/>
          <w:szCs w:val="32"/>
        </w:rPr>
      </w:pPr>
      <w:r>
        <w:rPr>
          <w:rFonts w:eastAsia="方正楷体_GBK"/>
          <w:b/>
          <w:bCs/>
          <w:color w:val="auto"/>
          <w:sz w:val="32"/>
          <w:szCs w:val="32"/>
        </w:rPr>
        <w:t>九、项目进度</w:t>
      </w:r>
    </w:p>
    <w:p>
      <w:pPr>
        <w:spacing w:line="360" w:lineRule="auto"/>
        <w:jc w:val="left"/>
        <w:rPr>
          <w:rFonts w:eastAsia="方正楷体_GBK"/>
          <w:color w:val="auto"/>
          <w:sz w:val="32"/>
          <w:szCs w:val="32"/>
        </w:rPr>
      </w:pPr>
      <w:r>
        <w:rPr>
          <w:rFonts w:eastAsia="方正楷体_GBK"/>
          <w:color w:val="auto"/>
          <w:sz w:val="32"/>
          <w:szCs w:val="32"/>
        </w:rPr>
        <w:t>（1）2023年6月进度</w:t>
      </w:r>
    </w:p>
    <w:p>
      <w:pPr>
        <w:spacing w:line="360" w:lineRule="auto"/>
        <w:jc w:val="left"/>
        <w:rPr>
          <w:rFonts w:eastAsia="方正仿宋_GBK"/>
          <w:color w:val="auto"/>
          <w:sz w:val="32"/>
          <w:szCs w:val="32"/>
        </w:rPr>
      </w:pPr>
      <w:r>
        <w:rPr>
          <w:rFonts w:eastAsia="方正仿宋_GBK"/>
          <w:color w:val="auto"/>
          <w:sz w:val="32"/>
          <w:szCs w:val="32"/>
        </w:rPr>
        <w:t>根据要求选取地块：</w:t>
      </w:r>
    </w:p>
    <w:p>
      <w:pPr>
        <w:spacing w:line="360" w:lineRule="auto"/>
        <w:jc w:val="left"/>
        <w:rPr>
          <w:rFonts w:hint="eastAsia" w:eastAsia="方正仿宋_GBK"/>
          <w:color w:val="auto"/>
          <w:sz w:val="32"/>
          <w:szCs w:val="32"/>
          <w:lang w:eastAsia="zh-CN"/>
        </w:rPr>
      </w:pPr>
      <w:r>
        <w:rPr>
          <w:rFonts w:eastAsia="方正仿宋_GBK"/>
          <w:color w:val="auto"/>
          <w:sz w:val="32"/>
          <w:szCs w:val="32"/>
        </w:rPr>
        <w:t>实验地块1</w:t>
      </w:r>
      <w:r>
        <w:rPr>
          <w:rFonts w:hint="eastAsia" w:eastAsia="方正仿宋_GBK"/>
          <w:color w:val="auto"/>
          <w:sz w:val="32"/>
          <w:szCs w:val="32"/>
          <w:lang w:eastAsia="zh-CN"/>
        </w:rPr>
        <w:t>：</w:t>
      </w:r>
    </w:p>
    <w:p>
      <w:pPr>
        <w:pStyle w:val="2"/>
        <w:rPr>
          <w:rFonts w:hint="default"/>
          <w:color w:val="auto"/>
          <w:lang w:val="en-US" w:eastAsia="zh-CN"/>
        </w:rPr>
      </w:pPr>
      <w:r>
        <w:rPr>
          <w:rFonts w:hint="eastAsia" w:eastAsia="方正仿宋_GBK"/>
          <w:color w:val="auto"/>
          <w:sz w:val="32"/>
          <w:szCs w:val="32"/>
          <w:lang w:val="en-US" w:eastAsia="zh-CN"/>
        </w:rPr>
        <w:t>高仓街道龙树社区干海子五组（经度102.555527，纬度24。275928）</w:t>
      </w:r>
    </w:p>
    <w:p>
      <w:pPr>
        <w:spacing w:line="360" w:lineRule="auto"/>
        <w:jc w:val="center"/>
        <w:rPr>
          <w:rFonts w:hint="eastAsia" w:eastAsia="方正仿宋_GBK"/>
          <w:color w:val="auto"/>
          <w:sz w:val="32"/>
          <w:szCs w:val="32"/>
          <w:lang w:eastAsia="zh-CN"/>
        </w:rPr>
      </w:pPr>
      <w:r>
        <w:rPr>
          <w:rFonts w:hint="eastAsia" w:eastAsia="方正仿宋_GBK"/>
          <w:color w:val="auto"/>
          <w:sz w:val="32"/>
          <w:szCs w:val="32"/>
          <w:lang w:eastAsia="zh-CN"/>
        </w:rPr>
        <w:drawing>
          <wp:inline distT="0" distB="0" distL="114300" distR="114300">
            <wp:extent cx="1684655" cy="2247265"/>
            <wp:effectExtent l="0" t="0" r="8255" b="6985"/>
            <wp:docPr id="23" name="图片 23" descr="022914723db5bb86e4b6829b3d21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2914723db5bb86e4b6829b3d21cb2"/>
                    <pic:cNvPicPr>
                      <a:picLocks noChangeAspect="1"/>
                    </pic:cNvPicPr>
                  </pic:nvPicPr>
                  <pic:blipFill>
                    <a:blip r:embed="rId39"/>
                    <a:stretch>
                      <a:fillRect/>
                    </a:stretch>
                  </pic:blipFill>
                  <pic:spPr>
                    <a:xfrm rot="5400000" flipH="1">
                      <a:off x="0" y="0"/>
                      <a:ext cx="1684655" cy="2247265"/>
                    </a:xfrm>
                    <a:prstGeom prst="rect">
                      <a:avLst/>
                    </a:prstGeom>
                  </pic:spPr>
                </pic:pic>
              </a:graphicData>
            </a:graphic>
          </wp:inline>
        </w:drawing>
      </w:r>
      <w:r>
        <w:rPr>
          <w:rFonts w:hint="eastAsia" w:eastAsia="方正仿宋_GBK"/>
          <w:color w:val="auto"/>
          <w:sz w:val="32"/>
          <w:szCs w:val="32"/>
          <w:lang w:eastAsia="zh-CN"/>
        </w:rPr>
        <w:drawing>
          <wp:inline distT="0" distB="0" distL="114300" distR="114300">
            <wp:extent cx="2235200" cy="1677670"/>
            <wp:effectExtent l="0" t="0" r="5080" b="13970"/>
            <wp:docPr id="18" name="图片 18" descr="f3b67f62e8c0b45af3fcd00eedb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3b67f62e8c0b45af3fcd00eedb6286"/>
                    <pic:cNvPicPr>
                      <a:picLocks noChangeAspect="1"/>
                    </pic:cNvPicPr>
                  </pic:nvPicPr>
                  <pic:blipFill>
                    <a:blip r:embed="rId40"/>
                    <a:stretch>
                      <a:fillRect/>
                    </a:stretch>
                  </pic:blipFill>
                  <pic:spPr>
                    <a:xfrm>
                      <a:off x="0" y="0"/>
                      <a:ext cx="2235200" cy="1677670"/>
                    </a:xfrm>
                    <a:prstGeom prst="rect">
                      <a:avLst/>
                    </a:prstGeom>
                  </pic:spPr>
                </pic:pic>
              </a:graphicData>
            </a:graphic>
          </wp:inline>
        </w:drawing>
      </w:r>
    </w:p>
    <w:p>
      <w:pPr>
        <w:spacing w:line="360" w:lineRule="auto"/>
        <w:jc w:val="left"/>
        <w:rPr>
          <w:rFonts w:hint="eastAsia" w:eastAsia="方正仿宋_GBK"/>
          <w:color w:val="auto"/>
          <w:sz w:val="32"/>
          <w:szCs w:val="32"/>
          <w:lang w:eastAsia="zh-CN"/>
        </w:rPr>
      </w:pPr>
      <w:r>
        <w:rPr>
          <w:rFonts w:eastAsia="方正仿宋_GBK"/>
          <w:color w:val="auto"/>
          <w:sz w:val="32"/>
          <w:szCs w:val="32"/>
        </w:rPr>
        <w:t>实验地块</w:t>
      </w:r>
      <w:r>
        <w:rPr>
          <w:rFonts w:hint="eastAsia" w:eastAsia="方正仿宋_GBK"/>
          <w:color w:val="auto"/>
          <w:sz w:val="32"/>
          <w:szCs w:val="32"/>
          <w:lang w:val="en-US" w:eastAsia="zh-CN"/>
        </w:rPr>
        <w:t>2</w:t>
      </w:r>
      <w:r>
        <w:rPr>
          <w:rFonts w:hint="eastAsia" w:eastAsia="方正仿宋_GBK"/>
          <w:color w:val="auto"/>
          <w:sz w:val="32"/>
          <w:szCs w:val="32"/>
          <w:lang w:eastAsia="zh-CN"/>
        </w:rPr>
        <w:t>：</w:t>
      </w:r>
    </w:p>
    <w:p>
      <w:pPr>
        <w:spacing w:line="360" w:lineRule="auto"/>
        <w:jc w:val="left"/>
        <w:rPr>
          <w:rFonts w:hint="default" w:eastAsia="方正仿宋_GBK"/>
          <w:color w:val="auto"/>
          <w:sz w:val="32"/>
          <w:szCs w:val="32"/>
          <w:lang w:val="en-US" w:eastAsia="zh-CN"/>
        </w:rPr>
      </w:pPr>
      <w:r>
        <w:rPr>
          <w:rFonts w:hint="eastAsia" w:eastAsia="方正仿宋_GBK"/>
          <w:color w:val="auto"/>
          <w:sz w:val="32"/>
          <w:szCs w:val="32"/>
          <w:lang w:val="en-US" w:eastAsia="zh-CN"/>
        </w:rPr>
        <w:t>高仓街道龙树社区五组（经度102.555044,纬度24.275793）</w:t>
      </w:r>
    </w:p>
    <w:p>
      <w:pPr>
        <w:spacing w:line="360" w:lineRule="auto"/>
        <w:jc w:val="center"/>
        <w:rPr>
          <w:rFonts w:hint="eastAsia" w:eastAsia="方正仿宋_GBK"/>
          <w:color w:val="auto"/>
          <w:sz w:val="32"/>
          <w:szCs w:val="32"/>
          <w:lang w:eastAsia="zh-CN"/>
        </w:rPr>
      </w:pPr>
      <w:r>
        <w:rPr>
          <w:rFonts w:hint="eastAsia" w:eastAsia="方正仿宋_GBK"/>
          <w:color w:val="auto"/>
          <w:sz w:val="32"/>
          <w:szCs w:val="32"/>
          <w:lang w:eastAsia="zh-CN"/>
        </w:rPr>
        <w:drawing>
          <wp:inline distT="0" distB="0" distL="114300" distR="114300">
            <wp:extent cx="2353310" cy="1765935"/>
            <wp:effectExtent l="0" t="0" r="8890" b="1905"/>
            <wp:docPr id="2" name="图片 2" descr="40e484c66577a8587bcf8e036951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e484c66577a8587bcf8e036951f5e"/>
                    <pic:cNvPicPr>
                      <a:picLocks noChangeAspect="1"/>
                    </pic:cNvPicPr>
                  </pic:nvPicPr>
                  <pic:blipFill>
                    <a:blip r:embed="rId41"/>
                    <a:stretch>
                      <a:fillRect/>
                    </a:stretch>
                  </pic:blipFill>
                  <pic:spPr>
                    <a:xfrm>
                      <a:off x="0" y="0"/>
                      <a:ext cx="2353310" cy="1765935"/>
                    </a:xfrm>
                    <a:prstGeom prst="rect">
                      <a:avLst/>
                    </a:prstGeom>
                  </pic:spPr>
                </pic:pic>
              </a:graphicData>
            </a:graphic>
          </wp:inline>
        </w:drawing>
      </w:r>
      <w:r>
        <w:rPr>
          <w:rFonts w:hint="eastAsia" w:eastAsia="方正仿宋_GBK"/>
          <w:color w:val="auto"/>
          <w:sz w:val="32"/>
          <w:szCs w:val="32"/>
          <w:lang w:eastAsia="zh-CN"/>
        </w:rPr>
        <w:drawing>
          <wp:inline distT="0" distB="0" distL="114300" distR="114300">
            <wp:extent cx="2360295" cy="1771015"/>
            <wp:effectExtent l="0" t="0" r="1905" b="12065"/>
            <wp:docPr id="3" name="图片 3" descr="146c364f2953f5d24509445dc7e4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6c364f2953f5d24509445dc7e400b"/>
                    <pic:cNvPicPr>
                      <a:picLocks noChangeAspect="1"/>
                    </pic:cNvPicPr>
                  </pic:nvPicPr>
                  <pic:blipFill>
                    <a:blip r:embed="rId42"/>
                    <a:stretch>
                      <a:fillRect/>
                    </a:stretch>
                  </pic:blipFill>
                  <pic:spPr>
                    <a:xfrm>
                      <a:off x="0" y="0"/>
                      <a:ext cx="2360295" cy="1771015"/>
                    </a:xfrm>
                    <a:prstGeom prst="rect">
                      <a:avLst/>
                    </a:prstGeom>
                  </pic:spPr>
                </pic:pic>
              </a:graphicData>
            </a:graphic>
          </wp:inline>
        </w:drawing>
      </w:r>
    </w:p>
    <w:p>
      <w:pPr>
        <w:spacing w:line="360" w:lineRule="auto"/>
        <w:ind w:firstLine="0" w:firstLineChars="0"/>
        <w:jc w:val="left"/>
        <w:rPr>
          <w:rFonts w:hint="eastAsia" w:eastAsia="方正楷体_GBK"/>
          <w:color w:val="auto"/>
          <w:sz w:val="32"/>
          <w:szCs w:val="32"/>
          <w:lang w:val="en-US" w:eastAsia="zh-CN"/>
        </w:rPr>
      </w:pPr>
      <w:r>
        <w:rPr>
          <w:rFonts w:hint="eastAsia" w:eastAsia="方正楷体_GBK"/>
          <w:color w:val="auto"/>
          <w:sz w:val="32"/>
          <w:szCs w:val="32"/>
          <w:lang w:val="en-US" w:eastAsia="zh-CN"/>
        </w:rPr>
        <w:t>实验地块3：</w:t>
      </w:r>
    </w:p>
    <w:p>
      <w:pPr>
        <w:spacing w:line="360" w:lineRule="auto"/>
        <w:ind w:firstLine="0" w:firstLineChars="0"/>
        <w:jc w:val="left"/>
        <w:rPr>
          <w:rFonts w:hint="default" w:eastAsia="方正楷体_GBK"/>
          <w:color w:val="auto"/>
          <w:sz w:val="32"/>
          <w:szCs w:val="32"/>
          <w:lang w:val="en-US" w:eastAsia="zh-CN"/>
        </w:rPr>
      </w:pPr>
      <w:r>
        <w:rPr>
          <w:rFonts w:hint="eastAsia" w:eastAsia="方正楷体_GBK"/>
          <w:color w:val="auto"/>
          <w:sz w:val="32"/>
          <w:szCs w:val="32"/>
          <w:lang w:val="en-US" w:eastAsia="zh-CN"/>
        </w:rPr>
        <w:t>北城街道主要或特色农作物地块。</w:t>
      </w:r>
    </w:p>
    <w:p>
      <w:pPr>
        <w:spacing w:line="360" w:lineRule="auto"/>
        <w:ind w:firstLine="640" w:firstLineChars="200"/>
        <w:jc w:val="left"/>
        <w:rPr>
          <w:rFonts w:eastAsia="方正楷体_GBK"/>
          <w:color w:val="auto"/>
          <w:sz w:val="32"/>
          <w:szCs w:val="32"/>
        </w:rPr>
      </w:pPr>
      <w:r>
        <w:rPr>
          <w:rFonts w:eastAsia="方正楷体_GBK"/>
          <w:color w:val="auto"/>
          <w:sz w:val="32"/>
          <w:szCs w:val="32"/>
        </w:rPr>
        <w:t>（2）后续工作</w:t>
      </w:r>
    </w:p>
    <w:p>
      <w:pPr>
        <w:spacing w:line="360" w:lineRule="auto"/>
        <w:ind w:firstLine="640" w:firstLineChars="200"/>
        <w:jc w:val="left"/>
        <w:rPr>
          <w:rFonts w:eastAsia="方正仿宋_GBK"/>
          <w:color w:val="auto"/>
          <w:sz w:val="32"/>
          <w:szCs w:val="32"/>
        </w:rPr>
      </w:pPr>
      <w:r>
        <w:rPr>
          <w:rFonts w:eastAsia="方正仿宋_GBK"/>
          <w:color w:val="auto"/>
          <w:sz w:val="32"/>
          <w:szCs w:val="32"/>
        </w:rPr>
        <w:t>草谷比：农作物收货前1～2天到监测点进行农作物样本样本实（割）测、样品制备、样品保存及运输、秸秆与籽实水分测定、草谷比核算。</w:t>
      </w:r>
    </w:p>
    <w:p>
      <w:pPr>
        <w:spacing w:line="360" w:lineRule="auto"/>
        <w:ind w:firstLine="640" w:firstLineChars="200"/>
        <w:rPr>
          <w:rFonts w:eastAsia="方正仿宋_GBK"/>
          <w:color w:val="auto"/>
          <w:sz w:val="32"/>
          <w:szCs w:val="36"/>
        </w:rPr>
      </w:pPr>
      <w:r>
        <w:rPr>
          <w:rFonts w:eastAsia="方正仿宋_GBK"/>
          <w:color w:val="auto"/>
          <w:sz w:val="32"/>
          <w:szCs w:val="36"/>
        </w:rPr>
        <w:t>可收集利用系数：农作物成熟时，对农作物进行株高实测、割茬高度实测、树叶损失率测定、可收集系数核酸</w:t>
      </w:r>
    </w:p>
    <w:p>
      <w:pPr>
        <w:spacing w:line="360" w:lineRule="auto"/>
        <w:ind w:firstLine="640" w:firstLineChars="200"/>
        <w:jc w:val="left"/>
        <w:rPr>
          <w:rFonts w:eastAsia="方正仿宋_GBK"/>
          <w:color w:val="auto"/>
          <w:sz w:val="32"/>
          <w:szCs w:val="32"/>
        </w:rPr>
      </w:pPr>
      <w:r>
        <w:rPr>
          <w:rFonts w:eastAsia="方正仿宋_GBK"/>
          <w:color w:val="auto"/>
          <w:sz w:val="32"/>
          <w:szCs w:val="32"/>
        </w:rPr>
        <w:t>数据填报与报送：数据填报预审核、数据分析报告、数据报送。</w:t>
      </w:r>
    </w:p>
    <w:p>
      <w:pPr>
        <w:jc w:val="left"/>
        <w:rPr>
          <w:rFonts w:eastAsia="方正楷体_GBK"/>
          <w:b/>
          <w:bCs/>
          <w:color w:val="auto"/>
          <w:sz w:val="32"/>
          <w:szCs w:val="32"/>
        </w:rPr>
      </w:pPr>
      <w:r>
        <w:rPr>
          <w:rFonts w:eastAsia="方正楷体_GBK"/>
          <w:b/>
          <w:bCs/>
          <w:color w:val="auto"/>
          <w:sz w:val="32"/>
          <w:szCs w:val="32"/>
        </w:rPr>
        <w:t>十、资金概算</w:t>
      </w:r>
    </w:p>
    <w:p>
      <w:pPr>
        <w:pStyle w:val="15"/>
        <w:spacing w:line="600" w:lineRule="exact"/>
        <w:ind w:firstLine="640"/>
        <w:jc w:val="left"/>
        <w:rPr>
          <w:rFonts w:ascii="Times New Roman" w:eastAsia="方正仿宋_GBK"/>
          <w:color w:val="auto"/>
          <w:kern w:val="2"/>
          <w:sz w:val="32"/>
          <w:szCs w:val="48"/>
        </w:rPr>
      </w:pPr>
      <w:r>
        <w:rPr>
          <w:rFonts w:ascii="Times New Roman" w:eastAsia="方正仿宋_GBK"/>
          <w:color w:val="auto"/>
          <w:kern w:val="2"/>
          <w:sz w:val="32"/>
          <w:szCs w:val="48"/>
        </w:rPr>
        <w:t>草谷比、可收集系数测算中主要是对水稻、玉米、烟秆、冬马铃薯四种作物的系数进行测算。每种农作物的测算需要具体费用支，如表所示。</w:t>
      </w:r>
    </w:p>
    <w:p>
      <w:pPr>
        <w:pStyle w:val="15"/>
        <w:spacing w:line="600" w:lineRule="exact"/>
        <w:ind w:firstLine="480"/>
        <w:jc w:val="center"/>
        <w:rPr>
          <w:rFonts w:ascii="Times New Roman" w:eastAsia="方正仿宋_GBK"/>
          <w:color w:val="auto"/>
          <w:kern w:val="2"/>
          <w:sz w:val="24"/>
          <w:szCs w:val="24"/>
        </w:rPr>
      </w:pPr>
      <w:r>
        <w:rPr>
          <w:rFonts w:ascii="Times New Roman" w:eastAsia="等线"/>
          <w:color w:val="auto"/>
          <w:sz w:val="24"/>
          <w:szCs w:val="24"/>
        </w:rPr>
        <w:t>表1 秸秆草谷比、可收集系数检测费用测算</w:t>
      </w:r>
    </w:p>
    <w:tbl>
      <w:tblPr>
        <w:tblStyle w:val="10"/>
        <w:tblW w:w="7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7560" w:type="dxa"/>
            <w:gridSpan w:val="7"/>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秸秆草谷比、可收集系数检测费用测算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类别</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参数名称</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单价</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样品数</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金额</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每样总计</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类别合计</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70"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草谷比</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点位样品实地采样及测量</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860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21500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点位样品实地制备</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860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21500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点位样品水分测量</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1075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21500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5"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可收集系数</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株高、茬高</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12900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枝叶损失率</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运输费</w:t>
            </w:r>
          </w:p>
        </w:tc>
        <w:tc>
          <w:tcPr>
            <w:tcW w:w="4320" w:type="dxa"/>
            <w:gridSpan w:val="4"/>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材料运送的租车费用按</w:t>
            </w:r>
            <w:r>
              <w:rPr>
                <w:rFonts w:hint="default" w:ascii="Times New Roman" w:hAnsi="Times New Roman" w:eastAsia="等线" w:cs="Times New Roman"/>
                <w:i w:val="0"/>
                <w:iCs w:val="0"/>
                <w:color w:val="auto"/>
                <w:kern w:val="0"/>
                <w:sz w:val="22"/>
                <w:szCs w:val="22"/>
                <w:u w:val="none"/>
                <w:lang w:val="en-US" w:eastAsia="zh-CN" w:bidi="ar"/>
              </w:rPr>
              <w:t>2</w:t>
            </w:r>
            <w:r>
              <w:rPr>
                <w:rFonts w:hint="eastAsia" w:ascii="等线" w:hAnsi="等线" w:eastAsia="等线" w:cs="等线"/>
                <w:i w:val="0"/>
                <w:iCs w:val="0"/>
                <w:color w:val="auto"/>
                <w:kern w:val="0"/>
                <w:sz w:val="22"/>
                <w:szCs w:val="22"/>
                <w:u w:val="none"/>
                <w:lang w:val="en-US" w:eastAsia="zh-CN" w:bidi="ar"/>
              </w:rPr>
              <w:t>天算，每天记</w:t>
            </w:r>
            <w:r>
              <w:rPr>
                <w:rFonts w:hint="default" w:ascii="Times New Roman" w:hAnsi="Times New Roman" w:eastAsia="等线" w:cs="Times New Roman"/>
                <w:i w:val="0"/>
                <w:iCs w:val="0"/>
                <w:color w:val="auto"/>
                <w:kern w:val="0"/>
                <w:sz w:val="22"/>
                <w:szCs w:val="22"/>
                <w:u w:val="none"/>
                <w:lang w:val="en-US" w:eastAsia="zh-CN" w:bidi="ar"/>
              </w:rPr>
              <w:t>1650</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差旅费</w:t>
            </w:r>
          </w:p>
        </w:tc>
        <w:tc>
          <w:tcPr>
            <w:tcW w:w="5400" w:type="dxa"/>
            <w:gridSpan w:val="5"/>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每次现场</w:t>
            </w:r>
            <w:r>
              <w:rPr>
                <w:rFonts w:hint="default" w:ascii="Times New Roman" w:hAnsi="Times New Roman" w:eastAsia="等线" w:cs="Times New Roman"/>
                <w:i w:val="0"/>
                <w:iCs w:val="0"/>
                <w:color w:val="auto"/>
                <w:kern w:val="0"/>
                <w:sz w:val="22"/>
                <w:szCs w:val="22"/>
                <w:u w:val="none"/>
                <w:lang w:val="en-US" w:eastAsia="zh-CN" w:bidi="ar"/>
              </w:rPr>
              <w:t>2</w:t>
            </w:r>
            <w:r>
              <w:rPr>
                <w:rFonts w:hint="eastAsia" w:ascii="等线" w:hAnsi="等线" w:eastAsia="等线" w:cs="等线"/>
                <w:i w:val="0"/>
                <w:iCs w:val="0"/>
                <w:color w:val="auto"/>
                <w:kern w:val="0"/>
                <w:sz w:val="22"/>
                <w:szCs w:val="22"/>
                <w:u w:val="none"/>
                <w:lang w:val="en-US" w:eastAsia="zh-CN" w:bidi="ar"/>
              </w:rPr>
              <w:t>人</w:t>
            </w:r>
            <w:r>
              <w:rPr>
                <w:rFonts w:hint="default" w:ascii="Times New Roman" w:hAnsi="Times New Roman" w:eastAsia="等线" w:cs="Times New Roman"/>
                <w:i w:val="0"/>
                <w:iCs w:val="0"/>
                <w:color w:val="auto"/>
                <w:kern w:val="0"/>
                <w:sz w:val="22"/>
                <w:szCs w:val="22"/>
                <w:u w:val="none"/>
                <w:lang w:val="en-US" w:eastAsia="zh-CN" w:bidi="ar"/>
              </w:rPr>
              <w:t>*1</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4</w:t>
            </w:r>
            <w:r>
              <w:rPr>
                <w:rFonts w:hint="eastAsia" w:ascii="等线" w:hAnsi="等线" w:eastAsia="等线" w:cs="等线"/>
                <w:i w:val="0"/>
                <w:iCs w:val="0"/>
                <w:color w:val="auto"/>
                <w:kern w:val="0"/>
                <w:sz w:val="22"/>
                <w:szCs w:val="22"/>
                <w:u w:val="none"/>
                <w:lang w:val="en-US" w:eastAsia="zh-CN" w:bidi="ar"/>
              </w:rPr>
              <w:t>次现场，住宿</w:t>
            </w:r>
            <w:r>
              <w:rPr>
                <w:rFonts w:hint="default" w:ascii="Times New Roman" w:hAnsi="Times New Roman" w:eastAsia="等线" w:cs="Times New Roman"/>
                <w:i w:val="0"/>
                <w:iCs w:val="0"/>
                <w:color w:val="auto"/>
                <w:kern w:val="0"/>
                <w:sz w:val="22"/>
                <w:szCs w:val="22"/>
                <w:u w:val="none"/>
                <w:lang w:val="en-US" w:eastAsia="zh-CN" w:bidi="ar"/>
              </w:rPr>
              <w:t>150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人，交通和餐补</w:t>
            </w:r>
            <w:r>
              <w:rPr>
                <w:rFonts w:hint="default" w:ascii="Times New Roman" w:hAnsi="Times New Roman" w:eastAsia="等线" w:cs="Times New Roman"/>
                <w:i w:val="0"/>
                <w:iCs w:val="0"/>
                <w:color w:val="auto"/>
                <w:kern w:val="0"/>
                <w:sz w:val="22"/>
                <w:szCs w:val="22"/>
                <w:u w:val="none"/>
                <w:lang w:val="en-US" w:eastAsia="zh-CN" w:bidi="ar"/>
              </w:rPr>
              <w:t>200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人</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5400" w:type="dxa"/>
            <w:gridSpan w:val="5"/>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模式整理</w:t>
            </w:r>
          </w:p>
        </w:tc>
        <w:tc>
          <w:tcPr>
            <w:tcW w:w="5400" w:type="dxa"/>
            <w:gridSpan w:val="5"/>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数据整理、报送及总结报告</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6480" w:type="dxa"/>
            <w:gridSpan w:val="6"/>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总计</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100000</w:t>
            </w:r>
          </w:p>
        </w:tc>
      </w:tr>
    </w:tbl>
    <w:p>
      <w:pPr>
        <w:spacing w:line="360" w:lineRule="auto"/>
        <w:jc w:val="left"/>
        <w:rPr>
          <w:rFonts w:eastAsia="方正仿宋_GBK"/>
          <w:color w:val="auto"/>
          <w:sz w:val="32"/>
          <w:szCs w:val="32"/>
        </w:rPr>
      </w:pPr>
    </w:p>
    <w:p>
      <w:pPr>
        <w:spacing w:line="360" w:lineRule="auto"/>
        <w:jc w:val="left"/>
        <w:rPr>
          <w:rFonts w:eastAsia="方正仿宋_GBK"/>
          <w:color w:val="auto"/>
          <w:sz w:val="32"/>
          <w:szCs w:val="32"/>
        </w:rPr>
      </w:pPr>
      <w:r>
        <w:rPr>
          <w:rFonts w:eastAsia="方正仿宋_GBK"/>
          <w:color w:val="auto"/>
          <w:sz w:val="32"/>
          <w:szCs w:val="32"/>
        </w:rPr>
        <w:t>附件：</w:t>
      </w:r>
    </w:p>
    <w:p>
      <w:pPr>
        <w:pStyle w:val="13"/>
        <w:spacing w:line="360" w:lineRule="auto"/>
        <w:ind w:firstLine="0" w:firstLineChars="0"/>
        <w:jc w:val="left"/>
        <w:rPr>
          <w:rFonts w:eastAsia="方正仿宋_GBK"/>
          <w:color w:val="auto"/>
          <w:sz w:val="32"/>
          <w:szCs w:val="32"/>
        </w:rPr>
      </w:pPr>
      <w:r>
        <w:rPr>
          <w:rFonts w:eastAsia="方正仿宋_GBK"/>
          <w:color w:val="auto"/>
          <w:sz w:val="32"/>
          <w:szCs w:val="32"/>
        </w:rPr>
        <w:t>3-1.抽样地块调差表</w:t>
      </w:r>
    </w:p>
    <w:p>
      <w:pPr>
        <w:pStyle w:val="13"/>
        <w:spacing w:line="360" w:lineRule="auto"/>
        <w:ind w:firstLine="0" w:firstLineChars="0"/>
        <w:jc w:val="left"/>
        <w:rPr>
          <w:rFonts w:eastAsia="方正仿宋_GBK"/>
          <w:color w:val="auto"/>
          <w:sz w:val="32"/>
          <w:szCs w:val="32"/>
        </w:rPr>
      </w:pPr>
      <w:r>
        <w:rPr>
          <w:rFonts w:eastAsia="方正仿宋_GBK"/>
          <w:color w:val="auto"/>
          <w:sz w:val="32"/>
          <w:szCs w:val="32"/>
        </w:rPr>
        <w:t>3-2.草谷比系数调查表</w:t>
      </w:r>
    </w:p>
    <w:p>
      <w:pPr>
        <w:pStyle w:val="13"/>
        <w:spacing w:line="360" w:lineRule="auto"/>
        <w:ind w:firstLine="0" w:firstLineChars="0"/>
        <w:jc w:val="left"/>
        <w:rPr>
          <w:rFonts w:eastAsia="方正仿宋_GBK"/>
          <w:color w:val="auto"/>
          <w:sz w:val="32"/>
          <w:szCs w:val="32"/>
        </w:rPr>
      </w:pPr>
      <w:r>
        <w:rPr>
          <w:rFonts w:eastAsia="方正仿宋_GBK"/>
          <w:color w:val="auto"/>
          <w:sz w:val="32"/>
          <w:szCs w:val="32"/>
        </w:rPr>
        <w:t>3-3.样品标签</w:t>
      </w:r>
    </w:p>
    <w:p>
      <w:pPr>
        <w:pStyle w:val="13"/>
        <w:spacing w:line="360" w:lineRule="auto"/>
        <w:ind w:firstLine="0" w:firstLineChars="0"/>
        <w:jc w:val="left"/>
        <w:rPr>
          <w:rFonts w:eastAsia="方正仿宋_GBK"/>
          <w:color w:val="auto"/>
          <w:sz w:val="32"/>
          <w:szCs w:val="32"/>
        </w:rPr>
      </w:pPr>
      <w:r>
        <w:rPr>
          <w:rFonts w:eastAsia="方正仿宋_GBK"/>
          <w:color w:val="auto"/>
          <w:sz w:val="32"/>
          <w:szCs w:val="32"/>
        </w:rPr>
        <w:t>3-4.农作物可收集系数调查表</w:t>
      </w:r>
    </w:p>
    <w:p>
      <w:pPr>
        <w:pStyle w:val="13"/>
        <w:spacing w:line="360" w:lineRule="auto"/>
        <w:ind w:firstLine="0" w:firstLineChars="0"/>
        <w:jc w:val="left"/>
        <w:rPr>
          <w:rFonts w:eastAsia="方正仿宋_GBK"/>
          <w:color w:val="auto"/>
          <w:sz w:val="32"/>
          <w:szCs w:val="32"/>
        </w:rPr>
      </w:pPr>
      <w:r>
        <w:rPr>
          <w:rFonts w:eastAsia="方正仿宋_GBK"/>
          <w:color w:val="auto"/>
          <w:sz w:val="32"/>
          <w:szCs w:val="32"/>
        </w:rPr>
        <w:t>3-5.秸秆还田地块检测表</w:t>
      </w:r>
    </w:p>
    <w:p>
      <w:pPr>
        <w:pStyle w:val="13"/>
        <w:numPr>
          <w:ilvl w:val="0"/>
          <w:numId w:val="1"/>
        </w:numPr>
        <w:spacing w:line="600" w:lineRule="exact"/>
        <w:ind w:firstLineChars="0"/>
        <w:jc w:val="left"/>
        <w:rPr>
          <w:rFonts w:eastAsia="方正仿宋_GBK"/>
          <w:color w:val="auto"/>
          <w:sz w:val="32"/>
          <w:szCs w:val="32"/>
        </w:rPr>
      </w:pPr>
      <w:r>
        <w:rPr>
          <w:rFonts w:eastAsia="方正仿宋_GBK"/>
          <w:bCs/>
          <w:color w:val="auto"/>
          <w:sz w:val="32"/>
          <w:szCs w:val="36"/>
        </w:rPr>
        <w:t>3-6.2023年度红塔区农作物草谷比、秸秆可收集系数监测总结报告</w:t>
      </w:r>
    </w:p>
    <w:p>
      <w:pPr>
        <w:spacing w:line="240" w:lineRule="auto"/>
        <w:rPr>
          <w:rFonts w:eastAsia="黑体"/>
          <w:color w:val="auto"/>
          <w:sz w:val="32"/>
          <w:szCs w:val="32"/>
        </w:rPr>
      </w:pPr>
      <w:bookmarkStart w:id="545" w:name="_Toc105422670"/>
      <w:r>
        <w:rPr>
          <w:rFonts w:eastAsia="黑体"/>
          <w:color w:val="auto"/>
          <w:sz w:val="32"/>
          <w:szCs w:val="32"/>
        </w:rPr>
        <w:br w:type="page"/>
      </w:r>
    </w:p>
    <w:p>
      <w:pPr>
        <w:spacing w:line="600" w:lineRule="exact"/>
        <w:rPr>
          <w:rFonts w:eastAsiaTheme="minorEastAsia"/>
          <w:b/>
          <w:color w:val="auto"/>
          <w:sz w:val="28"/>
          <w:szCs w:val="32"/>
        </w:rPr>
      </w:pPr>
      <w:r>
        <w:rPr>
          <w:rFonts w:eastAsia="黑体"/>
          <w:color w:val="auto"/>
          <w:sz w:val="32"/>
          <w:szCs w:val="32"/>
        </w:rPr>
        <w:t>附件3-1</w:t>
      </w:r>
      <w:bookmarkEnd w:id="545"/>
    </w:p>
    <w:p>
      <w:pPr>
        <w:tabs>
          <w:tab w:val="left" w:pos="0"/>
          <w:tab w:val="left" w:pos="6237"/>
        </w:tabs>
        <w:jc w:val="center"/>
        <w:rPr>
          <w:b/>
          <w:color w:val="auto"/>
          <w:kern w:val="0"/>
          <w:sz w:val="28"/>
        </w:rPr>
      </w:pPr>
    </w:p>
    <w:p>
      <w:pPr>
        <w:tabs>
          <w:tab w:val="left" w:pos="0"/>
          <w:tab w:val="left" w:pos="6237"/>
        </w:tabs>
        <w:jc w:val="center"/>
        <w:rPr>
          <w:rFonts w:eastAsia="华文中宋"/>
          <w:b/>
          <w:color w:val="auto"/>
          <w:sz w:val="36"/>
          <w:szCs w:val="40"/>
        </w:rPr>
      </w:pPr>
      <w:r>
        <w:rPr>
          <w:rFonts w:eastAsia="华文中宋"/>
          <w:b/>
          <w:color w:val="auto"/>
          <w:sz w:val="36"/>
          <w:szCs w:val="40"/>
        </w:rPr>
        <w:t>表1  抽样地块调查表</w:t>
      </w:r>
    </w:p>
    <w:p>
      <w:pPr>
        <w:tabs>
          <w:tab w:val="left" w:pos="0"/>
          <w:tab w:val="left" w:pos="6237"/>
        </w:tabs>
        <w:jc w:val="center"/>
        <w:rPr>
          <w:rFonts w:eastAsia="华文中宋"/>
          <w:b/>
          <w:color w:val="auto"/>
          <w:sz w:val="36"/>
          <w:szCs w:val="40"/>
        </w:rPr>
      </w:pPr>
    </w:p>
    <w:p>
      <w:pPr>
        <w:rPr>
          <w:color w:val="auto"/>
          <w:kern w:val="0"/>
          <w:sz w:val="18"/>
          <w:u w:val="single"/>
        </w:rPr>
      </w:pPr>
      <w:r>
        <w:rPr>
          <w:color w:val="auto"/>
          <w:kern w:val="0"/>
          <w:sz w:val="18"/>
          <w:u w:val="single"/>
        </w:rPr>
        <w:t xml:space="preserve">       </w:t>
      </w:r>
      <w:bookmarkStart w:id="546" w:name="_Toc507936164"/>
      <w:r>
        <w:rPr>
          <w:color w:val="auto"/>
          <w:kern w:val="0"/>
          <w:sz w:val="18"/>
        </w:rPr>
        <w:t>县(市/区/旗)</w:t>
      </w:r>
      <w:r>
        <w:rPr>
          <w:color w:val="auto"/>
          <w:kern w:val="0"/>
          <w:sz w:val="18"/>
          <w:u w:val="single"/>
        </w:rPr>
        <w:t xml:space="preserve">      </w:t>
      </w:r>
      <w:r>
        <w:rPr>
          <w:color w:val="auto"/>
          <w:kern w:val="0"/>
          <w:sz w:val="18"/>
        </w:rPr>
        <w:t>乡(镇)</w:t>
      </w:r>
      <w:r>
        <w:rPr>
          <w:color w:val="auto"/>
          <w:kern w:val="0"/>
          <w:sz w:val="18"/>
          <w:u w:val="single"/>
        </w:rPr>
        <w:t xml:space="preserve">         </w:t>
      </w:r>
      <w:r>
        <w:rPr>
          <w:color w:val="auto"/>
          <w:kern w:val="0"/>
          <w:sz w:val="18"/>
        </w:rPr>
        <w:t>村      ２０</w:t>
      </w:r>
      <w:r>
        <w:rPr>
          <w:color w:val="auto"/>
          <w:kern w:val="0"/>
          <w:sz w:val="18"/>
          <w:u w:val="single"/>
        </w:rPr>
        <w:t xml:space="preserve">    </w:t>
      </w:r>
      <w:r>
        <w:rPr>
          <w:color w:val="auto"/>
          <w:kern w:val="0"/>
          <w:sz w:val="18"/>
        </w:rPr>
        <w:t>年      农作物种类及品种：</w:t>
      </w:r>
      <w:r>
        <w:rPr>
          <w:color w:val="auto"/>
          <w:kern w:val="0"/>
          <w:sz w:val="18"/>
          <w:u w:val="single"/>
        </w:rPr>
        <w:t>.</w:t>
      </w:r>
      <w:bookmarkEnd w:id="546"/>
      <w:r>
        <w:rPr>
          <w:color w:val="auto"/>
          <w:kern w:val="0"/>
          <w:sz w:val="18"/>
          <w:u w:val="single"/>
        </w:rPr>
        <w:t xml:space="preserve">           </w:t>
      </w:r>
    </w:p>
    <w:p>
      <w:pPr>
        <w:rPr>
          <w:color w:val="auto"/>
        </w:rPr>
      </w:pPr>
    </w:p>
    <w:tbl>
      <w:tblPr>
        <w:tblStyle w:val="10"/>
        <w:tblW w:w="8296" w:type="dxa"/>
        <w:tblInd w:w="0" w:type="dxa"/>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3094"/>
        <w:gridCol w:w="2472"/>
      </w:tblGrid>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trPr>
        <w:tc>
          <w:tcPr>
            <w:tcW w:w="8296" w:type="dxa"/>
            <w:gridSpan w:val="3"/>
          </w:tcPr>
          <w:p>
            <w:pPr>
              <w:rPr>
                <w:color w:val="auto"/>
                <w:sz w:val="18"/>
              </w:rPr>
            </w:pPr>
          </w:p>
          <w:p>
            <w:pPr>
              <w:rPr>
                <w:color w:val="auto"/>
                <w:sz w:val="18"/>
              </w:rPr>
            </w:pPr>
            <w:r>
              <w:rPr>
                <w:color w:val="auto"/>
                <w:sz w:val="18"/>
              </w:rPr>
              <w:t>地块编号：</w:t>
            </w:r>
            <w:r>
              <w:rPr>
                <w:color w:val="auto"/>
                <w:sz w:val="18"/>
                <w:u w:val="single"/>
              </w:rPr>
              <w:t xml:space="preserve">           </w:t>
            </w:r>
            <w:r>
              <w:rPr>
                <w:color w:val="auto"/>
                <w:kern w:val="0"/>
                <w:sz w:val="18"/>
              </w:rPr>
              <w:t xml:space="preserve">  </w:t>
            </w:r>
            <w:r>
              <w:rPr>
                <w:color w:val="auto"/>
                <w:sz w:val="18"/>
              </w:rPr>
              <w:t>地块名称：</w:t>
            </w:r>
            <w:r>
              <w:rPr>
                <w:color w:val="auto"/>
                <w:sz w:val="18"/>
                <w:u w:val="single"/>
              </w:rPr>
              <w:t xml:space="preserve">            </w:t>
            </w:r>
            <w:r>
              <w:rPr>
                <w:color w:val="auto"/>
                <w:sz w:val="18"/>
              </w:rPr>
              <w:t xml:space="preserve">  地块面积（亩）：</w:t>
            </w:r>
            <w:r>
              <w:rPr>
                <w:color w:val="auto"/>
                <w:sz w:val="18"/>
                <w:u w:val="single"/>
              </w:rPr>
              <w:t xml:space="preserve">          </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5824" w:type="dxa"/>
            <w:gridSpan w:val="2"/>
          </w:tcPr>
          <w:p>
            <w:pPr>
              <w:jc w:val="center"/>
              <w:rPr>
                <w:color w:val="auto"/>
                <w:sz w:val="18"/>
              </w:rPr>
            </w:pPr>
            <w:r>
              <w:rPr>
                <w:bCs/>
                <w:color w:val="auto"/>
                <w:sz w:val="18"/>
              </w:rPr>
              <w:t>GPS测量定位点</w:t>
            </w:r>
          </w:p>
        </w:tc>
        <w:tc>
          <w:tcPr>
            <w:tcW w:w="2472" w:type="dxa"/>
            <w:vMerge w:val="restart"/>
            <w:vAlign w:val="center"/>
          </w:tcPr>
          <w:p>
            <w:pPr>
              <w:jc w:val="center"/>
              <w:rPr>
                <w:color w:val="auto"/>
                <w:sz w:val="18"/>
                <w:szCs w:val="18"/>
                <w:lang w:val="zh-CN"/>
              </w:rPr>
            </w:pPr>
            <w:r>
              <w:rPr>
                <w:color w:val="auto"/>
                <w:sz w:val="18"/>
                <w:szCs w:val="18"/>
                <w:lang w:val="zh-CN"/>
              </w:rPr>
              <w:t>标志名称</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2730" w:type="dxa"/>
          </w:tcPr>
          <w:p>
            <w:pPr>
              <w:jc w:val="center"/>
              <w:rPr>
                <w:color w:val="auto"/>
                <w:sz w:val="18"/>
              </w:rPr>
            </w:pPr>
            <w:r>
              <w:rPr>
                <w:bCs/>
                <w:color w:val="auto"/>
                <w:sz w:val="18"/>
              </w:rPr>
              <w:t>定位点编号</w:t>
            </w:r>
          </w:p>
        </w:tc>
        <w:tc>
          <w:tcPr>
            <w:tcW w:w="3094" w:type="dxa"/>
          </w:tcPr>
          <w:p>
            <w:pPr>
              <w:jc w:val="center"/>
              <w:rPr>
                <w:color w:val="auto"/>
                <w:sz w:val="18"/>
                <w:szCs w:val="18"/>
                <w:lang w:val="zh-CN"/>
              </w:rPr>
            </w:pPr>
            <w:r>
              <w:rPr>
                <w:color w:val="auto"/>
                <w:sz w:val="18"/>
                <w:szCs w:val="18"/>
                <w:lang w:val="zh-CN"/>
              </w:rPr>
              <w:t>测量结果</w:t>
            </w:r>
          </w:p>
        </w:tc>
        <w:tc>
          <w:tcPr>
            <w:tcW w:w="2472" w:type="dxa"/>
            <w:vMerge w:val="continue"/>
          </w:tcPr>
          <w:p>
            <w:pP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szCs w:val="18"/>
                <w:lang w:val="zh-CN"/>
              </w:rPr>
            </w:pPr>
            <w:r>
              <w:rPr>
                <w:color w:val="auto"/>
                <w:sz w:val="18"/>
                <w:szCs w:val="18"/>
                <w:lang w:val="zh-CN"/>
              </w:rPr>
              <w:t>01</w:t>
            </w:r>
          </w:p>
        </w:tc>
        <w:tc>
          <w:tcPr>
            <w:tcW w:w="3094" w:type="dxa"/>
          </w:tcPr>
          <w:p>
            <w:pPr>
              <w:jc w:val="left"/>
              <w:rPr>
                <w:color w:val="auto"/>
                <w:sz w:val="18"/>
                <w:szCs w:val="18"/>
                <w:lang w:val="zh-CN"/>
              </w:rPr>
            </w:pPr>
          </w:p>
        </w:tc>
        <w:tc>
          <w:tcPr>
            <w:tcW w:w="2472" w:type="dxa"/>
          </w:tcPr>
          <w:p>
            <w:pPr>
              <w:jc w:val="left"/>
              <w:rPr>
                <w:color w:val="auto"/>
                <w:sz w:val="18"/>
                <w:szCs w:val="18"/>
                <w:lang w:val="zh-CN"/>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02</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03</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 w:hRule="atLeast"/>
        </w:trPr>
        <w:tc>
          <w:tcPr>
            <w:tcW w:w="2730" w:type="dxa"/>
          </w:tcPr>
          <w:p>
            <w:pPr>
              <w:jc w:val="center"/>
              <w:rPr>
                <w:color w:val="auto"/>
                <w:sz w:val="18"/>
              </w:rPr>
            </w:pPr>
            <w:r>
              <w:rPr>
                <w:color w:val="auto"/>
                <w:sz w:val="18"/>
              </w:rPr>
              <w:t>04</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w:t>
            </w:r>
          </w:p>
        </w:tc>
        <w:tc>
          <w:tcPr>
            <w:tcW w:w="3094" w:type="dxa"/>
          </w:tcPr>
          <w:p>
            <w:pPr>
              <w:jc w:val="left"/>
              <w:rPr>
                <w:color w:val="auto"/>
                <w:sz w:val="18"/>
                <w:szCs w:val="18"/>
                <w:lang w:val="zh-CN"/>
              </w:rPr>
            </w:pPr>
          </w:p>
        </w:tc>
        <w:tc>
          <w:tcPr>
            <w:tcW w:w="2472" w:type="dxa"/>
          </w:tcPr>
          <w:p>
            <w:pPr>
              <w:jc w:val="center"/>
              <w:rPr>
                <w:color w:val="auto"/>
                <w:sz w:val="18"/>
              </w:rPr>
            </w:pPr>
            <w:r>
              <w:rPr>
                <w:color w:val="auto"/>
                <w:sz w:val="18"/>
              </w:rPr>
              <w:t>…</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9" w:hRule="atLeast"/>
        </w:trPr>
        <w:tc>
          <w:tcPr>
            <w:tcW w:w="8296" w:type="dxa"/>
            <w:gridSpan w:val="3"/>
          </w:tcPr>
          <w:p>
            <w:pPr>
              <w:jc w:val="left"/>
              <w:rPr>
                <w:color w:val="auto"/>
                <w:kern w:val="0"/>
                <w:sz w:val="18"/>
              </w:rPr>
            </w:pPr>
            <w:r>
              <w:rPr>
                <w:b/>
                <w:color w:val="auto"/>
                <w:kern w:val="0"/>
                <w:sz w:val="18"/>
              </w:rPr>
              <w:t>注：</w:t>
            </w:r>
            <w:r>
              <w:rPr>
                <w:color w:val="auto"/>
                <w:kern w:val="0"/>
                <w:sz w:val="18"/>
              </w:rPr>
              <w:t>1.</w:t>
            </w:r>
            <w:r>
              <w:rPr>
                <w:bCs/>
                <w:color w:val="auto"/>
                <w:sz w:val="18"/>
              </w:rPr>
              <w:t xml:space="preserve"> 用GPS对抽样地块主要拐点处的坐标位置定位，将定位点编号，并把测量结果填入表中</w:t>
            </w:r>
            <w:r>
              <w:rPr>
                <w:bCs/>
                <w:color w:val="auto"/>
              </w:rPr>
              <w:t>。</w:t>
            </w:r>
          </w:p>
          <w:p>
            <w:pPr>
              <w:jc w:val="left"/>
              <w:rPr>
                <w:color w:val="auto"/>
                <w:sz w:val="18"/>
              </w:rPr>
            </w:pPr>
            <w:r>
              <w:rPr>
                <w:color w:val="auto"/>
                <w:kern w:val="0"/>
                <w:sz w:val="18"/>
              </w:rPr>
              <w:t>2.</w:t>
            </w:r>
            <w:r>
              <w:rPr>
                <w:bCs/>
                <w:color w:val="auto"/>
                <w:sz w:val="18"/>
              </w:rPr>
              <w:t xml:space="preserve"> 写明抽样地块各个定位点的明显标志，如河流、道路、大树、电线秆等。</w:t>
            </w:r>
          </w:p>
        </w:tc>
      </w:tr>
    </w:tbl>
    <w:p>
      <w:pPr>
        <w:widowControl/>
        <w:jc w:val="left"/>
        <w:rPr>
          <w:rFonts w:eastAsia="Times New Roman"/>
          <w:color w:val="auto"/>
          <w:kern w:val="0"/>
          <w:sz w:val="24"/>
        </w:rPr>
      </w:pPr>
      <w:r>
        <w:rPr>
          <w:color w:val="auto"/>
          <w:kern w:val="0"/>
          <w:sz w:val="18"/>
          <w:szCs w:val="18"/>
          <w:shd w:val="clear" w:color="auto" w:fill="FFFFFF"/>
        </w:rPr>
        <w:t>调查人：                  核验人：                                调查日期：20  年  月  日</w:t>
      </w:r>
    </w:p>
    <w:p>
      <w:pPr>
        <w:rPr>
          <w:rFonts w:eastAsia="黑体"/>
          <w:color w:val="auto"/>
          <w:sz w:val="32"/>
          <w:szCs w:val="32"/>
        </w:rPr>
      </w:pPr>
      <w:bookmarkStart w:id="547" w:name="_Toc105422671"/>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line="600" w:lineRule="exact"/>
        <w:rPr>
          <w:rFonts w:eastAsia="黑体"/>
          <w:color w:val="auto"/>
          <w:sz w:val="32"/>
          <w:szCs w:val="32"/>
        </w:rPr>
      </w:pPr>
      <w:r>
        <w:rPr>
          <w:rFonts w:eastAsia="黑体"/>
          <w:color w:val="auto"/>
          <w:sz w:val="32"/>
          <w:szCs w:val="32"/>
        </w:rPr>
        <w:t>附件3-2</w:t>
      </w:r>
      <w:bookmarkEnd w:id="547"/>
    </w:p>
    <w:p>
      <w:pPr>
        <w:tabs>
          <w:tab w:val="left" w:pos="0"/>
          <w:tab w:val="left" w:pos="6237"/>
        </w:tabs>
        <w:jc w:val="center"/>
        <w:rPr>
          <w:b/>
          <w:color w:val="auto"/>
          <w:kern w:val="0"/>
          <w:sz w:val="28"/>
        </w:rPr>
      </w:pPr>
    </w:p>
    <w:p>
      <w:pPr>
        <w:spacing w:line="600" w:lineRule="exact"/>
        <w:jc w:val="center"/>
        <w:rPr>
          <w:rFonts w:eastAsia="华文中宋"/>
          <w:b/>
          <w:color w:val="auto"/>
          <w:sz w:val="36"/>
          <w:szCs w:val="40"/>
        </w:rPr>
      </w:pPr>
      <w:r>
        <w:rPr>
          <w:rFonts w:eastAsia="华文中宋"/>
          <w:b/>
          <w:color w:val="auto"/>
          <w:sz w:val="36"/>
          <w:szCs w:val="40"/>
        </w:rPr>
        <w:t>表2  草谷比系数调查表</w:t>
      </w:r>
    </w:p>
    <w:p>
      <w:pPr>
        <w:spacing w:line="600" w:lineRule="exact"/>
        <w:jc w:val="center"/>
        <w:rPr>
          <w:rFonts w:eastAsia="华文中宋"/>
          <w:b/>
          <w:color w:val="auto"/>
          <w:sz w:val="36"/>
          <w:szCs w:val="40"/>
        </w:rPr>
      </w:pPr>
    </w:p>
    <w:p>
      <w:pPr>
        <w:rPr>
          <w:color w:val="auto"/>
          <w:kern w:val="0"/>
          <w:sz w:val="18"/>
        </w:rPr>
      </w:pPr>
      <w:bookmarkStart w:id="548" w:name="_Toc507936165"/>
      <w:r>
        <w:rPr>
          <w:color w:val="auto"/>
          <w:kern w:val="0"/>
          <w:sz w:val="18"/>
          <w:u w:val="single"/>
        </w:rPr>
        <w:t xml:space="preserve">       </w:t>
      </w:r>
      <w:r>
        <w:rPr>
          <w:color w:val="auto"/>
          <w:kern w:val="0"/>
          <w:sz w:val="18"/>
        </w:rPr>
        <w:t>县(市/区/旗)</w:t>
      </w:r>
      <w:r>
        <w:rPr>
          <w:color w:val="auto"/>
          <w:kern w:val="0"/>
          <w:sz w:val="18"/>
          <w:u w:val="single"/>
        </w:rPr>
        <w:t xml:space="preserve">      </w:t>
      </w:r>
      <w:r>
        <w:rPr>
          <w:color w:val="auto"/>
          <w:kern w:val="0"/>
          <w:sz w:val="18"/>
        </w:rPr>
        <w:t>乡(镇)</w:t>
      </w:r>
      <w:r>
        <w:rPr>
          <w:color w:val="auto"/>
          <w:kern w:val="0"/>
          <w:sz w:val="18"/>
          <w:u w:val="single"/>
        </w:rPr>
        <w:t xml:space="preserve">         </w:t>
      </w:r>
      <w:r>
        <w:rPr>
          <w:color w:val="auto"/>
          <w:kern w:val="0"/>
          <w:sz w:val="18"/>
        </w:rPr>
        <w:t>村       ２０</w:t>
      </w:r>
      <w:r>
        <w:rPr>
          <w:color w:val="auto"/>
          <w:kern w:val="0"/>
          <w:sz w:val="18"/>
          <w:u w:val="single"/>
        </w:rPr>
        <w:t xml:space="preserve">    </w:t>
      </w:r>
      <w:r>
        <w:rPr>
          <w:color w:val="auto"/>
          <w:kern w:val="0"/>
          <w:sz w:val="18"/>
        </w:rPr>
        <w:t xml:space="preserve">年     </w:t>
      </w:r>
      <w:bookmarkEnd w:id="548"/>
      <w:r>
        <w:rPr>
          <w:color w:val="auto"/>
          <w:kern w:val="0"/>
          <w:sz w:val="18"/>
        </w:rPr>
        <w:t>农作物种类及品种：</w:t>
      </w:r>
      <w:r>
        <w:rPr>
          <w:color w:val="auto"/>
          <w:kern w:val="0"/>
          <w:sz w:val="18"/>
          <w:u w:val="single"/>
        </w:rPr>
        <w:t xml:space="preserve">.           </w:t>
      </w:r>
    </w:p>
    <w:p>
      <w:pPr>
        <w:rPr>
          <w:color w:val="auto"/>
          <w:kern w:val="0"/>
          <w:sz w:val="18"/>
          <w:u w:val="single"/>
        </w:rPr>
      </w:pPr>
    </w:p>
    <w:tbl>
      <w:tblPr>
        <w:tblStyle w:val="10"/>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36"/>
        <w:gridCol w:w="1975"/>
        <w:gridCol w:w="19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4336" w:type="dxa"/>
            <w:vAlign w:val="center"/>
          </w:tcPr>
          <w:p>
            <w:pPr>
              <w:jc w:val="left"/>
              <w:rPr>
                <w:color w:val="auto"/>
                <w:sz w:val="18"/>
                <w:szCs w:val="18"/>
              </w:rPr>
            </w:pPr>
            <w:r>
              <w:rPr>
                <w:color w:val="auto"/>
                <w:sz w:val="18"/>
                <w:szCs w:val="18"/>
              </w:rPr>
              <w:t>地块编号</w:t>
            </w:r>
          </w:p>
        </w:tc>
        <w:tc>
          <w:tcPr>
            <w:tcW w:w="1975" w:type="dxa"/>
            <w:vAlign w:val="center"/>
          </w:tcPr>
          <w:p>
            <w:pPr>
              <w:jc w:val="center"/>
              <w:rPr>
                <w:color w:val="auto"/>
                <w:sz w:val="18"/>
                <w:szCs w:val="18"/>
              </w:rPr>
            </w:pPr>
            <w:r>
              <w:rPr>
                <w:color w:val="auto"/>
                <w:sz w:val="18"/>
                <w:szCs w:val="18"/>
              </w:rPr>
              <w:t>1</w:t>
            </w:r>
          </w:p>
        </w:tc>
        <w:tc>
          <w:tcPr>
            <w:tcW w:w="1975" w:type="dxa"/>
            <w:vAlign w:val="center"/>
          </w:tcPr>
          <w:p>
            <w:pPr>
              <w:jc w:val="center"/>
              <w:rPr>
                <w:color w:val="auto"/>
                <w:sz w:val="18"/>
                <w:szCs w:val="18"/>
              </w:rPr>
            </w:pPr>
            <w:r>
              <w:rPr>
                <w:color w:val="auto"/>
                <w:sz w:val="18"/>
                <w:szCs w:val="18"/>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4336" w:type="dxa"/>
            <w:vAlign w:val="center"/>
          </w:tcPr>
          <w:p>
            <w:pPr>
              <w:jc w:val="left"/>
              <w:rPr>
                <w:color w:val="auto"/>
                <w:sz w:val="18"/>
                <w:szCs w:val="18"/>
              </w:rPr>
            </w:pPr>
            <w:r>
              <w:rPr>
                <w:color w:val="auto"/>
                <w:sz w:val="18"/>
                <w:szCs w:val="18"/>
              </w:rPr>
              <w:t>地块名称</w:t>
            </w:r>
          </w:p>
        </w:tc>
        <w:tc>
          <w:tcPr>
            <w:tcW w:w="1975" w:type="dxa"/>
            <w:vAlign w:val="center"/>
          </w:tcPr>
          <w:p>
            <w:pPr>
              <w:jc w:val="center"/>
              <w:rPr>
                <w:color w:val="auto"/>
                <w:sz w:val="18"/>
                <w:szCs w:val="18"/>
              </w:rPr>
            </w:pPr>
          </w:p>
        </w:tc>
        <w:tc>
          <w:tcPr>
            <w:tcW w:w="1975"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4336" w:type="dxa"/>
            <w:vAlign w:val="center"/>
          </w:tcPr>
          <w:p>
            <w:pPr>
              <w:jc w:val="left"/>
              <w:rPr>
                <w:color w:val="auto"/>
                <w:sz w:val="18"/>
                <w:szCs w:val="18"/>
              </w:rPr>
            </w:pPr>
            <w:r>
              <w:rPr>
                <w:color w:val="auto"/>
                <w:sz w:val="18"/>
                <w:szCs w:val="18"/>
              </w:rPr>
              <w:t>籽实重量，kg</w:t>
            </w:r>
          </w:p>
        </w:tc>
        <w:tc>
          <w:tcPr>
            <w:tcW w:w="1975" w:type="dxa"/>
            <w:vAlign w:val="center"/>
          </w:tcPr>
          <w:p>
            <w:pPr>
              <w:jc w:val="center"/>
              <w:rPr>
                <w:color w:val="auto"/>
                <w:sz w:val="18"/>
                <w:szCs w:val="18"/>
              </w:rPr>
            </w:pPr>
          </w:p>
        </w:tc>
        <w:tc>
          <w:tcPr>
            <w:tcW w:w="1975"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4336" w:type="dxa"/>
            <w:vAlign w:val="center"/>
          </w:tcPr>
          <w:p>
            <w:pPr>
              <w:jc w:val="left"/>
              <w:rPr>
                <w:color w:val="auto"/>
                <w:sz w:val="18"/>
                <w:szCs w:val="18"/>
              </w:rPr>
            </w:pPr>
            <w:r>
              <w:rPr>
                <w:color w:val="auto"/>
                <w:sz w:val="18"/>
                <w:szCs w:val="18"/>
              </w:rPr>
              <w:t>棉花衣分率，%</w:t>
            </w:r>
          </w:p>
        </w:tc>
        <w:tc>
          <w:tcPr>
            <w:tcW w:w="1975" w:type="dxa"/>
            <w:vAlign w:val="center"/>
          </w:tcPr>
          <w:p>
            <w:pPr>
              <w:jc w:val="center"/>
              <w:rPr>
                <w:color w:val="auto"/>
                <w:sz w:val="18"/>
                <w:szCs w:val="18"/>
              </w:rPr>
            </w:pPr>
          </w:p>
        </w:tc>
        <w:tc>
          <w:tcPr>
            <w:tcW w:w="1975"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2" w:hRule="atLeast"/>
          <w:jc w:val="center"/>
        </w:trPr>
        <w:tc>
          <w:tcPr>
            <w:tcW w:w="4336" w:type="dxa"/>
            <w:vAlign w:val="center"/>
          </w:tcPr>
          <w:p>
            <w:pPr>
              <w:jc w:val="left"/>
              <w:rPr>
                <w:color w:val="auto"/>
                <w:sz w:val="18"/>
                <w:szCs w:val="18"/>
              </w:rPr>
            </w:pPr>
            <w:r>
              <w:rPr>
                <w:color w:val="auto"/>
                <w:sz w:val="18"/>
                <w:szCs w:val="18"/>
              </w:rPr>
              <w:t>秸秆重量，kg</w:t>
            </w:r>
          </w:p>
        </w:tc>
        <w:tc>
          <w:tcPr>
            <w:tcW w:w="1975" w:type="dxa"/>
            <w:vAlign w:val="center"/>
          </w:tcPr>
          <w:p>
            <w:pPr>
              <w:jc w:val="center"/>
              <w:rPr>
                <w:color w:val="auto"/>
                <w:sz w:val="18"/>
                <w:szCs w:val="18"/>
              </w:rPr>
            </w:pPr>
          </w:p>
        </w:tc>
        <w:tc>
          <w:tcPr>
            <w:tcW w:w="1975"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5" w:hRule="atLeast"/>
          <w:jc w:val="center"/>
        </w:trPr>
        <w:tc>
          <w:tcPr>
            <w:tcW w:w="8286" w:type="dxa"/>
            <w:gridSpan w:val="3"/>
            <w:vAlign w:val="center"/>
          </w:tcPr>
          <w:p>
            <w:pPr>
              <w:pStyle w:val="18"/>
              <w:wordWrap/>
              <w:jc w:val="left"/>
              <w:outlineLvl w:val="9"/>
              <w:rPr>
                <w:rFonts w:ascii="Times New Roman" w:eastAsia="宋体"/>
                <w:color w:val="auto"/>
                <w:kern w:val="0"/>
                <w:sz w:val="18"/>
              </w:rPr>
            </w:pPr>
            <w:r>
              <w:rPr>
                <w:rFonts w:ascii="Times New Roman" w:eastAsia="宋体"/>
                <w:b/>
                <w:bCs/>
                <w:color w:val="auto"/>
                <w:kern w:val="0"/>
                <w:sz w:val="18"/>
              </w:rPr>
              <w:t>注：</w:t>
            </w:r>
            <w:r>
              <w:rPr>
                <w:rFonts w:ascii="Times New Roman" w:eastAsia="宋体"/>
                <w:color w:val="auto"/>
                <w:kern w:val="0"/>
                <w:sz w:val="18"/>
              </w:rPr>
              <w:t>数据精度保留小数点后两位。籽实重量和秸秆重量指完成实割（采）实测步骤后得到的重量。</w:t>
            </w:r>
          </w:p>
        </w:tc>
      </w:tr>
    </w:tbl>
    <w:p>
      <w:pPr>
        <w:widowControl/>
        <w:jc w:val="left"/>
        <w:rPr>
          <w:rFonts w:eastAsia="Times New Roman"/>
          <w:color w:val="auto"/>
          <w:kern w:val="0"/>
          <w:sz w:val="24"/>
        </w:rPr>
      </w:pPr>
      <w:r>
        <w:rPr>
          <w:color w:val="auto"/>
          <w:kern w:val="0"/>
          <w:sz w:val="18"/>
          <w:szCs w:val="18"/>
          <w:shd w:val="clear" w:color="auto" w:fill="FFFFFF"/>
        </w:rPr>
        <w:t>调查人：                         核验人：                            调查日期：20  年  月  日</w:t>
      </w:r>
    </w:p>
    <w:p>
      <w:pPr>
        <w:rPr>
          <w:rFonts w:eastAsia="黑体"/>
          <w:color w:val="auto"/>
          <w:szCs w:val="32"/>
        </w:rPr>
      </w:pPr>
    </w:p>
    <w:p>
      <w:pPr>
        <w:rPr>
          <w:rFonts w:eastAsia="黑体"/>
          <w:color w:val="auto"/>
          <w:szCs w:val="32"/>
        </w:rPr>
      </w:pPr>
    </w:p>
    <w:p>
      <w:pPr>
        <w:rPr>
          <w:rFonts w:eastAsia="黑体"/>
          <w:color w:val="auto"/>
          <w:sz w:val="32"/>
          <w:szCs w:val="32"/>
        </w:rPr>
      </w:pPr>
      <w:bookmarkStart w:id="549" w:name="_Toc105422672"/>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line="600" w:lineRule="exact"/>
        <w:rPr>
          <w:rFonts w:eastAsia="黑体"/>
          <w:color w:val="auto"/>
          <w:sz w:val="32"/>
          <w:szCs w:val="32"/>
        </w:rPr>
      </w:pPr>
      <w:r>
        <w:rPr>
          <w:rFonts w:eastAsia="黑体"/>
          <w:color w:val="auto"/>
          <w:sz w:val="32"/>
          <w:szCs w:val="32"/>
        </w:rPr>
        <w:t>附件3</w:t>
      </w:r>
      <w:bookmarkEnd w:id="549"/>
      <w:r>
        <w:rPr>
          <w:rFonts w:eastAsia="黑体"/>
          <w:color w:val="auto"/>
          <w:sz w:val="32"/>
          <w:szCs w:val="32"/>
        </w:rPr>
        <w:t>-3</w:t>
      </w:r>
    </w:p>
    <w:p>
      <w:pPr>
        <w:rPr>
          <w:rFonts w:eastAsia="黑体"/>
          <w:color w:val="auto"/>
          <w:szCs w:val="32"/>
        </w:rPr>
      </w:pPr>
    </w:p>
    <w:p>
      <w:pPr>
        <w:spacing w:line="600" w:lineRule="exact"/>
        <w:jc w:val="center"/>
        <w:rPr>
          <w:rFonts w:eastAsia="华文中宋"/>
          <w:b/>
          <w:color w:val="auto"/>
          <w:sz w:val="36"/>
          <w:szCs w:val="40"/>
        </w:rPr>
      </w:pPr>
      <w:r>
        <w:rPr>
          <w:rFonts w:eastAsia="华文中宋"/>
          <w:b/>
          <w:color w:val="auto"/>
          <w:sz w:val="36"/>
          <w:szCs w:val="40"/>
        </w:rPr>
        <w:t>表3样品标签</w:t>
      </w:r>
    </w:p>
    <w:p>
      <w:pPr>
        <w:spacing w:line="600" w:lineRule="exact"/>
        <w:jc w:val="center"/>
        <w:rPr>
          <w:rFonts w:eastAsia="华文中宋"/>
          <w:b/>
          <w:color w:val="auto"/>
          <w:sz w:val="36"/>
          <w:szCs w:val="40"/>
        </w:rPr>
      </w:pPr>
    </w:p>
    <w:p>
      <w:pPr>
        <w:tabs>
          <w:tab w:val="left" w:pos="0"/>
          <w:tab w:val="left" w:pos="6237"/>
        </w:tabs>
        <w:ind w:firstLine="180" w:firstLineChars="100"/>
        <w:rPr>
          <w:color w:val="auto"/>
          <w:kern w:val="0"/>
          <w:sz w:val="18"/>
          <w:szCs w:val="18"/>
          <w:u w:val="single"/>
        </w:rPr>
      </w:pPr>
      <w:bookmarkStart w:id="550" w:name="_Toc507936168"/>
      <w:r>
        <w:rPr>
          <w:color w:val="auto"/>
          <w:kern w:val="0"/>
          <w:sz w:val="18"/>
          <w:szCs w:val="18"/>
        </w:rPr>
        <w:t>县（市）</w:t>
      </w:r>
      <w:r>
        <w:rPr>
          <w:color w:val="auto"/>
          <w:kern w:val="0"/>
          <w:sz w:val="18"/>
          <w:szCs w:val="18"/>
          <w:u w:val="single"/>
        </w:rPr>
        <w:t xml:space="preserve">       </w:t>
      </w:r>
      <w:r>
        <w:rPr>
          <w:color w:val="auto"/>
          <w:kern w:val="0"/>
          <w:sz w:val="18"/>
          <w:szCs w:val="18"/>
        </w:rPr>
        <w:t>乡（镇）</w:t>
      </w:r>
      <w:r>
        <w:rPr>
          <w:color w:val="auto"/>
          <w:kern w:val="0"/>
          <w:sz w:val="18"/>
          <w:szCs w:val="18"/>
          <w:u w:val="single"/>
        </w:rPr>
        <w:t xml:space="preserve">       </w:t>
      </w:r>
      <w:r>
        <w:rPr>
          <w:color w:val="auto"/>
          <w:kern w:val="0"/>
          <w:sz w:val="18"/>
          <w:szCs w:val="18"/>
        </w:rPr>
        <w:t>村</w:t>
      </w:r>
      <w:bookmarkEnd w:id="550"/>
      <w:r>
        <w:rPr>
          <w:color w:val="auto"/>
          <w:kern w:val="0"/>
          <w:sz w:val="18"/>
          <w:szCs w:val="18"/>
        </w:rPr>
        <w:t xml:space="preserve">          20</w:t>
      </w:r>
      <w:r>
        <w:rPr>
          <w:color w:val="auto"/>
          <w:kern w:val="0"/>
          <w:sz w:val="18"/>
          <w:szCs w:val="18"/>
          <w:u w:val="single"/>
        </w:rPr>
        <w:t xml:space="preserve">       </w:t>
      </w:r>
      <w:r>
        <w:rPr>
          <w:color w:val="auto"/>
          <w:kern w:val="0"/>
          <w:sz w:val="18"/>
          <w:szCs w:val="18"/>
        </w:rPr>
        <w:t xml:space="preserve">        农作物种类及品种</w:t>
      </w:r>
      <w:r>
        <w:rPr>
          <w:color w:val="auto"/>
          <w:kern w:val="0"/>
          <w:sz w:val="18"/>
          <w:szCs w:val="18"/>
          <w:u w:val="single"/>
        </w:rPr>
        <w:t xml:space="preserve">       </w:t>
      </w:r>
    </w:p>
    <w:p>
      <w:pPr>
        <w:tabs>
          <w:tab w:val="left" w:pos="0"/>
          <w:tab w:val="left" w:pos="6237"/>
        </w:tabs>
        <w:rPr>
          <w:color w:val="auto"/>
          <w:kern w:val="0"/>
          <w:sz w:val="18"/>
          <w:szCs w:val="18"/>
        </w:rPr>
      </w:pPr>
    </w:p>
    <w:tbl>
      <w:tblPr>
        <w:tblStyle w:val="10"/>
        <w:tblW w:w="78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53"/>
        <w:gridCol w:w="1953"/>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jc w:val="center"/>
        </w:trPr>
        <w:tc>
          <w:tcPr>
            <w:tcW w:w="1951" w:type="dxa"/>
            <w:vAlign w:val="center"/>
          </w:tcPr>
          <w:p>
            <w:pPr>
              <w:jc w:val="center"/>
              <w:rPr>
                <w:color w:val="auto"/>
                <w:kern w:val="0"/>
                <w:sz w:val="18"/>
                <w:szCs w:val="18"/>
              </w:rPr>
            </w:pPr>
            <w:bookmarkStart w:id="551" w:name="_Toc507936169"/>
            <w:r>
              <w:rPr>
                <w:color w:val="auto"/>
                <w:kern w:val="0"/>
                <w:sz w:val="18"/>
                <w:szCs w:val="18"/>
              </w:rPr>
              <w:t>地块编号</w:t>
            </w:r>
            <w:bookmarkEnd w:id="551"/>
          </w:p>
        </w:tc>
        <w:tc>
          <w:tcPr>
            <w:tcW w:w="1953" w:type="dxa"/>
            <w:vAlign w:val="center"/>
          </w:tcPr>
          <w:p>
            <w:pPr>
              <w:jc w:val="center"/>
              <w:rPr>
                <w:color w:val="auto"/>
                <w:kern w:val="0"/>
                <w:sz w:val="18"/>
                <w:szCs w:val="18"/>
              </w:rPr>
            </w:pPr>
          </w:p>
        </w:tc>
        <w:tc>
          <w:tcPr>
            <w:tcW w:w="1953" w:type="dxa"/>
            <w:vAlign w:val="center"/>
          </w:tcPr>
          <w:p>
            <w:pPr>
              <w:jc w:val="center"/>
              <w:rPr>
                <w:color w:val="auto"/>
                <w:kern w:val="0"/>
                <w:sz w:val="18"/>
                <w:szCs w:val="18"/>
              </w:rPr>
            </w:pPr>
            <w:bookmarkStart w:id="552" w:name="_Toc507936170"/>
            <w:r>
              <w:rPr>
                <w:color w:val="auto"/>
                <w:kern w:val="0"/>
                <w:sz w:val="18"/>
                <w:szCs w:val="18"/>
              </w:rPr>
              <w:t>地块名称</w:t>
            </w:r>
            <w:bookmarkEnd w:id="552"/>
          </w:p>
        </w:tc>
        <w:tc>
          <w:tcPr>
            <w:tcW w:w="1953" w:type="dxa"/>
            <w:vAlign w:val="center"/>
          </w:tcPr>
          <w:p>
            <w:pPr>
              <w:jc w:val="center"/>
              <w:rPr>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jc w:val="center"/>
        </w:trPr>
        <w:tc>
          <w:tcPr>
            <w:tcW w:w="1951" w:type="dxa"/>
            <w:vAlign w:val="center"/>
          </w:tcPr>
          <w:p>
            <w:pPr>
              <w:jc w:val="center"/>
              <w:rPr>
                <w:color w:val="auto"/>
                <w:kern w:val="0"/>
                <w:sz w:val="18"/>
                <w:szCs w:val="18"/>
              </w:rPr>
            </w:pPr>
            <w:r>
              <w:rPr>
                <w:color w:val="auto"/>
                <w:kern w:val="0"/>
                <w:sz w:val="18"/>
                <w:szCs w:val="18"/>
              </w:rPr>
              <w:t>样品类型</w:t>
            </w:r>
          </w:p>
        </w:tc>
        <w:tc>
          <w:tcPr>
            <w:tcW w:w="5859" w:type="dxa"/>
            <w:gridSpan w:val="3"/>
            <w:vAlign w:val="center"/>
          </w:tcPr>
          <w:p>
            <w:pPr>
              <w:jc w:val="center"/>
              <w:rPr>
                <w:color w:val="auto"/>
                <w:kern w:val="0"/>
                <w:sz w:val="18"/>
                <w:szCs w:val="18"/>
              </w:rPr>
            </w:pPr>
            <w:r>
              <w:rPr>
                <w:color w:val="auto"/>
                <w:kern w:val="0"/>
                <w:sz w:val="18"/>
                <w:szCs w:val="18"/>
              </w:rPr>
              <w:t>秸秆（）                籽粒（）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jc w:val="center"/>
        </w:trPr>
        <w:tc>
          <w:tcPr>
            <w:tcW w:w="1951" w:type="dxa"/>
            <w:vAlign w:val="center"/>
          </w:tcPr>
          <w:p>
            <w:pPr>
              <w:jc w:val="center"/>
              <w:rPr>
                <w:color w:val="auto"/>
                <w:kern w:val="0"/>
                <w:sz w:val="18"/>
                <w:szCs w:val="18"/>
              </w:rPr>
            </w:pPr>
            <w:r>
              <w:rPr>
                <w:color w:val="auto"/>
                <w:kern w:val="0"/>
                <w:sz w:val="18"/>
                <w:szCs w:val="18"/>
              </w:rPr>
              <w:t>鲜样重量（kg）</w:t>
            </w:r>
          </w:p>
        </w:tc>
        <w:tc>
          <w:tcPr>
            <w:tcW w:w="5859" w:type="dxa"/>
            <w:gridSpan w:val="3"/>
            <w:vAlign w:val="center"/>
          </w:tcPr>
          <w:p>
            <w:pPr>
              <w:jc w:val="center"/>
              <w:rPr>
                <w:color w:val="auto"/>
                <w:kern w:val="0"/>
                <w:sz w:val="18"/>
                <w:szCs w:val="18"/>
              </w:rPr>
            </w:pPr>
          </w:p>
        </w:tc>
      </w:tr>
    </w:tbl>
    <w:p>
      <w:pPr>
        <w:jc w:val="left"/>
        <w:rPr>
          <w:color w:val="auto"/>
          <w:kern w:val="0"/>
          <w:sz w:val="18"/>
          <w:szCs w:val="18"/>
        </w:rPr>
      </w:pPr>
      <w:bookmarkStart w:id="553" w:name="_Toc507936175"/>
      <w:r>
        <w:rPr>
          <w:color w:val="auto"/>
          <w:kern w:val="0"/>
          <w:sz w:val="18"/>
          <w:szCs w:val="18"/>
        </w:rPr>
        <w:t>注：1.数据精度保留小数点后两位。</w:t>
      </w:r>
      <w:bookmarkEnd w:id="553"/>
    </w:p>
    <w:p>
      <w:pPr>
        <w:rPr>
          <w:rFonts w:eastAsia="黑体"/>
          <w:color w:val="auto"/>
          <w:szCs w:val="32"/>
        </w:rPr>
      </w:pPr>
    </w:p>
    <w:p>
      <w:pPr>
        <w:rPr>
          <w:rFonts w:eastAsia="黑体"/>
          <w:color w:val="auto"/>
          <w:szCs w:val="32"/>
        </w:rPr>
      </w:pPr>
      <w:r>
        <w:rPr>
          <w:rFonts w:eastAsia="黑体"/>
          <w:color w:val="auto"/>
          <w:szCs w:val="32"/>
        </w:rPr>
        <w:br w:type="page"/>
      </w:r>
    </w:p>
    <w:p>
      <w:pPr>
        <w:spacing w:line="600" w:lineRule="exact"/>
        <w:rPr>
          <w:rFonts w:eastAsia="黑体"/>
          <w:color w:val="auto"/>
          <w:sz w:val="32"/>
          <w:szCs w:val="32"/>
        </w:rPr>
      </w:pPr>
      <w:r>
        <w:rPr>
          <w:rFonts w:eastAsia="黑体"/>
          <w:color w:val="auto"/>
          <w:sz w:val="32"/>
          <w:szCs w:val="32"/>
        </w:rPr>
        <w:t>附件3-4</w:t>
      </w:r>
    </w:p>
    <w:p>
      <w:pPr>
        <w:tabs>
          <w:tab w:val="left" w:pos="0"/>
          <w:tab w:val="left" w:pos="6237"/>
        </w:tabs>
        <w:jc w:val="center"/>
        <w:rPr>
          <w:rFonts w:eastAsia="黑体"/>
          <w:color w:val="auto"/>
          <w:szCs w:val="32"/>
        </w:rPr>
      </w:pPr>
    </w:p>
    <w:p>
      <w:pPr>
        <w:spacing w:line="600" w:lineRule="exact"/>
        <w:jc w:val="center"/>
        <w:rPr>
          <w:rFonts w:eastAsia="华文中宋"/>
          <w:b/>
          <w:color w:val="auto"/>
          <w:sz w:val="36"/>
          <w:szCs w:val="40"/>
        </w:rPr>
      </w:pPr>
      <w:r>
        <w:rPr>
          <w:rFonts w:eastAsia="华文中宋"/>
          <w:b/>
          <w:color w:val="auto"/>
          <w:sz w:val="36"/>
          <w:szCs w:val="40"/>
        </w:rPr>
        <w:t>表4农作物可收集系数调查表</w:t>
      </w:r>
    </w:p>
    <w:p>
      <w:pPr>
        <w:spacing w:line="600" w:lineRule="exact"/>
        <w:jc w:val="center"/>
        <w:rPr>
          <w:rFonts w:eastAsia="华文中宋"/>
          <w:b/>
          <w:color w:val="auto"/>
          <w:sz w:val="36"/>
          <w:szCs w:val="40"/>
        </w:rPr>
      </w:pPr>
    </w:p>
    <w:p>
      <w:pPr>
        <w:ind w:right="53"/>
        <w:rPr>
          <w:color w:val="auto"/>
          <w:kern w:val="0"/>
          <w:sz w:val="18"/>
        </w:rPr>
      </w:pPr>
      <w:bookmarkStart w:id="554" w:name="_Toc507936166"/>
      <w:r>
        <w:rPr>
          <w:color w:val="auto"/>
          <w:kern w:val="0"/>
          <w:sz w:val="18"/>
          <w:u w:val="single"/>
        </w:rPr>
        <w:t xml:space="preserve">      </w:t>
      </w:r>
      <w:r>
        <w:rPr>
          <w:color w:val="auto"/>
          <w:kern w:val="0"/>
          <w:sz w:val="18"/>
        </w:rPr>
        <w:t>县（市）</w:t>
      </w:r>
      <w:r>
        <w:rPr>
          <w:color w:val="auto"/>
          <w:kern w:val="0"/>
          <w:sz w:val="18"/>
          <w:u w:val="single"/>
        </w:rPr>
        <w:t xml:space="preserve">      </w:t>
      </w:r>
      <w:r>
        <w:rPr>
          <w:color w:val="auto"/>
          <w:kern w:val="0"/>
          <w:sz w:val="18"/>
        </w:rPr>
        <w:t>乡（镇）</w:t>
      </w:r>
      <w:r>
        <w:rPr>
          <w:color w:val="auto"/>
          <w:kern w:val="0"/>
          <w:sz w:val="18"/>
          <w:u w:val="single"/>
        </w:rPr>
        <w:t xml:space="preserve">         </w:t>
      </w:r>
      <w:r>
        <w:rPr>
          <w:color w:val="auto"/>
          <w:kern w:val="0"/>
          <w:sz w:val="18"/>
        </w:rPr>
        <w:t>村       ２０</w:t>
      </w:r>
      <w:r>
        <w:rPr>
          <w:color w:val="auto"/>
          <w:kern w:val="0"/>
          <w:sz w:val="18"/>
          <w:u w:val="single"/>
        </w:rPr>
        <w:t xml:space="preserve">    </w:t>
      </w:r>
      <w:r>
        <w:rPr>
          <w:color w:val="auto"/>
          <w:kern w:val="0"/>
          <w:sz w:val="18"/>
        </w:rPr>
        <w:t>年      农作物种类及品种：</w:t>
      </w:r>
      <w:bookmarkEnd w:id="554"/>
      <w:r>
        <w:rPr>
          <w:color w:val="auto"/>
          <w:kern w:val="0"/>
          <w:sz w:val="18"/>
          <w:u w:val="single"/>
        </w:rPr>
        <w:t xml:space="preserve">           </w:t>
      </w:r>
      <w:r>
        <w:rPr>
          <w:color w:val="auto"/>
          <w:kern w:val="0"/>
          <w:sz w:val="18"/>
        </w:rPr>
        <w:t xml:space="preserve"> </w:t>
      </w:r>
    </w:p>
    <w:p>
      <w:pPr>
        <w:rPr>
          <w:color w:val="auto"/>
          <w:kern w:val="0"/>
          <w:sz w:val="18"/>
          <w:u w:val="single"/>
        </w:rPr>
      </w:pPr>
    </w:p>
    <w:tbl>
      <w:tblPr>
        <w:tblStyle w:val="10"/>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28"/>
        <w:gridCol w:w="649"/>
        <w:gridCol w:w="650"/>
        <w:gridCol w:w="570"/>
        <w:gridCol w:w="618"/>
        <w:gridCol w:w="625"/>
        <w:gridCol w:w="625"/>
        <w:gridCol w:w="625"/>
        <w:gridCol w:w="625"/>
        <w:gridCol w:w="625"/>
        <w:gridCol w:w="626"/>
        <w:gridCol w:w="6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center"/>
              <w:rPr>
                <w:color w:val="auto"/>
                <w:sz w:val="18"/>
                <w:szCs w:val="18"/>
              </w:rPr>
            </w:pPr>
            <w:r>
              <w:rPr>
                <w:color w:val="auto"/>
                <w:sz w:val="18"/>
                <w:szCs w:val="18"/>
              </w:rPr>
              <w:t>采样地点</w:t>
            </w:r>
          </w:p>
        </w:tc>
        <w:tc>
          <w:tcPr>
            <w:tcW w:w="649" w:type="dxa"/>
            <w:vAlign w:val="center"/>
          </w:tcPr>
          <w:p>
            <w:pPr>
              <w:jc w:val="center"/>
              <w:rPr>
                <w:color w:val="auto"/>
                <w:sz w:val="18"/>
                <w:szCs w:val="18"/>
              </w:rPr>
            </w:pPr>
            <w:r>
              <w:rPr>
                <w:color w:val="auto"/>
                <w:sz w:val="18"/>
                <w:szCs w:val="18"/>
              </w:rPr>
              <w:t>1</w:t>
            </w:r>
          </w:p>
        </w:tc>
        <w:tc>
          <w:tcPr>
            <w:tcW w:w="650" w:type="dxa"/>
            <w:vAlign w:val="center"/>
          </w:tcPr>
          <w:p>
            <w:pPr>
              <w:jc w:val="center"/>
              <w:rPr>
                <w:color w:val="auto"/>
                <w:sz w:val="18"/>
                <w:szCs w:val="18"/>
              </w:rPr>
            </w:pPr>
            <w:r>
              <w:rPr>
                <w:color w:val="auto"/>
                <w:sz w:val="18"/>
                <w:szCs w:val="18"/>
              </w:rPr>
              <w:t>2</w:t>
            </w:r>
          </w:p>
        </w:tc>
        <w:tc>
          <w:tcPr>
            <w:tcW w:w="570" w:type="dxa"/>
            <w:vAlign w:val="center"/>
          </w:tcPr>
          <w:p>
            <w:pPr>
              <w:jc w:val="center"/>
              <w:rPr>
                <w:color w:val="auto"/>
                <w:sz w:val="18"/>
                <w:szCs w:val="18"/>
              </w:rPr>
            </w:pPr>
            <w:r>
              <w:rPr>
                <w:color w:val="auto"/>
                <w:sz w:val="18"/>
                <w:szCs w:val="18"/>
              </w:rPr>
              <w:t>3</w:t>
            </w:r>
          </w:p>
        </w:tc>
        <w:tc>
          <w:tcPr>
            <w:tcW w:w="618" w:type="dxa"/>
            <w:vAlign w:val="center"/>
          </w:tcPr>
          <w:p>
            <w:pPr>
              <w:jc w:val="center"/>
              <w:rPr>
                <w:color w:val="auto"/>
                <w:sz w:val="18"/>
                <w:szCs w:val="18"/>
              </w:rPr>
            </w:pPr>
            <w:r>
              <w:rPr>
                <w:color w:val="auto"/>
                <w:sz w:val="18"/>
                <w:szCs w:val="18"/>
              </w:rPr>
              <w:t>4</w:t>
            </w:r>
          </w:p>
        </w:tc>
        <w:tc>
          <w:tcPr>
            <w:tcW w:w="625" w:type="dxa"/>
            <w:vAlign w:val="center"/>
          </w:tcPr>
          <w:p>
            <w:pPr>
              <w:jc w:val="center"/>
              <w:rPr>
                <w:color w:val="auto"/>
                <w:sz w:val="18"/>
                <w:szCs w:val="18"/>
              </w:rPr>
            </w:pPr>
            <w:r>
              <w:rPr>
                <w:color w:val="auto"/>
                <w:sz w:val="18"/>
                <w:szCs w:val="18"/>
              </w:rPr>
              <w:t>5</w:t>
            </w:r>
          </w:p>
        </w:tc>
        <w:tc>
          <w:tcPr>
            <w:tcW w:w="625" w:type="dxa"/>
            <w:vAlign w:val="center"/>
          </w:tcPr>
          <w:p>
            <w:pPr>
              <w:jc w:val="center"/>
              <w:rPr>
                <w:color w:val="auto"/>
                <w:sz w:val="18"/>
                <w:szCs w:val="18"/>
              </w:rPr>
            </w:pPr>
            <w:r>
              <w:rPr>
                <w:color w:val="auto"/>
                <w:sz w:val="18"/>
                <w:szCs w:val="18"/>
              </w:rPr>
              <w:t>6</w:t>
            </w:r>
          </w:p>
        </w:tc>
        <w:tc>
          <w:tcPr>
            <w:tcW w:w="625" w:type="dxa"/>
            <w:vAlign w:val="center"/>
          </w:tcPr>
          <w:p>
            <w:pPr>
              <w:jc w:val="center"/>
              <w:rPr>
                <w:color w:val="auto"/>
                <w:sz w:val="18"/>
                <w:szCs w:val="18"/>
              </w:rPr>
            </w:pPr>
            <w:r>
              <w:rPr>
                <w:color w:val="auto"/>
                <w:sz w:val="18"/>
                <w:szCs w:val="18"/>
              </w:rPr>
              <w:t>7</w:t>
            </w:r>
          </w:p>
        </w:tc>
        <w:tc>
          <w:tcPr>
            <w:tcW w:w="625" w:type="dxa"/>
            <w:vAlign w:val="center"/>
          </w:tcPr>
          <w:p>
            <w:pPr>
              <w:jc w:val="center"/>
              <w:rPr>
                <w:color w:val="auto"/>
                <w:sz w:val="18"/>
                <w:szCs w:val="18"/>
              </w:rPr>
            </w:pPr>
            <w:r>
              <w:rPr>
                <w:color w:val="auto"/>
                <w:sz w:val="18"/>
                <w:szCs w:val="18"/>
              </w:rPr>
              <w:t>8</w:t>
            </w:r>
          </w:p>
        </w:tc>
        <w:tc>
          <w:tcPr>
            <w:tcW w:w="625" w:type="dxa"/>
            <w:vAlign w:val="center"/>
          </w:tcPr>
          <w:p>
            <w:pPr>
              <w:jc w:val="center"/>
              <w:rPr>
                <w:color w:val="auto"/>
                <w:sz w:val="18"/>
                <w:szCs w:val="18"/>
              </w:rPr>
            </w:pPr>
            <w:r>
              <w:rPr>
                <w:color w:val="auto"/>
                <w:sz w:val="18"/>
                <w:szCs w:val="18"/>
              </w:rPr>
              <w:t>9</w:t>
            </w:r>
          </w:p>
        </w:tc>
        <w:tc>
          <w:tcPr>
            <w:tcW w:w="626" w:type="dxa"/>
            <w:vAlign w:val="center"/>
          </w:tcPr>
          <w:p>
            <w:pPr>
              <w:jc w:val="center"/>
              <w:rPr>
                <w:color w:val="auto"/>
                <w:sz w:val="18"/>
                <w:szCs w:val="18"/>
              </w:rPr>
            </w:pPr>
            <w:r>
              <w:rPr>
                <w:color w:val="auto"/>
                <w:sz w:val="18"/>
                <w:szCs w:val="18"/>
              </w:rPr>
              <w:t>10</w:t>
            </w:r>
          </w:p>
        </w:tc>
        <w:tc>
          <w:tcPr>
            <w:tcW w:w="620" w:type="dxa"/>
          </w:tcPr>
          <w:p>
            <w:pPr>
              <w:jc w:val="center"/>
              <w:rPr>
                <w:color w:val="auto"/>
                <w:sz w:val="18"/>
                <w:szCs w:val="18"/>
              </w:rPr>
            </w:pPr>
            <w:r>
              <w:rPr>
                <w:color w:val="auto"/>
                <w:sz w:val="18"/>
                <w:szCs w:val="18"/>
              </w:rPr>
              <w:t>平均值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8286" w:type="dxa"/>
            <w:gridSpan w:val="12"/>
            <w:vAlign w:val="center"/>
          </w:tcPr>
          <w:p>
            <w:pPr>
              <w:jc w:val="left"/>
              <w:rPr>
                <w:color w:val="auto"/>
                <w:sz w:val="18"/>
                <w:szCs w:val="18"/>
              </w:rPr>
            </w:pPr>
            <w:r>
              <w:rPr>
                <w:color w:val="auto"/>
                <w:sz w:val="18"/>
                <w:szCs w:val="18"/>
              </w:rPr>
              <w:t>收获方式：1. 机械收获（     ）     2. 人工收获（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8286" w:type="dxa"/>
            <w:gridSpan w:val="12"/>
            <w:vAlign w:val="center"/>
          </w:tcPr>
          <w:p>
            <w:pPr>
              <w:jc w:val="left"/>
              <w:rPr>
                <w:color w:val="auto"/>
                <w:sz w:val="18"/>
                <w:szCs w:val="18"/>
              </w:rPr>
            </w:pPr>
            <w:r>
              <w:rPr>
                <w:color w:val="auto"/>
                <w:sz w:val="18"/>
                <w:szCs w:val="18"/>
              </w:rPr>
              <w:t>一、机械收获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left"/>
              <w:rPr>
                <w:color w:val="auto"/>
                <w:sz w:val="18"/>
                <w:szCs w:val="18"/>
              </w:rPr>
            </w:pPr>
            <w:r>
              <w:rPr>
                <w:color w:val="auto"/>
                <w:sz w:val="18"/>
                <w:szCs w:val="18"/>
              </w:rPr>
              <w:t>1.株高,cm</w:t>
            </w:r>
          </w:p>
        </w:tc>
        <w:tc>
          <w:tcPr>
            <w:tcW w:w="649" w:type="dxa"/>
            <w:vAlign w:val="center"/>
          </w:tcPr>
          <w:p>
            <w:pPr>
              <w:jc w:val="center"/>
              <w:rPr>
                <w:color w:val="auto"/>
                <w:sz w:val="18"/>
                <w:szCs w:val="18"/>
              </w:rPr>
            </w:pPr>
          </w:p>
        </w:tc>
        <w:tc>
          <w:tcPr>
            <w:tcW w:w="650" w:type="dxa"/>
          </w:tcPr>
          <w:p>
            <w:pPr>
              <w:jc w:val="center"/>
              <w:rPr>
                <w:color w:val="auto"/>
                <w:sz w:val="18"/>
                <w:szCs w:val="18"/>
              </w:rPr>
            </w:pPr>
          </w:p>
        </w:tc>
        <w:tc>
          <w:tcPr>
            <w:tcW w:w="570" w:type="dxa"/>
          </w:tcPr>
          <w:p>
            <w:pPr>
              <w:jc w:val="center"/>
              <w:rPr>
                <w:color w:val="auto"/>
                <w:sz w:val="18"/>
                <w:szCs w:val="18"/>
              </w:rPr>
            </w:pPr>
          </w:p>
        </w:tc>
        <w:tc>
          <w:tcPr>
            <w:tcW w:w="618" w:type="dxa"/>
          </w:tcPr>
          <w:p>
            <w:pPr>
              <w:jc w:val="center"/>
              <w:rPr>
                <w:color w:val="auto"/>
                <w:sz w:val="18"/>
                <w:szCs w:val="18"/>
              </w:rPr>
            </w:pPr>
          </w:p>
        </w:tc>
        <w:tc>
          <w:tcPr>
            <w:tcW w:w="625" w:type="dxa"/>
          </w:tcPr>
          <w:p>
            <w:pPr>
              <w:jc w:val="center"/>
              <w:rPr>
                <w:color w:val="auto"/>
                <w:sz w:val="18"/>
                <w:szCs w:val="18"/>
              </w:rPr>
            </w:pPr>
          </w:p>
        </w:tc>
        <w:tc>
          <w:tcPr>
            <w:tcW w:w="625" w:type="dxa"/>
            <w:vAlign w:val="center"/>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6" w:type="dxa"/>
          </w:tcPr>
          <w:p>
            <w:pPr>
              <w:jc w:val="center"/>
              <w:rPr>
                <w:color w:val="auto"/>
                <w:sz w:val="18"/>
                <w:szCs w:val="18"/>
              </w:rPr>
            </w:pPr>
          </w:p>
        </w:tc>
        <w:tc>
          <w:tcPr>
            <w:tcW w:w="620"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left"/>
              <w:rPr>
                <w:color w:val="auto"/>
                <w:sz w:val="18"/>
                <w:szCs w:val="18"/>
              </w:rPr>
            </w:pPr>
            <w:r>
              <w:rPr>
                <w:color w:val="auto"/>
                <w:sz w:val="18"/>
                <w:szCs w:val="18"/>
              </w:rPr>
              <w:t>2.割茬高度,cm</w:t>
            </w:r>
          </w:p>
        </w:tc>
        <w:tc>
          <w:tcPr>
            <w:tcW w:w="649" w:type="dxa"/>
            <w:vAlign w:val="center"/>
          </w:tcPr>
          <w:p>
            <w:pPr>
              <w:jc w:val="center"/>
              <w:rPr>
                <w:color w:val="auto"/>
                <w:sz w:val="18"/>
                <w:szCs w:val="18"/>
              </w:rPr>
            </w:pPr>
          </w:p>
        </w:tc>
        <w:tc>
          <w:tcPr>
            <w:tcW w:w="650" w:type="dxa"/>
          </w:tcPr>
          <w:p>
            <w:pPr>
              <w:jc w:val="center"/>
              <w:rPr>
                <w:color w:val="auto"/>
                <w:sz w:val="18"/>
                <w:szCs w:val="18"/>
              </w:rPr>
            </w:pPr>
          </w:p>
        </w:tc>
        <w:tc>
          <w:tcPr>
            <w:tcW w:w="570" w:type="dxa"/>
          </w:tcPr>
          <w:p>
            <w:pPr>
              <w:jc w:val="center"/>
              <w:rPr>
                <w:color w:val="auto"/>
                <w:sz w:val="18"/>
                <w:szCs w:val="18"/>
              </w:rPr>
            </w:pPr>
          </w:p>
        </w:tc>
        <w:tc>
          <w:tcPr>
            <w:tcW w:w="618" w:type="dxa"/>
          </w:tcPr>
          <w:p>
            <w:pPr>
              <w:jc w:val="center"/>
              <w:rPr>
                <w:color w:val="auto"/>
                <w:sz w:val="18"/>
                <w:szCs w:val="18"/>
              </w:rPr>
            </w:pPr>
          </w:p>
        </w:tc>
        <w:tc>
          <w:tcPr>
            <w:tcW w:w="625" w:type="dxa"/>
          </w:tcPr>
          <w:p>
            <w:pPr>
              <w:jc w:val="center"/>
              <w:rPr>
                <w:color w:val="auto"/>
                <w:sz w:val="18"/>
                <w:szCs w:val="18"/>
              </w:rPr>
            </w:pPr>
          </w:p>
        </w:tc>
        <w:tc>
          <w:tcPr>
            <w:tcW w:w="625" w:type="dxa"/>
            <w:vAlign w:val="center"/>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6" w:type="dxa"/>
          </w:tcPr>
          <w:p>
            <w:pPr>
              <w:jc w:val="center"/>
              <w:rPr>
                <w:color w:val="auto"/>
                <w:sz w:val="18"/>
                <w:szCs w:val="18"/>
              </w:rPr>
            </w:pPr>
          </w:p>
        </w:tc>
        <w:tc>
          <w:tcPr>
            <w:tcW w:w="620"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8286" w:type="dxa"/>
            <w:gridSpan w:val="12"/>
            <w:vAlign w:val="center"/>
          </w:tcPr>
          <w:p>
            <w:pPr>
              <w:jc w:val="left"/>
              <w:rPr>
                <w:color w:val="auto"/>
                <w:sz w:val="18"/>
                <w:szCs w:val="18"/>
              </w:rPr>
            </w:pPr>
            <w:r>
              <w:rPr>
                <w:color w:val="auto"/>
                <w:sz w:val="18"/>
                <w:szCs w:val="18"/>
              </w:rPr>
              <w:t>二、人工收获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left"/>
              <w:rPr>
                <w:color w:val="auto"/>
                <w:sz w:val="18"/>
                <w:szCs w:val="18"/>
              </w:rPr>
            </w:pPr>
            <w:r>
              <w:rPr>
                <w:color w:val="auto"/>
                <w:sz w:val="18"/>
                <w:szCs w:val="18"/>
              </w:rPr>
              <w:t xml:space="preserve">1.株高 ,cm </w:t>
            </w:r>
          </w:p>
        </w:tc>
        <w:tc>
          <w:tcPr>
            <w:tcW w:w="649" w:type="dxa"/>
            <w:vAlign w:val="center"/>
          </w:tcPr>
          <w:p>
            <w:pPr>
              <w:jc w:val="center"/>
              <w:rPr>
                <w:color w:val="auto"/>
                <w:sz w:val="18"/>
                <w:szCs w:val="18"/>
              </w:rPr>
            </w:pPr>
          </w:p>
        </w:tc>
        <w:tc>
          <w:tcPr>
            <w:tcW w:w="650" w:type="dxa"/>
          </w:tcPr>
          <w:p>
            <w:pPr>
              <w:jc w:val="center"/>
              <w:rPr>
                <w:color w:val="auto"/>
                <w:sz w:val="18"/>
                <w:szCs w:val="18"/>
              </w:rPr>
            </w:pPr>
          </w:p>
        </w:tc>
        <w:tc>
          <w:tcPr>
            <w:tcW w:w="570" w:type="dxa"/>
          </w:tcPr>
          <w:p>
            <w:pPr>
              <w:jc w:val="center"/>
              <w:rPr>
                <w:color w:val="auto"/>
                <w:sz w:val="18"/>
                <w:szCs w:val="18"/>
              </w:rPr>
            </w:pPr>
          </w:p>
        </w:tc>
        <w:tc>
          <w:tcPr>
            <w:tcW w:w="618" w:type="dxa"/>
          </w:tcPr>
          <w:p>
            <w:pPr>
              <w:jc w:val="center"/>
              <w:rPr>
                <w:color w:val="auto"/>
                <w:sz w:val="18"/>
                <w:szCs w:val="18"/>
              </w:rPr>
            </w:pPr>
          </w:p>
        </w:tc>
        <w:tc>
          <w:tcPr>
            <w:tcW w:w="625" w:type="dxa"/>
          </w:tcPr>
          <w:p>
            <w:pPr>
              <w:jc w:val="center"/>
              <w:rPr>
                <w:color w:val="auto"/>
                <w:sz w:val="18"/>
                <w:szCs w:val="18"/>
              </w:rPr>
            </w:pPr>
          </w:p>
        </w:tc>
        <w:tc>
          <w:tcPr>
            <w:tcW w:w="625" w:type="dxa"/>
            <w:vAlign w:val="center"/>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6" w:type="dxa"/>
          </w:tcPr>
          <w:p>
            <w:pPr>
              <w:jc w:val="center"/>
              <w:rPr>
                <w:color w:val="auto"/>
                <w:sz w:val="18"/>
                <w:szCs w:val="18"/>
              </w:rPr>
            </w:pPr>
          </w:p>
        </w:tc>
        <w:tc>
          <w:tcPr>
            <w:tcW w:w="620"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left"/>
              <w:rPr>
                <w:color w:val="auto"/>
                <w:sz w:val="18"/>
                <w:szCs w:val="18"/>
              </w:rPr>
            </w:pPr>
            <w:r>
              <w:rPr>
                <w:color w:val="auto"/>
                <w:sz w:val="18"/>
                <w:szCs w:val="18"/>
              </w:rPr>
              <w:t xml:space="preserve">2.割茬高度,cm </w:t>
            </w:r>
          </w:p>
        </w:tc>
        <w:tc>
          <w:tcPr>
            <w:tcW w:w="649" w:type="dxa"/>
            <w:vAlign w:val="center"/>
          </w:tcPr>
          <w:p>
            <w:pPr>
              <w:jc w:val="center"/>
              <w:rPr>
                <w:color w:val="auto"/>
                <w:sz w:val="18"/>
                <w:szCs w:val="18"/>
              </w:rPr>
            </w:pPr>
          </w:p>
        </w:tc>
        <w:tc>
          <w:tcPr>
            <w:tcW w:w="650" w:type="dxa"/>
          </w:tcPr>
          <w:p>
            <w:pPr>
              <w:jc w:val="center"/>
              <w:rPr>
                <w:color w:val="auto"/>
                <w:sz w:val="18"/>
                <w:szCs w:val="18"/>
              </w:rPr>
            </w:pPr>
          </w:p>
        </w:tc>
        <w:tc>
          <w:tcPr>
            <w:tcW w:w="570" w:type="dxa"/>
          </w:tcPr>
          <w:p>
            <w:pPr>
              <w:jc w:val="center"/>
              <w:rPr>
                <w:color w:val="auto"/>
                <w:sz w:val="18"/>
                <w:szCs w:val="18"/>
              </w:rPr>
            </w:pPr>
          </w:p>
        </w:tc>
        <w:tc>
          <w:tcPr>
            <w:tcW w:w="618" w:type="dxa"/>
          </w:tcPr>
          <w:p>
            <w:pPr>
              <w:jc w:val="center"/>
              <w:rPr>
                <w:color w:val="auto"/>
                <w:sz w:val="18"/>
                <w:szCs w:val="18"/>
              </w:rPr>
            </w:pPr>
          </w:p>
        </w:tc>
        <w:tc>
          <w:tcPr>
            <w:tcW w:w="625" w:type="dxa"/>
          </w:tcPr>
          <w:p>
            <w:pPr>
              <w:jc w:val="center"/>
              <w:rPr>
                <w:color w:val="auto"/>
                <w:sz w:val="18"/>
                <w:szCs w:val="18"/>
              </w:rPr>
            </w:pPr>
          </w:p>
        </w:tc>
        <w:tc>
          <w:tcPr>
            <w:tcW w:w="625" w:type="dxa"/>
            <w:vAlign w:val="center"/>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6" w:type="dxa"/>
          </w:tcPr>
          <w:p>
            <w:pPr>
              <w:jc w:val="center"/>
              <w:rPr>
                <w:color w:val="auto"/>
                <w:sz w:val="18"/>
                <w:szCs w:val="18"/>
              </w:rPr>
            </w:pPr>
          </w:p>
        </w:tc>
        <w:tc>
          <w:tcPr>
            <w:tcW w:w="620" w:type="dxa"/>
          </w:tcPr>
          <w:p>
            <w:pPr>
              <w:jc w:val="center"/>
              <w:rPr>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4" w:hRule="atLeast"/>
          <w:jc w:val="center"/>
        </w:trPr>
        <w:tc>
          <w:tcPr>
            <w:tcW w:w="1428" w:type="dxa"/>
            <w:vAlign w:val="center"/>
          </w:tcPr>
          <w:p>
            <w:pPr>
              <w:jc w:val="left"/>
              <w:rPr>
                <w:color w:val="auto"/>
                <w:sz w:val="18"/>
                <w:szCs w:val="18"/>
              </w:rPr>
            </w:pPr>
            <w:r>
              <w:rPr>
                <w:color w:val="auto"/>
                <w:sz w:val="18"/>
                <w:szCs w:val="18"/>
              </w:rPr>
              <w:t xml:space="preserve">三、枝叶损失率，% </w:t>
            </w:r>
          </w:p>
        </w:tc>
        <w:tc>
          <w:tcPr>
            <w:tcW w:w="649" w:type="dxa"/>
            <w:vAlign w:val="center"/>
          </w:tcPr>
          <w:p>
            <w:pPr>
              <w:jc w:val="center"/>
              <w:rPr>
                <w:color w:val="auto"/>
                <w:sz w:val="18"/>
                <w:szCs w:val="18"/>
              </w:rPr>
            </w:pPr>
          </w:p>
        </w:tc>
        <w:tc>
          <w:tcPr>
            <w:tcW w:w="650" w:type="dxa"/>
          </w:tcPr>
          <w:p>
            <w:pPr>
              <w:jc w:val="center"/>
              <w:rPr>
                <w:color w:val="auto"/>
                <w:sz w:val="18"/>
                <w:szCs w:val="18"/>
              </w:rPr>
            </w:pPr>
          </w:p>
        </w:tc>
        <w:tc>
          <w:tcPr>
            <w:tcW w:w="570" w:type="dxa"/>
          </w:tcPr>
          <w:p>
            <w:pPr>
              <w:jc w:val="center"/>
              <w:rPr>
                <w:color w:val="auto"/>
                <w:sz w:val="18"/>
                <w:szCs w:val="18"/>
              </w:rPr>
            </w:pPr>
          </w:p>
        </w:tc>
        <w:tc>
          <w:tcPr>
            <w:tcW w:w="618" w:type="dxa"/>
          </w:tcPr>
          <w:p>
            <w:pPr>
              <w:jc w:val="center"/>
              <w:rPr>
                <w:color w:val="auto"/>
                <w:sz w:val="18"/>
                <w:szCs w:val="18"/>
              </w:rPr>
            </w:pPr>
          </w:p>
        </w:tc>
        <w:tc>
          <w:tcPr>
            <w:tcW w:w="625" w:type="dxa"/>
          </w:tcPr>
          <w:p>
            <w:pPr>
              <w:jc w:val="center"/>
              <w:rPr>
                <w:color w:val="auto"/>
                <w:sz w:val="18"/>
                <w:szCs w:val="18"/>
              </w:rPr>
            </w:pPr>
          </w:p>
        </w:tc>
        <w:tc>
          <w:tcPr>
            <w:tcW w:w="625" w:type="dxa"/>
            <w:vAlign w:val="center"/>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5" w:type="dxa"/>
          </w:tcPr>
          <w:p>
            <w:pPr>
              <w:jc w:val="center"/>
              <w:rPr>
                <w:color w:val="auto"/>
                <w:sz w:val="18"/>
                <w:szCs w:val="18"/>
              </w:rPr>
            </w:pPr>
          </w:p>
        </w:tc>
        <w:tc>
          <w:tcPr>
            <w:tcW w:w="626" w:type="dxa"/>
          </w:tcPr>
          <w:p>
            <w:pPr>
              <w:jc w:val="center"/>
              <w:rPr>
                <w:color w:val="auto"/>
                <w:sz w:val="18"/>
                <w:szCs w:val="18"/>
              </w:rPr>
            </w:pPr>
          </w:p>
        </w:tc>
        <w:tc>
          <w:tcPr>
            <w:tcW w:w="620" w:type="dxa"/>
          </w:tcPr>
          <w:p>
            <w:pPr>
              <w:jc w:val="center"/>
              <w:rPr>
                <w:color w:val="auto"/>
                <w:sz w:val="18"/>
                <w:szCs w:val="18"/>
              </w:rPr>
            </w:pPr>
          </w:p>
        </w:tc>
      </w:tr>
    </w:tbl>
    <w:p>
      <w:pPr>
        <w:ind w:right="53"/>
        <w:jc w:val="left"/>
        <w:rPr>
          <w:color w:val="auto"/>
          <w:kern w:val="0"/>
          <w:sz w:val="18"/>
        </w:rPr>
      </w:pPr>
      <w:bookmarkStart w:id="555" w:name="_Toc507936167"/>
      <w:r>
        <w:rPr>
          <w:color w:val="auto"/>
          <w:kern w:val="0"/>
          <w:sz w:val="18"/>
        </w:rPr>
        <w:t>注：株高、</w:t>
      </w:r>
      <w:r>
        <w:rPr>
          <w:color w:val="auto"/>
          <w:sz w:val="18"/>
          <w:szCs w:val="18"/>
        </w:rPr>
        <w:t>割茬高度</w:t>
      </w:r>
      <w:r>
        <w:rPr>
          <w:color w:val="auto"/>
          <w:kern w:val="0"/>
          <w:sz w:val="18"/>
        </w:rPr>
        <w:t>数据保留小数点后一位，枝叶损失率保留小数点后两位。</w:t>
      </w:r>
      <w:bookmarkEnd w:id="555"/>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rPr>
          <w:rFonts w:eastAsia="黑体"/>
          <w:color w:val="auto"/>
          <w:szCs w:val="32"/>
        </w:rPr>
      </w:pPr>
    </w:p>
    <w:p>
      <w:pPr>
        <w:spacing w:line="600" w:lineRule="exact"/>
        <w:rPr>
          <w:rFonts w:eastAsia="黑体"/>
          <w:color w:val="auto"/>
          <w:sz w:val="32"/>
          <w:szCs w:val="32"/>
        </w:rPr>
      </w:pPr>
      <w:bookmarkStart w:id="556" w:name="_Toc105422674"/>
    </w:p>
    <w:p>
      <w:pPr>
        <w:widowControl/>
        <w:jc w:val="left"/>
        <w:rPr>
          <w:rFonts w:eastAsia="黑体"/>
          <w:color w:val="auto"/>
          <w:szCs w:val="32"/>
        </w:rPr>
      </w:pPr>
    </w:p>
    <w:p>
      <w:pPr>
        <w:rPr>
          <w:rFonts w:eastAsia="黑体"/>
          <w:color w:val="auto"/>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rPr>
          <w:rFonts w:eastAsia="黑体"/>
          <w:color w:val="auto"/>
          <w:sz w:val="32"/>
          <w:szCs w:val="32"/>
        </w:rPr>
      </w:pPr>
      <w:r>
        <w:rPr>
          <w:rFonts w:eastAsia="黑体"/>
          <w:color w:val="auto"/>
          <w:sz w:val="32"/>
          <w:szCs w:val="32"/>
        </w:rPr>
        <w:t>附表3-5 秸秆还田监测地块表</w:t>
      </w:r>
    </w:p>
    <w:p>
      <w:pPr>
        <w:jc w:val="center"/>
        <w:rPr>
          <w:rFonts w:eastAsia="华文中宋"/>
          <w:color w:val="auto"/>
          <w:sz w:val="36"/>
          <w:szCs w:val="40"/>
        </w:rPr>
      </w:pPr>
      <w:r>
        <w:rPr>
          <w:rFonts w:eastAsia="华文中宋"/>
          <w:color w:val="auto"/>
          <w:sz w:val="36"/>
          <w:szCs w:val="40"/>
        </w:rPr>
        <w:t>农作物秸秆还田地块情况调查汇总表</w:t>
      </w:r>
    </w:p>
    <w:p>
      <w:pPr>
        <w:rPr>
          <w:color w:val="auto"/>
          <w:u w:val="single"/>
        </w:rPr>
      </w:pPr>
      <w:r>
        <w:rPr>
          <w:color w:val="auto"/>
        </w:rPr>
        <w:t>省份：</w:t>
      </w:r>
      <w:r>
        <w:rPr>
          <w:color w:val="auto"/>
          <w:u w:val="single"/>
        </w:rPr>
        <w:t xml:space="preserve">  云南省玉溪市玉溪市红塔区  </w:t>
      </w:r>
    </w:p>
    <w:tbl>
      <w:tblPr>
        <w:tblStyle w:val="10"/>
        <w:tblpPr w:leftFromText="180" w:rightFromText="180" w:vertAnchor="page" w:horzAnchor="margin" w:tblpY="3774"/>
        <w:tblW w:w="14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082"/>
        <w:gridCol w:w="868"/>
        <w:gridCol w:w="1379"/>
        <w:gridCol w:w="489"/>
        <w:gridCol w:w="879"/>
        <w:gridCol w:w="743"/>
        <w:gridCol w:w="832"/>
        <w:gridCol w:w="482"/>
        <w:gridCol w:w="873"/>
        <w:gridCol w:w="832"/>
        <w:gridCol w:w="406"/>
        <w:gridCol w:w="785"/>
        <w:gridCol w:w="793"/>
        <w:gridCol w:w="397"/>
        <w:gridCol w:w="455"/>
        <w:gridCol w:w="414"/>
        <w:gridCol w:w="858"/>
        <w:gridCol w:w="86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404" w:type="dxa"/>
            <w:vAlign w:val="center"/>
          </w:tcPr>
          <w:p>
            <w:pPr>
              <w:widowControl/>
              <w:adjustRightInd w:val="0"/>
              <w:snapToGrid w:val="0"/>
              <w:jc w:val="center"/>
              <w:rPr>
                <w:color w:val="auto"/>
                <w:szCs w:val="21"/>
              </w:rPr>
            </w:pPr>
            <w:r>
              <w:rPr>
                <w:color w:val="auto"/>
                <w:szCs w:val="21"/>
              </w:rPr>
              <w:t>序号</w:t>
            </w:r>
          </w:p>
        </w:tc>
        <w:tc>
          <w:tcPr>
            <w:tcW w:w="1082" w:type="dxa"/>
            <w:shd w:val="clear" w:color="auto" w:fill="auto"/>
            <w:vAlign w:val="center"/>
          </w:tcPr>
          <w:p>
            <w:pPr>
              <w:widowControl/>
              <w:adjustRightInd w:val="0"/>
              <w:snapToGrid w:val="0"/>
              <w:jc w:val="center"/>
              <w:rPr>
                <w:color w:val="auto"/>
                <w:szCs w:val="21"/>
              </w:rPr>
            </w:pPr>
            <w:r>
              <w:rPr>
                <w:color w:val="auto"/>
                <w:szCs w:val="21"/>
              </w:rPr>
              <w:t>地址</w:t>
            </w:r>
          </w:p>
        </w:tc>
        <w:tc>
          <w:tcPr>
            <w:tcW w:w="868" w:type="dxa"/>
            <w:vAlign w:val="center"/>
          </w:tcPr>
          <w:p>
            <w:pPr>
              <w:widowControl/>
              <w:adjustRightInd w:val="0"/>
              <w:snapToGrid w:val="0"/>
              <w:jc w:val="center"/>
              <w:rPr>
                <w:color w:val="auto"/>
                <w:szCs w:val="21"/>
              </w:rPr>
            </w:pPr>
            <w:r>
              <w:rPr>
                <w:color w:val="auto"/>
                <w:szCs w:val="21"/>
              </w:rPr>
              <w:t>农户</w:t>
            </w:r>
          </w:p>
          <w:p>
            <w:pPr>
              <w:widowControl/>
              <w:adjustRightInd w:val="0"/>
              <w:snapToGrid w:val="0"/>
              <w:jc w:val="center"/>
              <w:rPr>
                <w:color w:val="auto"/>
                <w:szCs w:val="21"/>
              </w:rPr>
            </w:pPr>
            <w:r>
              <w:rPr>
                <w:color w:val="auto"/>
                <w:szCs w:val="21"/>
              </w:rPr>
              <w:t>姓名</w:t>
            </w:r>
          </w:p>
        </w:tc>
        <w:tc>
          <w:tcPr>
            <w:tcW w:w="1379" w:type="dxa"/>
            <w:shd w:val="clear" w:color="auto" w:fill="auto"/>
            <w:vAlign w:val="center"/>
          </w:tcPr>
          <w:p>
            <w:pPr>
              <w:widowControl/>
              <w:adjustRightInd w:val="0"/>
              <w:snapToGrid w:val="0"/>
              <w:jc w:val="center"/>
              <w:rPr>
                <w:color w:val="auto"/>
                <w:szCs w:val="21"/>
              </w:rPr>
            </w:pPr>
            <w:r>
              <w:rPr>
                <w:color w:val="auto"/>
                <w:szCs w:val="21"/>
              </w:rPr>
              <w:t>联系</w:t>
            </w:r>
          </w:p>
          <w:p>
            <w:pPr>
              <w:widowControl/>
              <w:adjustRightInd w:val="0"/>
              <w:snapToGrid w:val="0"/>
              <w:jc w:val="center"/>
              <w:rPr>
                <w:color w:val="auto"/>
                <w:szCs w:val="21"/>
              </w:rPr>
            </w:pPr>
            <w:r>
              <w:rPr>
                <w:color w:val="auto"/>
                <w:szCs w:val="21"/>
              </w:rPr>
              <w:t>电话</w:t>
            </w:r>
          </w:p>
        </w:tc>
        <w:tc>
          <w:tcPr>
            <w:tcW w:w="489" w:type="dxa"/>
            <w:shd w:val="clear" w:color="auto" w:fill="auto"/>
            <w:vAlign w:val="center"/>
          </w:tcPr>
          <w:p>
            <w:pPr>
              <w:widowControl/>
              <w:adjustRightInd w:val="0"/>
              <w:snapToGrid w:val="0"/>
              <w:jc w:val="center"/>
              <w:rPr>
                <w:color w:val="auto"/>
                <w:szCs w:val="21"/>
              </w:rPr>
            </w:pPr>
            <w:r>
              <w:rPr>
                <w:color w:val="auto"/>
                <w:szCs w:val="21"/>
              </w:rPr>
              <w:t>种植户类型</w:t>
            </w:r>
          </w:p>
        </w:tc>
        <w:tc>
          <w:tcPr>
            <w:tcW w:w="879" w:type="dxa"/>
            <w:shd w:val="clear" w:color="auto" w:fill="auto"/>
            <w:vAlign w:val="center"/>
          </w:tcPr>
          <w:p>
            <w:pPr>
              <w:widowControl/>
              <w:adjustRightInd w:val="0"/>
              <w:snapToGrid w:val="0"/>
              <w:jc w:val="center"/>
              <w:rPr>
                <w:color w:val="auto"/>
                <w:szCs w:val="21"/>
              </w:rPr>
            </w:pPr>
            <w:r>
              <w:rPr>
                <w:color w:val="auto"/>
                <w:szCs w:val="21"/>
              </w:rPr>
              <w:t>地块经纬度</w:t>
            </w:r>
          </w:p>
        </w:tc>
        <w:tc>
          <w:tcPr>
            <w:tcW w:w="743" w:type="dxa"/>
            <w:shd w:val="clear" w:color="auto" w:fill="auto"/>
            <w:vAlign w:val="center"/>
          </w:tcPr>
          <w:p>
            <w:pPr>
              <w:widowControl/>
              <w:adjustRightInd w:val="0"/>
              <w:snapToGrid w:val="0"/>
              <w:jc w:val="center"/>
              <w:rPr>
                <w:color w:val="auto"/>
                <w:szCs w:val="21"/>
              </w:rPr>
            </w:pPr>
            <w:r>
              <w:rPr>
                <w:color w:val="auto"/>
                <w:szCs w:val="21"/>
              </w:rPr>
              <w:t>地块</w:t>
            </w:r>
          </w:p>
          <w:p>
            <w:pPr>
              <w:widowControl/>
              <w:adjustRightInd w:val="0"/>
              <w:snapToGrid w:val="0"/>
              <w:jc w:val="center"/>
              <w:rPr>
                <w:color w:val="auto"/>
                <w:szCs w:val="21"/>
              </w:rPr>
            </w:pPr>
            <w:r>
              <w:rPr>
                <w:color w:val="auto"/>
                <w:szCs w:val="21"/>
              </w:rPr>
              <w:t>面积</w:t>
            </w:r>
          </w:p>
          <w:p>
            <w:pPr>
              <w:widowControl/>
              <w:adjustRightInd w:val="0"/>
              <w:snapToGrid w:val="0"/>
              <w:jc w:val="center"/>
              <w:rPr>
                <w:color w:val="auto"/>
                <w:szCs w:val="21"/>
              </w:rPr>
            </w:pPr>
            <w:r>
              <w:rPr>
                <w:color w:val="auto"/>
                <w:szCs w:val="21"/>
              </w:rPr>
              <w:t>（亩）</w:t>
            </w:r>
          </w:p>
        </w:tc>
        <w:tc>
          <w:tcPr>
            <w:tcW w:w="832" w:type="dxa"/>
            <w:shd w:val="clear" w:color="auto" w:fill="auto"/>
            <w:vAlign w:val="center"/>
          </w:tcPr>
          <w:p>
            <w:pPr>
              <w:widowControl/>
              <w:adjustRightInd w:val="0"/>
              <w:snapToGrid w:val="0"/>
              <w:jc w:val="center"/>
              <w:rPr>
                <w:color w:val="auto"/>
                <w:szCs w:val="21"/>
              </w:rPr>
            </w:pPr>
            <w:r>
              <w:rPr>
                <w:color w:val="auto"/>
                <w:szCs w:val="21"/>
              </w:rPr>
              <w:t>作物</w:t>
            </w:r>
          </w:p>
          <w:p>
            <w:pPr>
              <w:widowControl/>
              <w:adjustRightInd w:val="0"/>
              <w:snapToGrid w:val="0"/>
              <w:jc w:val="center"/>
              <w:rPr>
                <w:color w:val="auto"/>
                <w:szCs w:val="21"/>
              </w:rPr>
            </w:pPr>
            <w:r>
              <w:rPr>
                <w:color w:val="auto"/>
                <w:szCs w:val="21"/>
              </w:rPr>
              <w:t>类型</w:t>
            </w:r>
          </w:p>
        </w:tc>
        <w:tc>
          <w:tcPr>
            <w:tcW w:w="482" w:type="dxa"/>
            <w:shd w:val="clear" w:color="auto" w:fill="auto"/>
            <w:vAlign w:val="center"/>
          </w:tcPr>
          <w:p>
            <w:pPr>
              <w:widowControl/>
              <w:adjustRightInd w:val="0"/>
              <w:snapToGrid w:val="0"/>
              <w:jc w:val="center"/>
              <w:rPr>
                <w:color w:val="auto"/>
                <w:szCs w:val="21"/>
              </w:rPr>
            </w:pPr>
            <w:r>
              <w:rPr>
                <w:color w:val="auto"/>
                <w:szCs w:val="21"/>
              </w:rPr>
              <w:t>种植</w:t>
            </w:r>
          </w:p>
          <w:p>
            <w:pPr>
              <w:widowControl/>
              <w:adjustRightInd w:val="0"/>
              <w:snapToGrid w:val="0"/>
              <w:jc w:val="center"/>
              <w:rPr>
                <w:color w:val="auto"/>
                <w:szCs w:val="21"/>
              </w:rPr>
            </w:pPr>
            <w:r>
              <w:rPr>
                <w:color w:val="auto"/>
                <w:szCs w:val="21"/>
              </w:rPr>
              <w:t>方式</w:t>
            </w:r>
          </w:p>
        </w:tc>
        <w:tc>
          <w:tcPr>
            <w:tcW w:w="873" w:type="dxa"/>
            <w:shd w:val="clear" w:color="auto" w:fill="auto"/>
            <w:vAlign w:val="center"/>
          </w:tcPr>
          <w:p>
            <w:pPr>
              <w:widowControl/>
              <w:adjustRightInd w:val="0"/>
              <w:snapToGrid w:val="0"/>
              <w:jc w:val="center"/>
              <w:rPr>
                <w:color w:val="auto"/>
                <w:szCs w:val="21"/>
              </w:rPr>
            </w:pPr>
            <w:r>
              <w:rPr>
                <w:color w:val="auto"/>
                <w:szCs w:val="21"/>
              </w:rPr>
              <w:t>还田</w:t>
            </w:r>
          </w:p>
          <w:p>
            <w:pPr>
              <w:widowControl/>
              <w:adjustRightInd w:val="0"/>
              <w:snapToGrid w:val="0"/>
              <w:jc w:val="center"/>
              <w:rPr>
                <w:color w:val="auto"/>
                <w:szCs w:val="21"/>
              </w:rPr>
            </w:pPr>
            <w:r>
              <w:rPr>
                <w:color w:val="auto"/>
                <w:szCs w:val="21"/>
              </w:rPr>
              <w:t>方式</w:t>
            </w:r>
          </w:p>
        </w:tc>
        <w:tc>
          <w:tcPr>
            <w:tcW w:w="832" w:type="dxa"/>
            <w:shd w:val="clear" w:color="auto" w:fill="auto"/>
            <w:vAlign w:val="center"/>
          </w:tcPr>
          <w:p>
            <w:pPr>
              <w:widowControl/>
              <w:adjustRightInd w:val="0"/>
              <w:snapToGrid w:val="0"/>
              <w:jc w:val="center"/>
              <w:rPr>
                <w:color w:val="auto"/>
                <w:szCs w:val="21"/>
              </w:rPr>
            </w:pPr>
            <w:r>
              <w:rPr>
                <w:color w:val="auto"/>
                <w:szCs w:val="21"/>
              </w:rPr>
              <w:t>秸秆</w:t>
            </w:r>
          </w:p>
          <w:p>
            <w:pPr>
              <w:widowControl/>
              <w:adjustRightInd w:val="0"/>
              <w:snapToGrid w:val="0"/>
              <w:jc w:val="center"/>
              <w:rPr>
                <w:color w:val="auto"/>
                <w:szCs w:val="21"/>
              </w:rPr>
            </w:pPr>
            <w:r>
              <w:rPr>
                <w:color w:val="auto"/>
                <w:szCs w:val="21"/>
              </w:rPr>
              <w:t>还田</w:t>
            </w:r>
          </w:p>
          <w:p>
            <w:pPr>
              <w:widowControl/>
              <w:adjustRightInd w:val="0"/>
              <w:snapToGrid w:val="0"/>
              <w:jc w:val="center"/>
              <w:rPr>
                <w:color w:val="auto"/>
                <w:szCs w:val="21"/>
              </w:rPr>
            </w:pPr>
            <w:r>
              <w:rPr>
                <w:color w:val="auto"/>
                <w:szCs w:val="21"/>
              </w:rPr>
              <w:t>深度</w:t>
            </w:r>
          </w:p>
          <w:p>
            <w:pPr>
              <w:widowControl/>
              <w:adjustRightInd w:val="0"/>
              <w:snapToGrid w:val="0"/>
              <w:jc w:val="center"/>
              <w:rPr>
                <w:color w:val="auto"/>
                <w:szCs w:val="21"/>
              </w:rPr>
            </w:pPr>
            <w:r>
              <w:rPr>
                <w:color w:val="auto"/>
                <w:szCs w:val="21"/>
              </w:rPr>
              <w:t>（cm）</w:t>
            </w:r>
          </w:p>
        </w:tc>
        <w:tc>
          <w:tcPr>
            <w:tcW w:w="406" w:type="dxa"/>
            <w:vAlign w:val="center"/>
          </w:tcPr>
          <w:p>
            <w:pPr>
              <w:widowControl/>
              <w:adjustRightInd w:val="0"/>
              <w:snapToGrid w:val="0"/>
              <w:jc w:val="center"/>
              <w:rPr>
                <w:color w:val="auto"/>
                <w:szCs w:val="21"/>
              </w:rPr>
            </w:pPr>
            <w:r>
              <w:rPr>
                <w:color w:val="auto"/>
                <w:szCs w:val="21"/>
              </w:rPr>
              <w:t>灌溉</w:t>
            </w:r>
          </w:p>
          <w:p>
            <w:pPr>
              <w:widowControl/>
              <w:adjustRightInd w:val="0"/>
              <w:snapToGrid w:val="0"/>
              <w:jc w:val="center"/>
              <w:rPr>
                <w:color w:val="auto"/>
                <w:szCs w:val="21"/>
              </w:rPr>
            </w:pPr>
            <w:r>
              <w:rPr>
                <w:color w:val="auto"/>
                <w:szCs w:val="21"/>
              </w:rPr>
              <w:t>方式</w:t>
            </w:r>
          </w:p>
        </w:tc>
        <w:tc>
          <w:tcPr>
            <w:tcW w:w="785" w:type="dxa"/>
            <w:shd w:val="clear" w:color="auto" w:fill="auto"/>
            <w:vAlign w:val="center"/>
          </w:tcPr>
          <w:p>
            <w:pPr>
              <w:widowControl/>
              <w:adjustRightInd w:val="0"/>
              <w:snapToGrid w:val="0"/>
              <w:jc w:val="center"/>
              <w:rPr>
                <w:color w:val="auto"/>
                <w:szCs w:val="21"/>
              </w:rPr>
            </w:pPr>
            <w:r>
              <w:rPr>
                <w:color w:val="auto"/>
                <w:szCs w:val="21"/>
              </w:rPr>
              <w:t>施肥</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793" w:type="dxa"/>
            <w:shd w:val="clear" w:color="auto" w:fill="auto"/>
            <w:vAlign w:val="center"/>
          </w:tcPr>
          <w:p>
            <w:pPr>
              <w:widowControl/>
              <w:adjustRightInd w:val="0"/>
              <w:snapToGrid w:val="0"/>
              <w:jc w:val="center"/>
              <w:rPr>
                <w:color w:val="auto"/>
                <w:szCs w:val="21"/>
              </w:rPr>
            </w:pPr>
            <w:r>
              <w:rPr>
                <w:color w:val="auto"/>
                <w:szCs w:val="21"/>
              </w:rPr>
              <w:t>施药</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397" w:type="dxa"/>
            <w:shd w:val="clear" w:color="auto" w:fill="auto"/>
            <w:vAlign w:val="center"/>
          </w:tcPr>
          <w:p>
            <w:pPr>
              <w:widowControl/>
              <w:adjustRightInd w:val="0"/>
              <w:snapToGrid w:val="0"/>
              <w:jc w:val="center"/>
              <w:rPr>
                <w:color w:val="auto"/>
                <w:szCs w:val="21"/>
              </w:rPr>
            </w:pPr>
            <w:r>
              <w:rPr>
                <w:color w:val="auto"/>
                <w:szCs w:val="21"/>
              </w:rPr>
              <w:t>病害</w:t>
            </w:r>
          </w:p>
          <w:p>
            <w:pPr>
              <w:widowControl/>
              <w:adjustRightInd w:val="0"/>
              <w:snapToGrid w:val="0"/>
              <w:jc w:val="center"/>
              <w:rPr>
                <w:color w:val="auto"/>
                <w:szCs w:val="21"/>
              </w:rPr>
            </w:pPr>
            <w:r>
              <w:rPr>
                <w:color w:val="auto"/>
                <w:szCs w:val="21"/>
              </w:rPr>
              <w:t>变化</w:t>
            </w:r>
          </w:p>
        </w:tc>
        <w:tc>
          <w:tcPr>
            <w:tcW w:w="455" w:type="dxa"/>
            <w:shd w:val="clear" w:color="auto" w:fill="auto"/>
            <w:vAlign w:val="center"/>
          </w:tcPr>
          <w:p>
            <w:pPr>
              <w:widowControl/>
              <w:adjustRightInd w:val="0"/>
              <w:snapToGrid w:val="0"/>
              <w:jc w:val="center"/>
              <w:rPr>
                <w:color w:val="auto"/>
                <w:szCs w:val="21"/>
              </w:rPr>
            </w:pPr>
            <w:r>
              <w:rPr>
                <w:color w:val="auto"/>
                <w:szCs w:val="21"/>
              </w:rPr>
              <w:t>虫害</w:t>
            </w:r>
          </w:p>
          <w:p>
            <w:pPr>
              <w:widowControl/>
              <w:adjustRightInd w:val="0"/>
              <w:snapToGrid w:val="0"/>
              <w:jc w:val="center"/>
              <w:rPr>
                <w:color w:val="auto"/>
                <w:szCs w:val="21"/>
              </w:rPr>
            </w:pPr>
            <w:r>
              <w:rPr>
                <w:color w:val="auto"/>
                <w:szCs w:val="21"/>
              </w:rPr>
              <w:t>变化</w:t>
            </w:r>
          </w:p>
        </w:tc>
        <w:tc>
          <w:tcPr>
            <w:tcW w:w="414" w:type="dxa"/>
            <w:shd w:val="clear" w:color="auto" w:fill="auto"/>
            <w:vAlign w:val="center"/>
          </w:tcPr>
          <w:p>
            <w:pPr>
              <w:widowControl/>
              <w:adjustRightInd w:val="0"/>
              <w:snapToGrid w:val="0"/>
              <w:jc w:val="center"/>
              <w:rPr>
                <w:color w:val="auto"/>
                <w:szCs w:val="21"/>
              </w:rPr>
            </w:pPr>
            <w:r>
              <w:rPr>
                <w:color w:val="auto"/>
                <w:szCs w:val="21"/>
              </w:rPr>
              <w:t>草害</w:t>
            </w:r>
          </w:p>
          <w:p>
            <w:pPr>
              <w:widowControl/>
              <w:adjustRightInd w:val="0"/>
              <w:snapToGrid w:val="0"/>
              <w:jc w:val="center"/>
              <w:rPr>
                <w:color w:val="auto"/>
                <w:szCs w:val="21"/>
              </w:rPr>
            </w:pPr>
            <w:r>
              <w:rPr>
                <w:color w:val="auto"/>
                <w:szCs w:val="21"/>
              </w:rPr>
              <w:t>变化</w:t>
            </w:r>
          </w:p>
        </w:tc>
        <w:tc>
          <w:tcPr>
            <w:tcW w:w="858" w:type="dxa"/>
            <w:shd w:val="clear" w:color="auto" w:fill="auto"/>
            <w:vAlign w:val="center"/>
          </w:tcPr>
          <w:p>
            <w:pPr>
              <w:widowControl/>
              <w:adjustRightInd w:val="0"/>
              <w:snapToGrid w:val="0"/>
              <w:jc w:val="center"/>
              <w:rPr>
                <w:color w:val="auto"/>
                <w:szCs w:val="21"/>
              </w:rPr>
            </w:pPr>
            <w:r>
              <w:rPr>
                <w:color w:val="auto"/>
                <w:szCs w:val="21"/>
              </w:rPr>
              <w:t>产量</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867" w:type="dxa"/>
            <w:shd w:val="clear" w:color="auto" w:fill="auto"/>
            <w:vAlign w:val="center"/>
          </w:tcPr>
          <w:p>
            <w:pPr>
              <w:widowControl/>
              <w:adjustRightInd w:val="0"/>
              <w:snapToGrid w:val="0"/>
              <w:jc w:val="center"/>
              <w:rPr>
                <w:color w:val="auto"/>
                <w:szCs w:val="21"/>
              </w:rPr>
            </w:pPr>
            <w:r>
              <w:rPr>
                <w:color w:val="auto"/>
                <w:szCs w:val="21"/>
              </w:rPr>
              <w:t>上茬秸秆腐解情况（%）</w:t>
            </w:r>
          </w:p>
        </w:tc>
        <w:tc>
          <w:tcPr>
            <w:tcW w:w="855" w:type="dxa"/>
            <w:shd w:val="clear" w:color="auto" w:fill="auto"/>
            <w:vAlign w:val="center"/>
          </w:tcPr>
          <w:p>
            <w:pPr>
              <w:widowControl/>
              <w:adjustRightInd w:val="0"/>
              <w:snapToGrid w:val="0"/>
              <w:jc w:val="center"/>
              <w:rPr>
                <w:color w:val="auto"/>
                <w:szCs w:val="21"/>
              </w:rPr>
            </w:pPr>
            <w:r>
              <w:rPr>
                <w:color w:val="auto"/>
                <w:szCs w:val="21"/>
              </w:rPr>
              <w:t>下茬播种变化幅度</w:t>
            </w:r>
          </w:p>
          <w:p>
            <w:pPr>
              <w:widowControl/>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04" w:type="dxa"/>
            <w:vAlign w:val="center"/>
          </w:tcPr>
          <w:p>
            <w:pPr>
              <w:widowControl/>
              <w:adjustRightInd w:val="0"/>
              <w:snapToGrid w:val="0"/>
              <w:jc w:val="center"/>
              <w:rPr>
                <w:color w:val="auto"/>
                <w:szCs w:val="21"/>
              </w:rPr>
            </w:pPr>
            <w:r>
              <w:rPr>
                <w:bCs/>
                <w:color w:val="auto"/>
                <w:szCs w:val="21"/>
              </w:rPr>
              <w:t>1</w:t>
            </w:r>
          </w:p>
        </w:tc>
        <w:tc>
          <w:tcPr>
            <w:tcW w:w="1082" w:type="dxa"/>
            <w:shd w:val="clear" w:color="auto" w:fill="auto"/>
            <w:vAlign w:val="center"/>
          </w:tcPr>
          <w:p>
            <w:pPr>
              <w:widowControl/>
              <w:adjustRightInd w:val="0"/>
              <w:snapToGrid w:val="0"/>
              <w:jc w:val="center"/>
              <w:rPr>
                <w:color w:val="auto"/>
                <w:szCs w:val="21"/>
              </w:rPr>
            </w:pPr>
          </w:p>
        </w:tc>
        <w:tc>
          <w:tcPr>
            <w:tcW w:w="868" w:type="dxa"/>
            <w:vAlign w:val="center"/>
          </w:tcPr>
          <w:p>
            <w:pPr>
              <w:widowControl/>
              <w:adjustRightInd w:val="0"/>
              <w:snapToGrid w:val="0"/>
              <w:jc w:val="center"/>
              <w:rPr>
                <w:color w:val="auto"/>
                <w:szCs w:val="21"/>
              </w:rPr>
            </w:pPr>
          </w:p>
        </w:tc>
        <w:tc>
          <w:tcPr>
            <w:tcW w:w="1379" w:type="dxa"/>
            <w:shd w:val="clear" w:color="auto" w:fill="auto"/>
            <w:vAlign w:val="center"/>
          </w:tcPr>
          <w:p>
            <w:pPr>
              <w:widowControl/>
              <w:adjustRightInd w:val="0"/>
              <w:snapToGrid w:val="0"/>
              <w:jc w:val="center"/>
              <w:rPr>
                <w:color w:val="auto"/>
                <w:szCs w:val="21"/>
              </w:rPr>
            </w:pPr>
          </w:p>
        </w:tc>
        <w:tc>
          <w:tcPr>
            <w:tcW w:w="489" w:type="dxa"/>
            <w:shd w:val="clear" w:color="auto" w:fill="auto"/>
            <w:vAlign w:val="center"/>
          </w:tcPr>
          <w:p>
            <w:pPr>
              <w:widowControl/>
              <w:adjustRightInd w:val="0"/>
              <w:snapToGrid w:val="0"/>
              <w:rPr>
                <w:color w:val="auto"/>
                <w:szCs w:val="21"/>
              </w:rPr>
            </w:pPr>
          </w:p>
        </w:tc>
        <w:tc>
          <w:tcPr>
            <w:tcW w:w="879" w:type="dxa"/>
            <w:shd w:val="clear" w:color="auto" w:fill="auto"/>
            <w:vAlign w:val="center"/>
          </w:tcPr>
          <w:p>
            <w:pPr>
              <w:widowControl/>
              <w:adjustRightInd w:val="0"/>
              <w:snapToGrid w:val="0"/>
              <w:jc w:val="center"/>
              <w:rPr>
                <w:color w:val="auto"/>
                <w:szCs w:val="21"/>
              </w:rPr>
            </w:pPr>
          </w:p>
        </w:tc>
        <w:tc>
          <w:tcPr>
            <w:tcW w:w="743" w:type="dxa"/>
            <w:shd w:val="clear" w:color="auto" w:fill="auto"/>
            <w:vAlign w:val="center"/>
          </w:tcPr>
          <w:p>
            <w:pPr>
              <w:widowControl/>
              <w:adjustRightInd w:val="0"/>
              <w:snapToGrid w:val="0"/>
              <w:jc w:val="center"/>
              <w:rPr>
                <w:color w:val="auto"/>
                <w:szCs w:val="21"/>
              </w:rPr>
            </w:pPr>
          </w:p>
        </w:tc>
        <w:tc>
          <w:tcPr>
            <w:tcW w:w="832" w:type="dxa"/>
            <w:shd w:val="clear" w:color="auto" w:fill="auto"/>
            <w:vAlign w:val="center"/>
          </w:tcPr>
          <w:p>
            <w:pPr>
              <w:widowControl/>
              <w:adjustRightInd w:val="0"/>
              <w:snapToGrid w:val="0"/>
              <w:jc w:val="center"/>
              <w:rPr>
                <w:color w:val="auto"/>
                <w:szCs w:val="21"/>
              </w:rPr>
            </w:pPr>
          </w:p>
        </w:tc>
        <w:tc>
          <w:tcPr>
            <w:tcW w:w="482" w:type="dxa"/>
            <w:shd w:val="clear" w:color="auto" w:fill="auto"/>
            <w:vAlign w:val="center"/>
          </w:tcPr>
          <w:p>
            <w:pPr>
              <w:widowControl/>
              <w:adjustRightInd w:val="0"/>
              <w:snapToGrid w:val="0"/>
              <w:jc w:val="center"/>
              <w:rPr>
                <w:color w:val="auto"/>
                <w:szCs w:val="21"/>
              </w:rPr>
            </w:pPr>
          </w:p>
        </w:tc>
        <w:tc>
          <w:tcPr>
            <w:tcW w:w="873" w:type="dxa"/>
            <w:shd w:val="clear" w:color="auto" w:fill="auto"/>
            <w:vAlign w:val="center"/>
          </w:tcPr>
          <w:p>
            <w:pPr>
              <w:widowControl/>
              <w:adjustRightInd w:val="0"/>
              <w:snapToGrid w:val="0"/>
              <w:jc w:val="center"/>
              <w:rPr>
                <w:color w:val="auto"/>
                <w:szCs w:val="21"/>
              </w:rPr>
            </w:pPr>
          </w:p>
        </w:tc>
        <w:tc>
          <w:tcPr>
            <w:tcW w:w="832" w:type="dxa"/>
            <w:shd w:val="clear" w:color="auto" w:fill="auto"/>
            <w:vAlign w:val="center"/>
          </w:tcPr>
          <w:p>
            <w:pPr>
              <w:widowControl/>
              <w:adjustRightInd w:val="0"/>
              <w:snapToGrid w:val="0"/>
              <w:jc w:val="center"/>
              <w:rPr>
                <w:color w:val="auto"/>
                <w:szCs w:val="21"/>
              </w:rPr>
            </w:pPr>
          </w:p>
        </w:tc>
        <w:tc>
          <w:tcPr>
            <w:tcW w:w="406" w:type="dxa"/>
            <w:vAlign w:val="center"/>
          </w:tcPr>
          <w:p>
            <w:pPr>
              <w:widowControl/>
              <w:adjustRightInd w:val="0"/>
              <w:snapToGrid w:val="0"/>
              <w:jc w:val="left"/>
              <w:rPr>
                <w:color w:val="auto"/>
                <w:szCs w:val="21"/>
              </w:rPr>
            </w:pPr>
          </w:p>
        </w:tc>
        <w:tc>
          <w:tcPr>
            <w:tcW w:w="785" w:type="dxa"/>
            <w:shd w:val="clear" w:color="auto" w:fill="auto"/>
            <w:vAlign w:val="center"/>
          </w:tcPr>
          <w:p>
            <w:pPr>
              <w:widowControl/>
              <w:adjustRightInd w:val="0"/>
              <w:snapToGrid w:val="0"/>
              <w:jc w:val="center"/>
              <w:rPr>
                <w:color w:val="auto"/>
                <w:szCs w:val="21"/>
              </w:rPr>
            </w:pPr>
          </w:p>
        </w:tc>
        <w:tc>
          <w:tcPr>
            <w:tcW w:w="793" w:type="dxa"/>
            <w:shd w:val="clear" w:color="auto" w:fill="auto"/>
            <w:vAlign w:val="center"/>
          </w:tcPr>
          <w:p>
            <w:pPr>
              <w:widowControl/>
              <w:adjustRightInd w:val="0"/>
              <w:snapToGrid w:val="0"/>
              <w:jc w:val="center"/>
              <w:rPr>
                <w:color w:val="auto"/>
                <w:szCs w:val="21"/>
              </w:rPr>
            </w:pPr>
          </w:p>
        </w:tc>
        <w:tc>
          <w:tcPr>
            <w:tcW w:w="397" w:type="dxa"/>
            <w:shd w:val="clear" w:color="auto" w:fill="auto"/>
            <w:vAlign w:val="center"/>
          </w:tcPr>
          <w:p>
            <w:pPr>
              <w:widowControl/>
              <w:adjustRightInd w:val="0"/>
              <w:snapToGrid w:val="0"/>
              <w:jc w:val="center"/>
              <w:rPr>
                <w:color w:val="auto"/>
                <w:szCs w:val="21"/>
              </w:rPr>
            </w:pPr>
          </w:p>
        </w:tc>
        <w:tc>
          <w:tcPr>
            <w:tcW w:w="455" w:type="dxa"/>
            <w:shd w:val="clear" w:color="auto" w:fill="auto"/>
            <w:vAlign w:val="center"/>
          </w:tcPr>
          <w:p>
            <w:pPr>
              <w:widowControl/>
              <w:adjustRightInd w:val="0"/>
              <w:snapToGrid w:val="0"/>
              <w:jc w:val="center"/>
              <w:rPr>
                <w:color w:val="auto"/>
                <w:szCs w:val="21"/>
              </w:rPr>
            </w:pPr>
          </w:p>
        </w:tc>
        <w:tc>
          <w:tcPr>
            <w:tcW w:w="414" w:type="dxa"/>
            <w:shd w:val="clear" w:color="auto" w:fill="auto"/>
            <w:vAlign w:val="center"/>
          </w:tcPr>
          <w:p>
            <w:pPr>
              <w:widowControl/>
              <w:adjustRightInd w:val="0"/>
              <w:snapToGrid w:val="0"/>
              <w:jc w:val="center"/>
              <w:rPr>
                <w:color w:val="auto"/>
                <w:szCs w:val="21"/>
              </w:rPr>
            </w:pPr>
          </w:p>
        </w:tc>
        <w:tc>
          <w:tcPr>
            <w:tcW w:w="858" w:type="dxa"/>
            <w:shd w:val="clear" w:color="auto" w:fill="auto"/>
            <w:vAlign w:val="center"/>
          </w:tcPr>
          <w:p>
            <w:pPr>
              <w:widowControl/>
              <w:adjustRightInd w:val="0"/>
              <w:snapToGrid w:val="0"/>
              <w:jc w:val="center"/>
              <w:rPr>
                <w:color w:val="auto"/>
                <w:szCs w:val="21"/>
              </w:rPr>
            </w:pPr>
          </w:p>
        </w:tc>
        <w:tc>
          <w:tcPr>
            <w:tcW w:w="867" w:type="dxa"/>
            <w:shd w:val="clear" w:color="auto" w:fill="auto"/>
            <w:vAlign w:val="center"/>
          </w:tcPr>
          <w:p>
            <w:pPr>
              <w:widowControl/>
              <w:adjustRightInd w:val="0"/>
              <w:snapToGrid w:val="0"/>
              <w:jc w:val="center"/>
              <w:rPr>
                <w:color w:val="auto"/>
                <w:szCs w:val="21"/>
              </w:rPr>
            </w:pPr>
          </w:p>
        </w:tc>
        <w:tc>
          <w:tcPr>
            <w:tcW w:w="855" w:type="dxa"/>
            <w:shd w:val="clear" w:color="auto" w:fill="auto"/>
            <w:vAlign w:val="center"/>
          </w:tcPr>
          <w:p>
            <w:pPr>
              <w:widowControl/>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404" w:type="dxa"/>
            <w:vAlign w:val="center"/>
          </w:tcPr>
          <w:p>
            <w:pPr>
              <w:widowControl/>
              <w:adjustRightInd w:val="0"/>
              <w:snapToGrid w:val="0"/>
              <w:jc w:val="center"/>
              <w:rPr>
                <w:color w:val="auto"/>
                <w:kern w:val="0"/>
                <w:sz w:val="20"/>
                <w:szCs w:val="20"/>
              </w:rPr>
            </w:pPr>
            <w:r>
              <w:rPr>
                <w:b/>
                <w:bCs/>
                <w:color w:val="auto"/>
                <w:kern w:val="0"/>
                <w:sz w:val="20"/>
                <w:szCs w:val="20"/>
              </w:rPr>
              <w:t>2</w:t>
            </w:r>
          </w:p>
        </w:tc>
        <w:tc>
          <w:tcPr>
            <w:tcW w:w="1082" w:type="dxa"/>
            <w:shd w:val="clear" w:color="auto" w:fill="auto"/>
            <w:vAlign w:val="center"/>
          </w:tcPr>
          <w:p>
            <w:pPr>
              <w:widowControl/>
              <w:adjustRightInd w:val="0"/>
              <w:snapToGrid w:val="0"/>
              <w:jc w:val="center"/>
              <w:rPr>
                <w:color w:val="auto"/>
                <w:kern w:val="0"/>
                <w:sz w:val="20"/>
                <w:szCs w:val="20"/>
              </w:rPr>
            </w:pPr>
          </w:p>
        </w:tc>
        <w:tc>
          <w:tcPr>
            <w:tcW w:w="868" w:type="dxa"/>
            <w:vAlign w:val="center"/>
          </w:tcPr>
          <w:p>
            <w:pPr>
              <w:widowControl/>
              <w:adjustRightInd w:val="0"/>
              <w:snapToGrid w:val="0"/>
              <w:jc w:val="center"/>
              <w:rPr>
                <w:color w:val="auto"/>
                <w:kern w:val="0"/>
                <w:sz w:val="20"/>
                <w:szCs w:val="20"/>
              </w:rPr>
            </w:pPr>
          </w:p>
        </w:tc>
        <w:tc>
          <w:tcPr>
            <w:tcW w:w="1379" w:type="dxa"/>
            <w:shd w:val="clear" w:color="auto" w:fill="auto"/>
            <w:vAlign w:val="center"/>
          </w:tcPr>
          <w:p>
            <w:pPr>
              <w:widowControl/>
              <w:adjustRightInd w:val="0"/>
              <w:snapToGrid w:val="0"/>
              <w:rPr>
                <w:color w:val="auto"/>
                <w:kern w:val="0"/>
                <w:sz w:val="20"/>
                <w:szCs w:val="20"/>
              </w:rPr>
            </w:pPr>
          </w:p>
        </w:tc>
        <w:tc>
          <w:tcPr>
            <w:tcW w:w="489" w:type="dxa"/>
            <w:shd w:val="clear" w:color="auto" w:fill="auto"/>
            <w:vAlign w:val="center"/>
          </w:tcPr>
          <w:p>
            <w:pPr>
              <w:widowControl/>
              <w:adjustRightInd w:val="0"/>
              <w:snapToGrid w:val="0"/>
              <w:rPr>
                <w:color w:val="auto"/>
                <w:kern w:val="0"/>
                <w:sz w:val="20"/>
                <w:szCs w:val="20"/>
              </w:rPr>
            </w:pPr>
          </w:p>
        </w:tc>
        <w:tc>
          <w:tcPr>
            <w:tcW w:w="879" w:type="dxa"/>
            <w:shd w:val="clear" w:color="auto" w:fill="auto"/>
            <w:vAlign w:val="center"/>
          </w:tcPr>
          <w:p>
            <w:pPr>
              <w:widowControl/>
              <w:adjustRightInd w:val="0"/>
              <w:snapToGrid w:val="0"/>
              <w:jc w:val="center"/>
              <w:rPr>
                <w:color w:val="auto"/>
                <w:kern w:val="0"/>
                <w:sz w:val="20"/>
                <w:szCs w:val="20"/>
              </w:rPr>
            </w:pPr>
          </w:p>
        </w:tc>
        <w:tc>
          <w:tcPr>
            <w:tcW w:w="74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82" w:type="dxa"/>
            <w:shd w:val="clear" w:color="auto" w:fill="auto"/>
            <w:vAlign w:val="center"/>
          </w:tcPr>
          <w:p>
            <w:pPr>
              <w:widowControl/>
              <w:adjustRightInd w:val="0"/>
              <w:snapToGrid w:val="0"/>
              <w:jc w:val="center"/>
              <w:rPr>
                <w:color w:val="auto"/>
                <w:kern w:val="0"/>
                <w:sz w:val="20"/>
                <w:szCs w:val="20"/>
              </w:rPr>
            </w:pPr>
          </w:p>
        </w:tc>
        <w:tc>
          <w:tcPr>
            <w:tcW w:w="87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06" w:type="dxa"/>
            <w:vAlign w:val="center"/>
          </w:tcPr>
          <w:p>
            <w:pPr>
              <w:widowControl/>
              <w:adjustRightInd w:val="0"/>
              <w:snapToGrid w:val="0"/>
              <w:jc w:val="left"/>
              <w:rPr>
                <w:color w:val="auto"/>
                <w:kern w:val="0"/>
                <w:sz w:val="20"/>
                <w:szCs w:val="20"/>
              </w:rPr>
            </w:pPr>
          </w:p>
        </w:tc>
        <w:tc>
          <w:tcPr>
            <w:tcW w:w="785" w:type="dxa"/>
            <w:shd w:val="clear" w:color="auto" w:fill="auto"/>
            <w:vAlign w:val="center"/>
          </w:tcPr>
          <w:p>
            <w:pPr>
              <w:widowControl/>
              <w:adjustRightInd w:val="0"/>
              <w:snapToGrid w:val="0"/>
              <w:jc w:val="center"/>
              <w:rPr>
                <w:color w:val="auto"/>
                <w:kern w:val="0"/>
                <w:sz w:val="20"/>
                <w:szCs w:val="20"/>
              </w:rPr>
            </w:pPr>
          </w:p>
        </w:tc>
        <w:tc>
          <w:tcPr>
            <w:tcW w:w="793" w:type="dxa"/>
            <w:shd w:val="clear" w:color="auto" w:fill="auto"/>
            <w:vAlign w:val="center"/>
          </w:tcPr>
          <w:p>
            <w:pPr>
              <w:widowControl/>
              <w:adjustRightInd w:val="0"/>
              <w:snapToGrid w:val="0"/>
              <w:jc w:val="center"/>
              <w:rPr>
                <w:color w:val="auto"/>
                <w:kern w:val="0"/>
                <w:sz w:val="20"/>
                <w:szCs w:val="20"/>
              </w:rPr>
            </w:pPr>
          </w:p>
        </w:tc>
        <w:tc>
          <w:tcPr>
            <w:tcW w:w="397" w:type="dxa"/>
            <w:shd w:val="clear" w:color="auto" w:fill="auto"/>
            <w:vAlign w:val="center"/>
          </w:tcPr>
          <w:p>
            <w:pPr>
              <w:widowControl/>
              <w:adjustRightInd w:val="0"/>
              <w:snapToGrid w:val="0"/>
              <w:jc w:val="center"/>
              <w:rPr>
                <w:color w:val="auto"/>
                <w:kern w:val="0"/>
                <w:sz w:val="20"/>
                <w:szCs w:val="20"/>
              </w:rPr>
            </w:pPr>
          </w:p>
        </w:tc>
        <w:tc>
          <w:tcPr>
            <w:tcW w:w="455" w:type="dxa"/>
            <w:shd w:val="clear" w:color="auto" w:fill="auto"/>
            <w:vAlign w:val="center"/>
          </w:tcPr>
          <w:p>
            <w:pPr>
              <w:widowControl/>
              <w:adjustRightInd w:val="0"/>
              <w:snapToGrid w:val="0"/>
              <w:jc w:val="center"/>
              <w:rPr>
                <w:color w:val="auto"/>
                <w:kern w:val="0"/>
                <w:sz w:val="20"/>
                <w:szCs w:val="20"/>
              </w:rPr>
            </w:pPr>
          </w:p>
        </w:tc>
        <w:tc>
          <w:tcPr>
            <w:tcW w:w="414" w:type="dxa"/>
            <w:shd w:val="clear" w:color="auto" w:fill="auto"/>
            <w:vAlign w:val="center"/>
          </w:tcPr>
          <w:p>
            <w:pPr>
              <w:widowControl/>
              <w:adjustRightInd w:val="0"/>
              <w:snapToGrid w:val="0"/>
              <w:jc w:val="center"/>
              <w:rPr>
                <w:color w:val="auto"/>
                <w:kern w:val="0"/>
                <w:sz w:val="20"/>
                <w:szCs w:val="20"/>
              </w:rPr>
            </w:pPr>
          </w:p>
        </w:tc>
        <w:tc>
          <w:tcPr>
            <w:tcW w:w="858" w:type="dxa"/>
            <w:shd w:val="clear" w:color="auto" w:fill="auto"/>
            <w:vAlign w:val="center"/>
          </w:tcPr>
          <w:p>
            <w:pPr>
              <w:widowControl/>
              <w:adjustRightInd w:val="0"/>
              <w:snapToGrid w:val="0"/>
              <w:jc w:val="center"/>
              <w:rPr>
                <w:color w:val="auto"/>
                <w:kern w:val="0"/>
                <w:sz w:val="20"/>
                <w:szCs w:val="20"/>
              </w:rPr>
            </w:pPr>
          </w:p>
        </w:tc>
        <w:tc>
          <w:tcPr>
            <w:tcW w:w="867" w:type="dxa"/>
            <w:shd w:val="clear" w:color="auto" w:fill="auto"/>
            <w:vAlign w:val="center"/>
          </w:tcPr>
          <w:p>
            <w:pPr>
              <w:widowControl/>
              <w:adjustRightInd w:val="0"/>
              <w:snapToGrid w:val="0"/>
              <w:jc w:val="center"/>
              <w:rPr>
                <w:color w:val="auto"/>
                <w:kern w:val="0"/>
                <w:sz w:val="20"/>
                <w:szCs w:val="20"/>
              </w:rPr>
            </w:pPr>
          </w:p>
        </w:tc>
        <w:tc>
          <w:tcPr>
            <w:tcW w:w="855" w:type="dxa"/>
            <w:shd w:val="clear" w:color="auto" w:fill="auto"/>
            <w:vAlign w:val="center"/>
          </w:tcPr>
          <w:p>
            <w:pPr>
              <w:widowControl/>
              <w:adjustRightInd w:val="0"/>
              <w:snapToGrid w:val="0"/>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404" w:type="dxa"/>
            <w:vAlign w:val="center"/>
          </w:tcPr>
          <w:p>
            <w:pPr>
              <w:widowControl/>
              <w:adjustRightInd w:val="0"/>
              <w:snapToGrid w:val="0"/>
              <w:jc w:val="center"/>
              <w:rPr>
                <w:color w:val="auto"/>
                <w:kern w:val="0"/>
                <w:sz w:val="20"/>
                <w:szCs w:val="20"/>
              </w:rPr>
            </w:pPr>
            <w:r>
              <w:rPr>
                <w:b/>
                <w:bCs/>
                <w:color w:val="auto"/>
                <w:kern w:val="0"/>
                <w:sz w:val="20"/>
                <w:szCs w:val="20"/>
              </w:rPr>
              <w:t>3</w:t>
            </w:r>
          </w:p>
        </w:tc>
        <w:tc>
          <w:tcPr>
            <w:tcW w:w="1082" w:type="dxa"/>
            <w:shd w:val="clear" w:color="auto" w:fill="auto"/>
            <w:vAlign w:val="center"/>
          </w:tcPr>
          <w:p>
            <w:pPr>
              <w:rPr>
                <w:color w:val="auto"/>
                <w:kern w:val="0"/>
                <w:sz w:val="20"/>
                <w:szCs w:val="20"/>
              </w:rPr>
            </w:pPr>
          </w:p>
        </w:tc>
        <w:tc>
          <w:tcPr>
            <w:tcW w:w="868" w:type="dxa"/>
            <w:vAlign w:val="center"/>
          </w:tcPr>
          <w:p>
            <w:pPr>
              <w:rPr>
                <w:color w:val="auto"/>
                <w:kern w:val="0"/>
                <w:sz w:val="20"/>
                <w:szCs w:val="20"/>
              </w:rPr>
            </w:pPr>
          </w:p>
        </w:tc>
        <w:tc>
          <w:tcPr>
            <w:tcW w:w="1379" w:type="dxa"/>
            <w:shd w:val="clear" w:color="auto" w:fill="auto"/>
            <w:vAlign w:val="center"/>
          </w:tcPr>
          <w:p>
            <w:pPr>
              <w:rPr>
                <w:color w:val="auto"/>
                <w:kern w:val="0"/>
                <w:sz w:val="20"/>
                <w:szCs w:val="20"/>
              </w:rPr>
            </w:pPr>
          </w:p>
        </w:tc>
        <w:tc>
          <w:tcPr>
            <w:tcW w:w="489" w:type="dxa"/>
            <w:shd w:val="clear" w:color="auto" w:fill="auto"/>
            <w:vAlign w:val="center"/>
          </w:tcPr>
          <w:p>
            <w:pPr>
              <w:rPr>
                <w:color w:val="auto"/>
                <w:kern w:val="0"/>
                <w:sz w:val="20"/>
                <w:szCs w:val="20"/>
              </w:rPr>
            </w:pPr>
          </w:p>
        </w:tc>
        <w:tc>
          <w:tcPr>
            <w:tcW w:w="879" w:type="dxa"/>
            <w:shd w:val="clear" w:color="auto" w:fill="auto"/>
            <w:vAlign w:val="center"/>
          </w:tcPr>
          <w:p>
            <w:pPr>
              <w:widowControl/>
              <w:adjustRightInd w:val="0"/>
              <w:snapToGrid w:val="0"/>
              <w:jc w:val="center"/>
              <w:rPr>
                <w:color w:val="auto"/>
                <w:kern w:val="0"/>
                <w:sz w:val="20"/>
                <w:szCs w:val="20"/>
              </w:rPr>
            </w:pPr>
          </w:p>
        </w:tc>
        <w:tc>
          <w:tcPr>
            <w:tcW w:w="74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82" w:type="dxa"/>
            <w:shd w:val="clear" w:color="auto" w:fill="auto"/>
            <w:vAlign w:val="center"/>
          </w:tcPr>
          <w:p>
            <w:pPr>
              <w:widowControl/>
              <w:adjustRightInd w:val="0"/>
              <w:snapToGrid w:val="0"/>
              <w:jc w:val="center"/>
              <w:rPr>
                <w:color w:val="auto"/>
                <w:kern w:val="0"/>
                <w:sz w:val="20"/>
                <w:szCs w:val="20"/>
              </w:rPr>
            </w:pPr>
          </w:p>
        </w:tc>
        <w:tc>
          <w:tcPr>
            <w:tcW w:w="87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06" w:type="dxa"/>
            <w:vAlign w:val="center"/>
          </w:tcPr>
          <w:p>
            <w:pPr>
              <w:rPr>
                <w:color w:val="auto"/>
                <w:kern w:val="0"/>
                <w:sz w:val="20"/>
                <w:szCs w:val="20"/>
              </w:rPr>
            </w:pPr>
          </w:p>
        </w:tc>
        <w:tc>
          <w:tcPr>
            <w:tcW w:w="785" w:type="dxa"/>
            <w:shd w:val="clear" w:color="auto" w:fill="auto"/>
            <w:vAlign w:val="center"/>
          </w:tcPr>
          <w:p>
            <w:pPr>
              <w:widowControl/>
              <w:adjustRightInd w:val="0"/>
              <w:snapToGrid w:val="0"/>
              <w:jc w:val="center"/>
              <w:rPr>
                <w:color w:val="auto"/>
                <w:kern w:val="0"/>
                <w:sz w:val="20"/>
                <w:szCs w:val="20"/>
              </w:rPr>
            </w:pPr>
          </w:p>
        </w:tc>
        <w:tc>
          <w:tcPr>
            <w:tcW w:w="793" w:type="dxa"/>
            <w:shd w:val="clear" w:color="auto" w:fill="auto"/>
            <w:vAlign w:val="center"/>
          </w:tcPr>
          <w:p>
            <w:pPr>
              <w:widowControl/>
              <w:adjustRightInd w:val="0"/>
              <w:snapToGrid w:val="0"/>
              <w:jc w:val="center"/>
              <w:rPr>
                <w:color w:val="auto"/>
                <w:kern w:val="0"/>
                <w:sz w:val="20"/>
                <w:szCs w:val="20"/>
              </w:rPr>
            </w:pPr>
          </w:p>
        </w:tc>
        <w:tc>
          <w:tcPr>
            <w:tcW w:w="397" w:type="dxa"/>
            <w:shd w:val="clear" w:color="auto" w:fill="auto"/>
            <w:vAlign w:val="center"/>
          </w:tcPr>
          <w:p>
            <w:pPr>
              <w:widowControl/>
              <w:adjustRightInd w:val="0"/>
              <w:snapToGrid w:val="0"/>
              <w:jc w:val="center"/>
              <w:rPr>
                <w:color w:val="auto"/>
                <w:kern w:val="0"/>
                <w:sz w:val="20"/>
                <w:szCs w:val="20"/>
              </w:rPr>
            </w:pPr>
          </w:p>
        </w:tc>
        <w:tc>
          <w:tcPr>
            <w:tcW w:w="455" w:type="dxa"/>
            <w:shd w:val="clear" w:color="auto" w:fill="auto"/>
            <w:vAlign w:val="center"/>
          </w:tcPr>
          <w:p>
            <w:pPr>
              <w:widowControl/>
              <w:adjustRightInd w:val="0"/>
              <w:snapToGrid w:val="0"/>
              <w:jc w:val="center"/>
              <w:rPr>
                <w:color w:val="auto"/>
                <w:kern w:val="0"/>
                <w:sz w:val="20"/>
                <w:szCs w:val="20"/>
              </w:rPr>
            </w:pPr>
          </w:p>
        </w:tc>
        <w:tc>
          <w:tcPr>
            <w:tcW w:w="414" w:type="dxa"/>
            <w:shd w:val="clear" w:color="auto" w:fill="auto"/>
            <w:vAlign w:val="center"/>
          </w:tcPr>
          <w:p>
            <w:pPr>
              <w:widowControl/>
              <w:adjustRightInd w:val="0"/>
              <w:snapToGrid w:val="0"/>
              <w:jc w:val="center"/>
              <w:rPr>
                <w:color w:val="auto"/>
                <w:kern w:val="0"/>
                <w:sz w:val="20"/>
                <w:szCs w:val="20"/>
              </w:rPr>
            </w:pPr>
          </w:p>
        </w:tc>
        <w:tc>
          <w:tcPr>
            <w:tcW w:w="858" w:type="dxa"/>
            <w:shd w:val="clear" w:color="auto" w:fill="auto"/>
            <w:vAlign w:val="center"/>
          </w:tcPr>
          <w:p>
            <w:pPr>
              <w:widowControl/>
              <w:adjustRightInd w:val="0"/>
              <w:snapToGrid w:val="0"/>
              <w:jc w:val="center"/>
              <w:rPr>
                <w:color w:val="auto"/>
                <w:kern w:val="0"/>
                <w:sz w:val="20"/>
                <w:szCs w:val="20"/>
              </w:rPr>
            </w:pPr>
          </w:p>
        </w:tc>
        <w:tc>
          <w:tcPr>
            <w:tcW w:w="867" w:type="dxa"/>
            <w:shd w:val="clear" w:color="auto" w:fill="auto"/>
            <w:vAlign w:val="center"/>
          </w:tcPr>
          <w:p>
            <w:pPr>
              <w:widowControl/>
              <w:adjustRightInd w:val="0"/>
              <w:snapToGrid w:val="0"/>
              <w:jc w:val="center"/>
              <w:rPr>
                <w:color w:val="auto"/>
                <w:kern w:val="0"/>
                <w:sz w:val="20"/>
                <w:szCs w:val="20"/>
              </w:rPr>
            </w:pPr>
          </w:p>
        </w:tc>
        <w:tc>
          <w:tcPr>
            <w:tcW w:w="855" w:type="dxa"/>
            <w:shd w:val="clear" w:color="auto" w:fill="auto"/>
            <w:vAlign w:val="center"/>
          </w:tcPr>
          <w:p>
            <w:pPr>
              <w:widowControl/>
              <w:adjustRightInd w:val="0"/>
              <w:snapToGrid w:val="0"/>
              <w:jc w:val="center"/>
              <w:rPr>
                <w:color w:val="auto"/>
                <w:kern w:val="0"/>
                <w:sz w:val="20"/>
                <w:szCs w:val="20"/>
              </w:rPr>
            </w:pPr>
          </w:p>
        </w:tc>
      </w:tr>
    </w:tbl>
    <w:p>
      <w:pPr>
        <w:rPr>
          <w:rFonts w:eastAsia="黑体"/>
          <w:color w:val="auto"/>
          <w:szCs w:val="32"/>
        </w:rPr>
      </w:pPr>
    </w:p>
    <w:p>
      <w:pPr>
        <w:rPr>
          <w:rFonts w:eastAsia="黑体"/>
          <w:color w:val="auto"/>
          <w:szCs w:val="32"/>
        </w:rPr>
      </w:pPr>
    </w:p>
    <w:p>
      <w:pPr>
        <w:widowControl/>
        <w:jc w:val="left"/>
        <w:rPr>
          <w:color w:val="auto"/>
          <w:kern w:val="0"/>
          <w:sz w:val="18"/>
          <w:szCs w:val="18"/>
        </w:rPr>
      </w:pPr>
      <w:r>
        <w:rPr>
          <w:color w:val="auto"/>
          <w:kern w:val="0"/>
          <w:sz w:val="18"/>
          <w:szCs w:val="18"/>
        </w:rPr>
        <w:t>注：变化幅度用正负百分号表示，如增加10%，填+10%；减少10%，填-10%；不变，填0。</w:t>
      </w:r>
    </w:p>
    <w:p>
      <w:pPr>
        <w:pStyle w:val="2"/>
        <w:ind w:firstLine="240"/>
        <w:rPr>
          <w:rFonts w:eastAsia="方正仿宋_GBK"/>
          <w:color w:val="auto"/>
          <w:kern w:val="0"/>
          <w:sz w:val="24"/>
        </w:rPr>
      </w:pPr>
    </w:p>
    <w:p>
      <w:pPr>
        <w:spacing w:line="360" w:lineRule="auto"/>
        <w:rPr>
          <w:rFonts w:eastAsia="方正仿宋_GBK"/>
          <w:color w:val="auto"/>
          <w:kern w:val="0"/>
          <w:sz w:val="32"/>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rPr>
          <w:rFonts w:eastAsia="黑体"/>
          <w:color w:val="auto"/>
          <w:sz w:val="32"/>
          <w:szCs w:val="32"/>
        </w:rPr>
      </w:pPr>
      <w:r>
        <w:rPr>
          <w:rFonts w:eastAsia="黑体"/>
          <w:color w:val="auto"/>
          <w:sz w:val="32"/>
          <w:szCs w:val="32"/>
        </w:rPr>
        <w:t>附件</w:t>
      </w:r>
      <w:bookmarkEnd w:id="556"/>
      <w:r>
        <w:rPr>
          <w:rFonts w:eastAsia="黑体"/>
          <w:color w:val="auto"/>
          <w:sz w:val="32"/>
          <w:szCs w:val="32"/>
        </w:rPr>
        <w:t>3-6</w:t>
      </w:r>
    </w:p>
    <w:p>
      <w:pPr>
        <w:rPr>
          <w:rFonts w:eastAsia="黑体"/>
          <w:color w:val="auto"/>
          <w:sz w:val="32"/>
          <w:szCs w:val="32"/>
        </w:rPr>
      </w:pPr>
    </w:p>
    <w:p>
      <w:pPr>
        <w:spacing w:line="600" w:lineRule="exact"/>
        <w:jc w:val="center"/>
        <w:rPr>
          <w:rFonts w:eastAsia="华文中宋"/>
          <w:b/>
          <w:color w:val="auto"/>
          <w:sz w:val="36"/>
          <w:szCs w:val="40"/>
        </w:rPr>
      </w:pPr>
      <w:r>
        <w:rPr>
          <w:rFonts w:eastAsia="华文中宋"/>
          <w:b/>
          <w:color w:val="auto"/>
          <w:sz w:val="36"/>
          <w:szCs w:val="40"/>
        </w:rPr>
        <w:t>2023年度红塔区农作物草谷比、秸秆可收集系数</w:t>
      </w:r>
    </w:p>
    <w:p>
      <w:pPr>
        <w:spacing w:line="600" w:lineRule="exact"/>
        <w:jc w:val="center"/>
        <w:rPr>
          <w:rFonts w:eastAsia="华文中宋"/>
          <w:b/>
          <w:color w:val="auto"/>
          <w:sz w:val="36"/>
          <w:szCs w:val="40"/>
        </w:rPr>
      </w:pPr>
      <w:r>
        <w:rPr>
          <w:rFonts w:eastAsia="华文中宋"/>
          <w:b/>
          <w:color w:val="auto"/>
          <w:sz w:val="36"/>
          <w:szCs w:val="40"/>
        </w:rPr>
        <w:t>监测总结报告</w:t>
      </w:r>
    </w:p>
    <w:p>
      <w:pPr>
        <w:adjustRightInd w:val="0"/>
        <w:spacing w:line="360" w:lineRule="auto"/>
        <w:jc w:val="center"/>
        <w:rPr>
          <w:rFonts w:eastAsia="楷体_GB2312"/>
          <w:color w:val="auto"/>
          <w:sz w:val="32"/>
          <w:szCs w:val="32"/>
        </w:rPr>
      </w:pPr>
      <w:r>
        <w:rPr>
          <w:rFonts w:eastAsia="楷体_GB2312"/>
          <w:color w:val="auto"/>
          <w:sz w:val="32"/>
          <w:szCs w:val="32"/>
        </w:rPr>
        <w:t>（样式）</w:t>
      </w:r>
    </w:p>
    <w:p>
      <w:pPr>
        <w:spacing w:line="600" w:lineRule="exact"/>
        <w:ind w:firstLine="643"/>
        <w:rPr>
          <w:rFonts w:eastAsia="黑体"/>
          <w:bCs/>
          <w:color w:val="auto"/>
          <w:sz w:val="32"/>
          <w:szCs w:val="32"/>
        </w:rPr>
      </w:pPr>
      <w:r>
        <w:rPr>
          <w:rFonts w:eastAsia="黑体"/>
          <w:bCs/>
          <w:color w:val="auto"/>
          <w:sz w:val="32"/>
          <w:szCs w:val="32"/>
        </w:rPr>
        <w:t>一、区域现状</w:t>
      </w:r>
    </w:p>
    <w:p>
      <w:pPr>
        <w:spacing w:line="600" w:lineRule="exact"/>
        <w:ind w:firstLine="640" w:firstLineChars="200"/>
        <w:rPr>
          <w:rFonts w:eastAsia="仿宋_GB2312"/>
          <w:bCs/>
          <w:color w:val="auto"/>
          <w:sz w:val="32"/>
          <w:szCs w:val="32"/>
        </w:rPr>
      </w:pPr>
      <w:r>
        <w:rPr>
          <w:rFonts w:eastAsia="仿宋_GB2312"/>
          <w:bCs/>
          <w:color w:val="auto"/>
          <w:sz w:val="32"/>
          <w:szCs w:val="32"/>
        </w:rPr>
        <w:t>介绍该区域地理、气候条件、农作物种类、秸秆机械收获等情况。</w:t>
      </w:r>
    </w:p>
    <w:p>
      <w:pPr>
        <w:spacing w:line="600" w:lineRule="exact"/>
        <w:ind w:firstLine="643"/>
        <w:rPr>
          <w:rFonts w:eastAsia="黑体"/>
          <w:bCs/>
          <w:color w:val="auto"/>
          <w:sz w:val="32"/>
          <w:szCs w:val="32"/>
        </w:rPr>
      </w:pPr>
      <w:r>
        <w:rPr>
          <w:rFonts w:eastAsia="黑体"/>
          <w:bCs/>
          <w:color w:val="auto"/>
          <w:sz w:val="32"/>
          <w:szCs w:val="32"/>
        </w:rPr>
        <w:t>二、农作物草谷比、秸秆可收集系数数据结果分析</w:t>
      </w:r>
    </w:p>
    <w:p>
      <w:pPr>
        <w:spacing w:line="600" w:lineRule="exact"/>
        <w:ind w:firstLine="640" w:firstLineChars="200"/>
        <w:rPr>
          <w:rFonts w:eastAsia="仿宋_GB2312"/>
          <w:bCs/>
          <w:color w:val="auto"/>
          <w:sz w:val="32"/>
          <w:szCs w:val="32"/>
        </w:rPr>
      </w:pPr>
      <w:r>
        <w:rPr>
          <w:rFonts w:eastAsia="仿宋_GB2312"/>
          <w:bCs/>
          <w:color w:val="auto"/>
          <w:sz w:val="32"/>
          <w:szCs w:val="32"/>
        </w:rPr>
        <w:t>整理监测位点布设、采集样本信息、样本测试数据等内容，统计分析本区域农作物草谷比、秸秆可收集系数。</w:t>
      </w:r>
    </w:p>
    <w:p>
      <w:pPr>
        <w:spacing w:line="600" w:lineRule="exact"/>
        <w:ind w:firstLine="640" w:firstLineChars="200"/>
        <w:rPr>
          <w:rFonts w:eastAsia="黑体"/>
          <w:bCs/>
          <w:color w:val="auto"/>
          <w:sz w:val="32"/>
          <w:szCs w:val="32"/>
        </w:rPr>
      </w:pPr>
      <w:r>
        <w:rPr>
          <w:rFonts w:eastAsia="黑体"/>
          <w:bCs/>
          <w:color w:val="auto"/>
          <w:sz w:val="32"/>
          <w:szCs w:val="32"/>
        </w:rPr>
        <w:t>三、存在的问题及建议</w:t>
      </w:r>
    </w:p>
    <w:p>
      <w:pPr>
        <w:spacing w:line="600" w:lineRule="exact"/>
        <w:ind w:firstLine="640" w:firstLineChars="200"/>
        <w:rPr>
          <w:rFonts w:eastAsia="仿宋_GB2312"/>
          <w:bCs/>
          <w:color w:val="auto"/>
          <w:sz w:val="32"/>
          <w:szCs w:val="32"/>
        </w:rPr>
      </w:pPr>
      <w:r>
        <w:rPr>
          <w:rFonts w:eastAsia="仿宋_GB2312"/>
          <w:bCs/>
          <w:color w:val="auto"/>
          <w:sz w:val="32"/>
          <w:szCs w:val="32"/>
        </w:rPr>
        <w:t>目前监测工作中存在的问题，提出可行性建议。</w:t>
      </w:r>
    </w:p>
    <w:p>
      <w:pPr>
        <w:rPr>
          <w:rFonts w:eastAsia="黑体"/>
          <w:color w:val="auto"/>
          <w:szCs w:val="32"/>
        </w:rPr>
      </w:pPr>
    </w:p>
    <w:p>
      <w:pPr>
        <w:rPr>
          <w:rFonts w:eastAsia="方正小标宋_GBK"/>
          <w:color w:val="auto"/>
          <w:sz w:val="36"/>
          <w:szCs w:val="36"/>
        </w:rPr>
      </w:pPr>
      <w:bookmarkStart w:id="557" w:name="_Toc31146"/>
      <w:bookmarkStart w:id="558" w:name="_Toc30858"/>
      <w:bookmarkStart w:id="559" w:name="_Toc23219"/>
      <w:bookmarkStart w:id="560" w:name="_Toc24621"/>
      <w:r>
        <w:rPr>
          <w:rFonts w:eastAsia="方正小标宋_GBK"/>
          <w:color w:val="auto"/>
          <w:sz w:val="36"/>
          <w:szCs w:val="36"/>
        </w:rPr>
        <w:br w:type="page"/>
      </w:r>
    </w:p>
    <w:p>
      <w:pPr>
        <w:jc w:val="left"/>
        <w:outlineLvl w:val="0"/>
        <w:rPr>
          <w:rFonts w:eastAsia="方正小标宋_GBK"/>
          <w:color w:val="auto"/>
          <w:sz w:val="36"/>
          <w:szCs w:val="36"/>
        </w:rPr>
      </w:pPr>
      <w:bookmarkStart w:id="561" w:name="_Toc15780"/>
      <w:r>
        <w:rPr>
          <w:rFonts w:eastAsia="方正小标宋_GBK"/>
          <w:color w:val="auto"/>
          <w:sz w:val="36"/>
          <w:szCs w:val="36"/>
        </w:rPr>
        <w:t>附件4：</w:t>
      </w:r>
      <w:bookmarkEnd w:id="557"/>
      <w:bookmarkEnd w:id="558"/>
      <w:bookmarkEnd w:id="559"/>
      <w:bookmarkEnd w:id="560"/>
      <w:bookmarkEnd w:id="561"/>
    </w:p>
    <w:p>
      <w:pPr>
        <w:spacing w:line="600" w:lineRule="exact"/>
        <w:jc w:val="center"/>
        <w:rPr>
          <w:rFonts w:eastAsia="方正小标宋_GBK"/>
          <w:color w:val="auto"/>
          <w:sz w:val="44"/>
          <w:szCs w:val="44"/>
        </w:rPr>
      </w:pPr>
      <w:r>
        <w:rPr>
          <w:rFonts w:eastAsia="方正小标宋_GBK"/>
          <w:color w:val="auto"/>
          <w:sz w:val="44"/>
          <w:szCs w:val="44"/>
        </w:rPr>
        <w:t>玉溪市红塔区2023年农作物秸秆综合利用</w:t>
      </w:r>
    </w:p>
    <w:p>
      <w:pPr>
        <w:spacing w:line="600" w:lineRule="exact"/>
        <w:jc w:val="center"/>
        <w:rPr>
          <w:rFonts w:eastAsia="方正小标宋_GBK"/>
          <w:color w:val="auto"/>
          <w:sz w:val="44"/>
          <w:szCs w:val="44"/>
        </w:rPr>
      </w:pPr>
      <w:r>
        <w:rPr>
          <w:rFonts w:eastAsia="方正小标宋_GBK"/>
          <w:color w:val="auto"/>
          <w:sz w:val="44"/>
          <w:szCs w:val="44"/>
        </w:rPr>
        <w:t>重点县建设项目</w:t>
      </w:r>
    </w:p>
    <w:p>
      <w:pPr>
        <w:jc w:val="center"/>
        <w:rPr>
          <w:rFonts w:eastAsia="方正小标宋_GBK"/>
          <w:color w:val="auto"/>
          <w:sz w:val="48"/>
          <w:szCs w:val="56"/>
        </w:rPr>
      </w:pPr>
    </w:p>
    <w:p>
      <w:pPr>
        <w:jc w:val="center"/>
        <w:rPr>
          <w:rFonts w:eastAsia="方正小标宋_GBK"/>
          <w:color w:val="auto"/>
          <w:sz w:val="48"/>
          <w:szCs w:val="56"/>
        </w:rPr>
      </w:pPr>
    </w:p>
    <w:p>
      <w:pPr>
        <w:jc w:val="center"/>
        <w:rPr>
          <w:rFonts w:eastAsia="方正小标宋_GBK"/>
          <w:color w:val="auto"/>
          <w:sz w:val="48"/>
          <w:szCs w:val="56"/>
        </w:rPr>
      </w:pPr>
    </w:p>
    <w:p>
      <w:pPr>
        <w:jc w:val="center"/>
        <w:outlineLvl w:val="0"/>
        <w:rPr>
          <w:rFonts w:eastAsia="方正小标宋_GBK"/>
          <w:color w:val="auto"/>
          <w:w w:val="66"/>
          <w:sz w:val="72"/>
          <w:szCs w:val="72"/>
        </w:rPr>
      </w:pPr>
      <w:bookmarkStart w:id="562" w:name="_Toc24656"/>
      <w:r>
        <w:rPr>
          <w:rFonts w:eastAsia="方正小标宋_GBK"/>
          <w:color w:val="auto"/>
          <w:w w:val="66"/>
          <w:sz w:val="72"/>
          <w:szCs w:val="72"/>
        </w:rPr>
        <w:t>秸秆还田生态效应监测子方案</w:t>
      </w:r>
      <w:bookmarkEnd w:id="562"/>
    </w:p>
    <w:p>
      <w:pPr>
        <w:jc w:val="center"/>
        <w:rPr>
          <w:rFonts w:eastAsia="方正小标宋_GBK"/>
          <w:color w:val="auto"/>
          <w:sz w:val="48"/>
          <w:szCs w:val="56"/>
        </w:rPr>
      </w:pPr>
    </w:p>
    <w:p>
      <w:pPr>
        <w:jc w:val="center"/>
        <w:rPr>
          <w:rFonts w:eastAsia="方正小标宋_GBK"/>
          <w:color w:val="auto"/>
          <w:sz w:val="48"/>
          <w:szCs w:val="56"/>
        </w:rPr>
      </w:pPr>
    </w:p>
    <w:p>
      <w:pPr>
        <w:jc w:val="center"/>
        <w:rPr>
          <w:rFonts w:eastAsia="方正小标宋_GBK"/>
          <w:color w:val="auto"/>
          <w:sz w:val="48"/>
          <w:szCs w:val="56"/>
        </w:rPr>
      </w:pPr>
    </w:p>
    <w:p>
      <w:pPr>
        <w:jc w:val="center"/>
        <w:rPr>
          <w:rFonts w:eastAsia="方正小标宋_GBK"/>
          <w:color w:val="auto"/>
          <w:sz w:val="48"/>
          <w:szCs w:val="56"/>
        </w:rPr>
      </w:pPr>
    </w:p>
    <w:p>
      <w:pPr>
        <w:jc w:val="center"/>
        <w:rPr>
          <w:rFonts w:eastAsia="方正小标宋_GBK"/>
          <w:color w:val="auto"/>
          <w:sz w:val="48"/>
          <w:szCs w:val="56"/>
        </w:rPr>
      </w:pPr>
    </w:p>
    <w:p>
      <w:pPr>
        <w:pStyle w:val="2"/>
        <w:ind w:firstLine="480"/>
        <w:rPr>
          <w:rFonts w:eastAsia="方正小标宋_GBK"/>
          <w:color w:val="auto"/>
          <w:sz w:val="48"/>
          <w:szCs w:val="56"/>
        </w:rPr>
      </w:pPr>
    </w:p>
    <w:p>
      <w:pPr>
        <w:pStyle w:val="2"/>
        <w:ind w:firstLine="480"/>
        <w:rPr>
          <w:rFonts w:eastAsia="方正小标宋_GBK"/>
          <w:color w:val="auto"/>
          <w:sz w:val="48"/>
          <w:szCs w:val="56"/>
        </w:rPr>
      </w:pPr>
    </w:p>
    <w:p>
      <w:pPr>
        <w:jc w:val="center"/>
        <w:rPr>
          <w:rFonts w:eastAsia="方正小标宋_GBK"/>
          <w:color w:val="auto"/>
          <w:sz w:val="48"/>
          <w:szCs w:val="56"/>
        </w:rPr>
      </w:pPr>
    </w:p>
    <w:p>
      <w:pPr>
        <w:spacing w:line="600" w:lineRule="exact"/>
        <w:rPr>
          <w:rFonts w:eastAsia="方正小标宋_GBK"/>
          <w:color w:val="auto"/>
          <w:sz w:val="48"/>
          <w:szCs w:val="56"/>
        </w:rPr>
      </w:pPr>
    </w:p>
    <w:p>
      <w:pPr>
        <w:pStyle w:val="2"/>
        <w:ind w:firstLine="480"/>
        <w:rPr>
          <w:rFonts w:eastAsia="方正小标宋_GBK"/>
          <w:color w:val="auto"/>
          <w:sz w:val="48"/>
          <w:szCs w:val="56"/>
        </w:rPr>
      </w:pPr>
    </w:p>
    <w:p>
      <w:pPr>
        <w:pStyle w:val="2"/>
        <w:ind w:firstLine="480"/>
        <w:rPr>
          <w:rFonts w:eastAsia="方正小标宋_GBK"/>
          <w:color w:val="auto"/>
          <w:sz w:val="48"/>
          <w:szCs w:val="56"/>
        </w:rPr>
      </w:pPr>
    </w:p>
    <w:p>
      <w:pPr>
        <w:widowControl/>
        <w:spacing w:line="600" w:lineRule="exact"/>
        <w:ind w:firstLine="320" w:firstLineChars="100"/>
        <w:jc w:val="center"/>
        <w:rPr>
          <w:rFonts w:eastAsia="方正仿宋_GB2312"/>
          <w:color w:val="auto"/>
          <w:kern w:val="0"/>
          <w:sz w:val="32"/>
          <w:szCs w:val="32"/>
        </w:rPr>
      </w:pPr>
      <w:r>
        <w:rPr>
          <w:rFonts w:eastAsia="方正仿宋_GB2312"/>
          <w:color w:val="auto"/>
          <w:kern w:val="0"/>
          <w:sz w:val="32"/>
          <w:szCs w:val="32"/>
        </w:rPr>
        <w:t>玉溪市红塔区农业农村局</w:t>
      </w:r>
    </w:p>
    <w:p>
      <w:pPr>
        <w:widowControl/>
        <w:spacing w:line="600" w:lineRule="exact"/>
        <w:ind w:firstLine="320" w:firstLineChars="100"/>
        <w:jc w:val="center"/>
        <w:rPr>
          <w:rFonts w:eastAsia="方正仿宋_GB2312"/>
          <w:color w:val="auto"/>
          <w:kern w:val="0"/>
          <w:sz w:val="32"/>
          <w:szCs w:val="32"/>
        </w:rPr>
      </w:pPr>
      <w:r>
        <w:rPr>
          <w:rFonts w:eastAsia="方正仿宋_GB2312"/>
          <w:color w:val="auto"/>
          <w:kern w:val="0"/>
          <w:sz w:val="32"/>
          <w:szCs w:val="32"/>
        </w:rPr>
        <w:t>2023年5月</w:t>
      </w:r>
    </w:p>
    <w:p>
      <w:pPr>
        <w:pStyle w:val="2"/>
        <w:ind w:firstLine="320"/>
        <w:rPr>
          <w:rFonts w:eastAsia="方正仿宋_GB2312"/>
          <w:color w:val="auto"/>
          <w:kern w:val="0"/>
          <w:sz w:val="32"/>
          <w:szCs w:val="32"/>
        </w:rPr>
      </w:pPr>
    </w:p>
    <w:p>
      <w:pPr>
        <w:pStyle w:val="2"/>
        <w:ind w:firstLine="320"/>
        <w:rPr>
          <w:rFonts w:eastAsia="方正仿宋_GB2312"/>
          <w:color w:val="auto"/>
          <w:kern w:val="0"/>
          <w:sz w:val="32"/>
          <w:szCs w:val="32"/>
        </w:rPr>
      </w:pPr>
    </w:p>
    <w:p>
      <w:pPr>
        <w:pStyle w:val="2"/>
        <w:ind w:firstLine="320"/>
        <w:rPr>
          <w:rFonts w:eastAsia="方正仿宋_GB2312"/>
          <w:color w:val="auto"/>
          <w:kern w:val="0"/>
          <w:sz w:val="32"/>
          <w:szCs w:val="32"/>
        </w:rPr>
      </w:pPr>
    </w:p>
    <w:p>
      <w:pPr>
        <w:ind w:firstLine="643" w:firstLineChars="200"/>
        <w:outlineLvl w:val="1"/>
        <w:rPr>
          <w:rFonts w:eastAsia="方正楷体_GBK"/>
          <w:b/>
          <w:bCs/>
          <w:color w:val="auto"/>
          <w:sz w:val="32"/>
          <w:szCs w:val="32"/>
        </w:rPr>
      </w:pPr>
    </w:p>
    <w:p>
      <w:pPr>
        <w:rPr>
          <w:rFonts w:eastAsia="方正楷体_GBK"/>
          <w:b/>
          <w:bCs/>
          <w:color w:val="auto"/>
          <w:sz w:val="32"/>
          <w:szCs w:val="32"/>
        </w:rPr>
      </w:pPr>
      <w:r>
        <w:rPr>
          <w:rFonts w:eastAsia="方正楷体_GBK"/>
          <w:b/>
          <w:bCs/>
          <w:color w:val="auto"/>
          <w:sz w:val="32"/>
          <w:szCs w:val="32"/>
        </w:rPr>
        <w:t>一、项目概况</w:t>
      </w:r>
    </w:p>
    <w:p>
      <w:pPr>
        <w:spacing w:line="580" w:lineRule="exact"/>
        <w:ind w:firstLine="643" w:firstLineChars="200"/>
        <w:jc w:val="left"/>
        <w:rPr>
          <w:rFonts w:eastAsia="方正仿宋_GBK"/>
          <w:color w:val="auto"/>
          <w:sz w:val="32"/>
          <w:szCs w:val="32"/>
        </w:rPr>
      </w:pPr>
      <w:r>
        <w:rPr>
          <w:rFonts w:eastAsia="方正仿宋_GBK"/>
          <w:b/>
          <w:bCs/>
          <w:color w:val="auto"/>
          <w:sz w:val="32"/>
          <w:szCs w:val="32"/>
        </w:rPr>
        <w:t>项目名称：</w:t>
      </w:r>
      <w:r>
        <w:rPr>
          <w:rFonts w:eastAsia="方正仿宋_GBK"/>
          <w:color w:val="auto"/>
          <w:sz w:val="32"/>
          <w:szCs w:val="32"/>
        </w:rPr>
        <w:t>玉溪市红塔区2023年农作物秸秆综合利用重点县建设项目-秸秆还田生态效应监测子方案</w:t>
      </w:r>
    </w:p>
    <w:p>
      <w:pPr>
        <w:spacing w:line="580" w:lineRule="exact"/>
        <w:ind w:firstLine="643" w:firstLineChars="200"/>
        <w:jc w:val="left"/>
        <w:rPr>
          <w:rFonts w:eastAsia="方正仿宋_GBK"/>
          <w:color w:val="auto"/>
          <w:sz w:val="32"/>
          <w:szCs w:val="32"/>
        </w:rPr>
      </w:pPr>
      <w:r>
        <w:rPr>
          <w:rFonts w:eastAsia="方正仿宋_GBK"/>
          <w:b/>
          <w:bCs/>
          <w:color w:val="auto"/>
          <w:sz w:val="32"/>
          <w:szCs w:val="32"/>
        </w:rPr>
        <w:t>项目主管单位：</w:t>
      </w:r>
      <w:r>
        <w:rPr>
          <w:rFonts w:eastAsia="方正仿宋_GBK"/>
          <w:color w:val="auto"/>
          <w:sz w:val="32"/>
          <w:szCs w:val="32"/>
        </w:rPr>
        <w:t>玉溪市红塔区农业农村局</w:t>
      </w:r>
    </w:p>
    <w:p>
      <w:pPr>
        <w:spacing w:line="580" w:lineRule="exact"/>
        <w:ind w:firstLine="643" w:firstLineChars="200"/>
        <w:jc w:val="left"/>
        <w:rPr>
          <w:rFonts w:eastAsia="方正仿宋_GBK"/>
          <w:color w:val="auto"/>
          <w:sz w:val="32"/>
          <w:szCs w:val="32"/>
        </w:rPr>
      </w:pPr>
      <w:r>
        <w:rPr>
          <w:rFonts w:eastAsia="方正仿宋_GBK"/>
          <w:b/>
          <w:bCs/>
          <w:color w:val="auto"/>
          <w:sz w:val="32"/>
          <w:szCs w:val="32"/>
        </w:rPr>
        <w:t>项目监测地点：</w:t>
      </w:r>
      <w:r>
        <w:rPr>
          <w:rFonts w:eastAsia="方正仿宋_GBK"/>
          <w:color w:val="auto"/>
          <w:sz w:val="32"/>
          <w:szCs w:val="32"/>
        </w:rPr>
        <w:t>玉溪市红塔区高仓街道</w:t>
      </w:r>
    </w:p>
    <w:p>
      <w:pPr>
        <w:rPr>
          <w:rFonts w:eastAsia="方正楷体_GBK"/>
          <w:b/>
          <w:bCs/>
          <w:color w:val="auto"/>
          <w:sz w:val="32"/>
          <w:szCs w:val="32"/>
        </w:rPr>
      </w:pPr>
      <w:r>
        <w:rPr>
          <w:rFonts w:eastAsia="方正楷体_GBK"/>
          <w:b/>
          <w:bCs/>
          <w:color w:val="auto"/>
          <w:sz w:val="32"/>
          <w:szCs w:val="32"/>
        </w:rPr>
        <w:t>二、项目背景</w:t>
      </w:r>
    </w:p>
    <w:p>
      <w:pPr>
        <w:spacing w:line="580" w:lineRule="exact"/>
        <w:ind w:firstLine="640"/>
        <w:rPr>
          <w:rFonts w:eastAsia="方正仿宋_GBK"/>
          <w:color w:val="auto"/>
          <w:sz w:val="32"/>
          <w:szCs w:val="36"/>
        </w:rPr>
      </w:pPr>
      <w:r>
        <w:rPr>
          <w:rFonts w:eastAsia="方正仿宋_GBK"/>
          <w:color w:val="auto"/>
          <w:sz w:val="32"/>
          <w:szCs w:val="40"/>
        </w:rPr>
        <w:t>开展秸秆综合利用的工作，是全面贯彻落实国家</w:t>
      </w:r>
      <w:r>
        <w:rPr>
          <w:rFonts w:hint="eastAsia" w:eastAsia="方正仿宋_GBK"/>
          <w:color w:val="auto"/>
          <w:sz w:val="32"/>
          <w:szCs w:val="40"/>
        </w:rPr>
        <w:t>“</w:t>
      </w:r>
      <w:r>
        <w:rPr>
          <w:rFonts w:eastAsia="方正仿宋_GBK"/>
          <w:color w:val="auto"/>
          <w:sz w:val="32"/>
          <w:szCs w:val="40"/>
        </w:rPr>
        <w:t>十四五</w:t>
      </w:r>
      <w:r>
        <w:rPr>
          <w:rFonts w:hint="eastAsia" w:eastAsia="方正仿宋_GBK"/>
          <w:color w:val="auto"/>
          <w:sz w:val="32"/>
          <w:szCs w:val="40"/>
        </w:rPr>
        <w:t>”</w:t>
      </w:r>
      <w:r>
        <w:rPr>
          <w:rFonts w:eastAsia="方正仿宋_GBK"/>
          <w:color w:val="auto"/>
          <w:sz w:val="32"/>
          <w:szCs w:val="40"/>
        </w:rPr>
        <w:t>规划中，提升耕地质量、改善农业农村环境、实现农业高质量发展、绿色发展的重要举措。根据国家和部委相关要求，需要</w:t>
      </w:r>
      <w:r>
        <w:rPr>
          <w:rFonts w:eastAsia="方正仿宋_GBK"/>
          <w:color w:val="auto"/>
          <w:sz w:val="32"/>
          <w:szCs w:val="36"/>
        </w:rPr>
        <w:t>在各主要粮食生产区域逐步建立秸秆还田生态效应监测点位，构建覆盖全国的长期监测网络，完善秸秆还田农田生态效应评价指标及监测方法，积累秸秆还田生态效应大数据，科学评价秸秆还田的生态环境效应，为</w:t>
      </w:r>
      <w:bookmarkStart w:id="563" w:name="_Hlk108360047"/>
      <w:r>
        <w:rPr>
          <w:rFonts w:eastAsia="方正仿宋_GBK"/>
          <w:color w:val="auto"/>
          <w:sz w:val="32"/>
          <w:szCs w:val="36"/>
        </w:rPr>
        <w:t>指导秸秆还田生产实际、优化秸秆还田技术模式、辅助秸秆还田等有关决策提供充分的科学理论依据。</w:t>
      </w:r>
    </w:p>
    <w:bookmarkEnd w:id="563"/>
    <w:p>
      <w:pPr>
        <w:rPr>
          <w:rFonts w:eastAsia="方正楷体_GBK"/>
          <w:b/>
          <w:bCs/>
          <w:color w:val="auto"/>
          <w:sz w:val="32"/>
          <w:szCs w:val="32"/>
        </w:rPr>
      </w:pPr>
      <w:r>
        <w:rPr>
          <w:rFonts w:eastAsia="方正楷体_GBK"/>
          <w:b/>
          <w:bCs/>
          <w:color w:val="auto"/>
          <w:sz w:val="32"/>
          <w:szCs w:val="32"/>
        </w:rPr>
        <w:t>三、基本信息</w:t>
      </w:r>
    </w:p>
    <w:p>
      <w:pPr>
        <w:spacing w:line="580" w:lineRule="exact"/>
        <w:ind w:firstLine="640" w:firstLineChars="200"/>
        <w:rPr>
          <w:rFonts w:eastAsia="方正仿宋_GBK"/>
          <w:color w:val="auto"/>
          <w:sz w:val="32"/>
          <w:szCs w:val="36"/>
        </w:rPr>
      </w:pPr>
      <w:r>
        <w:rPr>
          <w:rFonts w:eastAsia="方正仿宋_GBK"/>
          <w:color w:val="auto"/>
          <w:sz w:val="32"/>
          <w:szCs w:val="36"/>
        </w:rPr>
        <w:t>根据要求，每个重点县至少开展1块实验地的秸秆还田效应监测工作，</w:t>
      </w:r>
      <w:r>
        <w:rPr>
          <w:rFonts w:hint="eastAsia" w:eastAsia="方正仿宋_GBK"/>
          <w:color w:val="auto"/>
          <w:sz w:val="32"/>
          <w:szCs w:val="36"/>
          <w:lang w:val="en-US" w:eastAsia="zh-CN"/>
        </w:rPr>
        <w:t>本项目中，开展玉米秸秆还田效应监测工作，试验地选择在</w:t>
      </w:r>
      <w:r>
        <w:rPr>
          <w:rFonts w:hint="eastAsia" w:eastAsia="方正仿宋_GBK"/>
          <w:color w:val="auto"/>
          <w:sz w:val="32"/>
          <w:szCs w:val="32"/>
          <w:lang w:val="en-US" w:eastAsia="zh-CN"/>
        </w:rPr>
        <w:t>高仓街道龙树社区五组</w:t>
      </w:r>
      <w:r>
        <w:rPr>
          <w:rFonts w:eastAsia="方正仿宋_GBK"/>
          <w:color w:val="auto"/>
          <w:sz w:val="32"/>
          <w:szCs w:val="36"/>
        </w:rPr>
        <w:t>。</w:t>
      </w:r>
    </w:p>
    <w:p>
      <w:pPr>
        <w:rPr>
          <w:rFonts w:eastAsia="方正楷体_GBK"/>
          <w:b/>
          <w:bCs/>
          <w:color w:val="auto"/>
          <w:sz w:val="32"/>
          <w:szCs w:val="32"/>
        </w:rPr>
      </w:pPr>
      <w:r>
        <w:rPr>
          <w:rFonts w:eastAsia="方正楷体_GBK"/>
          <w:b/>
          <w:bCs/>
          <w:color w:val="auto"/>
          <w:sz w:val="32"/>
          <w:szCs w:val="32"/>
        </w:rPr>
        <w:t>四、实施内容</w:t>
      </w:r>
      <w:bookmarkStart w:id="564" w:name="_Toc105489755"/>
    </w:p>
    <w:bookmarkEnd w:id="564"/>
    <w:p>
      <w:pPr>
        <w:widowControl/>
        <w:spacing w:line="580" w:lineRule="exact"/>
        <w:ind w:firstLine="640"/>
        <w:rPr>
          <w:rFonts w:eastAsia="方正仿宋_GBK"/>
          <w:b/>
          <w:bCs/>
          <w:color w:val="auto"/>
          <w:sz w:val="32"/>
          <w:szCs w:val="36"/>
        </w:rPr>
      </w:pPr>
      <w:r>
        <w:rPr>
          <w:rFonts w:eastAsia="方正仿宋_GBK"/>
          <w:color w:val="auto"/>
          <w:sz w:val="32"/>
          <w:szCs w:val="36"/>
        </w:rPr>
        <w:t>一是开展入户调查并填写《农作物秸秆还田地块情况调查表》（附件1）；</w:t>
      </w:r>
    </w:p>
    <w:p>
      <w:pPr>
        <w:widowControl/>
        <w:spacing w:line="580" w:lineRule="exact"/>
        <w:ind w:firstLine="640"/>
        <w:rPr>
          <w:rFonts w:eastAsia="方正仿宋_GBK"/>
          <w:color w:val="auto"/>
          <w:sz w:val="32"/>
          <w:szCs w:val="36"/>
        </w:rPr>
      </w:pPr>
      <w:r>
        <w:rPr>
          <w:rFonts w:eastAsia="方正仿宋_GBK"/>
          <w:color w:val="auto"/>
          <w:sz w:val="32"/>
          <w:szCs w:val="36"/>
        </w:rPr>
        <w:t>二是布设不少于1个秸秆还田监测点位，开展秸秆还田效果监测与评价。监测点位须明确地址（具体到村，提供经纬度）、面积、作物及种植方式、秸秆还田技术类型（须含无秸秆还田的对照处理）、技术支撑单位等信息。</w:t>
      </w:r>
      <w:bookmarkStart w:id="565" w:name="_Toc105489756"/>
    </w:p>
    <w:p>
      <w:pPr>
        <w:widowControl/>
        <w:spacing w:line="580" w:lineRule="exact"/>
        <w:ind w:firstLine="640"/>
        <w:rPr>
          <w:rFonts w:eastAsia="方正仿宋_GBK"/>
          <w:color w:val="auto"/>
          <w:sz w:val="32"/>
          <w:szCs w:val="36"/>
        </w:rPr>
      </w:pPr>
      <w:r>
        <w:rPr>
          <w:rFonts w:eastAsia="方正黑体_GBK"/>
          <w:color w:val="auto"/>
          <w:sz w:val="32"/>
          <w:szCs w:val="32"/>
        </w:rPr>
        <w:t>入户调查内容</w:t>
      </w:r>
      <w:bookmarkEnd w:id="565"/>
    </w:p>
    <w:p>
      <w:pPr>
        <w:widowControl/>
        <w:spacing w:line="580" w:lineRule="exact"/>
        <w:ind w:firstLine="640"/>
        <w:rPr>
          <w:rFonts w:eastAsia="方正仿宋_GBK"/>
          <w:b/>
          <w:bCs/>
          <w:color w:val="auto"/>
          <w:sz w:val="32"/>
          <w:szCs w:val="36"/>
        </w:rPr>
      </w:pPr>
      <w:r>
        <w:rPr>
          <w:rFonts w:eastAsia="方正仿宋_GBK"/>
          <w:color w:val="auto"/>
          <w:sz w:val="32"/>
          <w:szCs w:val="36"/>
        </w:rPr>
        <w:t>调查点位的信息及数据时间范围为2022年春耕至2023年春耕前，调查内容包括农业基本生产情况和还田后田间的生产情况两个方面。</w:t>
      </w:r>
    </w:p>
    <w:p>
      <w:pPr>
        <w:spacing w:line="580" w:lineRule="exact"/>
        <w:ind w:firstLine="643"/>
        <w:rPr>
          <w:rFonts w:eastAsia="方正楷体_GBK"/>
          <w:color w:val="auto"/>
          <w:sz w:val="32"/>
          <w:szCs w:val="36"/>
        </w:rPr>
      </w:pPr>
      <w:bookmarkStart w:id="566" w:name="_Toc1509"/>
      <w:bookmarkStart w:id="567" w:name="_Toc28029"/>
      <w:bookmarkStart w:id="568" w:name="_Toc19350"/>
      <w:bookmarkStart w:id="569" w:name="_Toc628"/>
      <w:bookmarkStart w:id="570" w:name="_Toc105489757"/>
      <w:bookmarkStart w:id="571" w:name="_Toc117259250"/>
      <w:r>
        <w:rPr>
          <w:rFonts w:eastAsia="方正楷体_GBK"/>
          <w:color w:val="auto"/>
          <w:sz w:val="32"/>
          <w:szCs w:val="36"/>
        </w:rPr>
        <w:t>（一）农业基本生产情况</w:t>
      </w:r>
      <w:bookmarkEnd w:id="566"/>
      <w:bookmarkEnd w:id="567"/>
      <w:bookmarkEnd w:id="568"/>
      <w:bookmarkEnd w:id="569"/>
      <w:bookmarkEnd w:id="570"/>
      <w:bookmarkEnd w:id="571"/>
    </w:p>
    <w:p>
      <w:pPr>
        <w:widowControl/>
        <w:spacing w:line="580" w:lineRule="exact"/>
        <w:ind w:firstLine="640"/>
        <w:rPr>
          <w:rFonts w:eastAsia="方正仿宋_GBK"/>
          <w:b/>
          <w:bCs/>
          <w:color w:val="auto"/>
          <w:sz w:val="32"/>
          <w:szCs w:val="36"/>
        </w:rPr>
      </w:pPr>
      <w:r>
        <w:rPr>
          <w:rFonts w:eastAsia="方正仿宋_GBK"/>
          <w:color w:val="auto"/>
          <w:sz w:val="32"/>
          <w:szCs w:val="36"/>
        </w:rPr>
        <w:t>1.农户情况：秸秆还田调查点位地块所属农户姓名、联系电话、种植户类型（普通农户、大户、合作社，三选一）。</w:t>
      </w:r>
    </w:p>
    <w:p>
      <w:pPr>
        <w:widowControl/>
        <w:spacing w:line="580" w:lineRule="exact"/>
        <w:ind w:firstLine="640"/>
        <w:rPr>
          <w:rFonts w:eastAsia="方正仿宋_GBK"/>
          <w:b/>
          <w:bCs/>
          <w:color w:val="auto"/>
          <w:sz w:val="32"/>
          <w:szCs w:val="36"/>
        </w:rPr>
      </w:pPr>
      <w:r>
        <w:rPr>
          <w:rFonts w:eastAsia="方正仿宋_GBK"/>
          <w:color w:val="auto"/>
          <w:sz w:val="32"/>
          <w:szCs w:val="36"/>
        </w:rPr>
        <w:t>2.地块情况：秸秆不还田、直接还田以及腐熟还田调查点位地块的经纬度（地块中心位置）、地块总面积（被调查的相同种植、还田方式下地块的总面积）。</w:t>
      </w:r>
    </w:p>
    <w:p>
      <w:pPr>
        <w:snapToGrid w:val="0"/>
        <w:spacing w:line="580" w:lineRule="exact"/>
        <w:ind w:firstLine="641"/>
        <w:rPr>
          <w:rFonts w:eastAsia="方正仿宋_GBK"/>
          <w:b/>
          <w:bCs/>
          <w:color w:val="auto"/>
          <w:sz w:val="32"/>
          <w:szCs w:val="36"/>
        </w:rPr>
      </w:pPr>
      <w:r>
        <w:rPr>
          <w:rFonts w:eastAsia="方正仿宋_GBK"/>
          <w:color w:val="auto"/>
          <w:sz w:val="32"/>
          <w:szCs w:val="36"/>
        </w:rPr>
        <w:t>3.种植情况：作物种类</w:t>
      </w:r>
      <w:r>
        <w:rPr>
          <w:rFonts w:hint="eastAsia" w:eastAsia="方正仿宋_GBK"/>
          <w:color w:val="auto"/>
          <w:sz w:val="32"/>
          <w:szCs w:val="36"/>
          <w:lang w:eastAsia="zh-CN"/>
        </w:rPr>
        <w:t>：</w:t>
      </w:r>
      <w:r>
        <w:rPr>
          <w:rFonts w:eastAsia="方正仿宋_GBK"/>
          <w:color w:val="auto"/>
          <w:sz w:val="32"/>
          <w:szCs w:val="36"/>
        </w:rPr>
        <w:t>玉米、种植方式</w:t>
      </w:r>
      <w:r>
        <w:rPr>
          <w:rFonts w:hint="eastAsia" w:eastAsia="方正仿宋_GBK"/>
          <w:color w:val="auto"/>
          <w:sz w:val="32"/>
          <w:szCs w:val="36"/>
          <w:lang w:eastAsia="zh-CN"/>
        </w:rPr>
        <w:t>：</w:t>
      </w:r>
      <w:r>
        <w:rPr>
          <w:rFonts w:eastAsia="方正仿宋_GBK"/>
          <w:color w:val="auto"/>
          <w:sz w:val="32"/>
          <w:szCs w:val="36"/>
        </w:rPr>
        <w:t>轮作、灌溉方式</w:t>
      </w:r>
      <w:r>
        <w:rPr>
          <w:rFonts w:hint="eastAsia" w:eastAsia="方正仿宋_GBK"/>
          <w:color w:val="auto"/>
          <w:sz w:val="32"/>
          <w:szCs w:val="36"/>
          <w:lang w:eastAsia="zh-CN"/>
        </w:rPr>
        <w:t>：</w:t>
      </w:r>
      <w:r>
        <w:rPr>
          <w:rFonts w:eastAsia="方正仿宋_GBK"/>
          <w:color w:val="auto"/>
          <w:sz w:val="32"/>
          <w:szCs w:val="36"/>
        </w:rPr>
        <w:t>旱田。</w:t>
      </w:r>
    </w:p>
    <w:p>
      <w:pPr>
        <w:snapToGrid w:val="0"/>
        <w:spacing w:line="580" w:lineRule="exact"/>
        <w:ind w:firstLine="641"/>
        <w:rPr>
          <w:rFonts w:eastAsia="方正仿宋_GBK"/>
          <w:b/>
          <w:bCs/>
          <w:color w:val="auto"/>
          <w:sz w:val="32"/>
          <w:szCs w:val="36"/>
        </w:rPr>
      </w:pPr>
      <w:r>
        <w:rPr>
          <w:rFonts w:eastAsia="方正仿宋_GBK"/>
          <w:color w:val="auto"/>
          <w:sz w:val="32"/>
          <w:szCs w:val="36"/>
        </w:rPr>
        <w:t>4.还田情况（包括直接还田和腐熟还田）：秸秆还田类型（如：免耕覆盖、旋耕碎混、翻埋还田等）、秸秆还田深度（秸秆还田采取的翻耕、旋耕等措施的作业深度）。</w:t>
      </w:r>
    </w:p>
    <w:p>
      <w:pPr>
        <w:widowControl/>
        <w:spacing w:line="580" w:lineRule="exact"/>
        <w:ind w:firstLine="640"/>
        <w:rPr>
          <w:rFonts w:eastAsia="方正仿宋_GBK"/>
          <w:b/>
          <w:bCs/>
          <w:color w:val="auto"/>
          <w:sz w:val="32"/>
          <w:szCs w:val="36"/>
        </w:rPr>
      </w:pPr>
      <w:r>
        <w:rPr>
          <w:rFonts w:eastAsia="方正仿宋_GBK"/>
          <w:color w:val="auto"/>
          <w:sz w:val="32"/>
          <w:szCs w:val="36"/>
        </w:rPr>
        <w:t>5.肥药施用情况：与点位临近区域相同种植方式、秸秆不还田地块相比，实施秸秆直接还田地块以及腐熟还田地块施肥、施药的剂量与频次变化情况（增加、不变、减少，并以正负百分比计量变化幅度。例如：不还田地块施用尿素10kg/亩、还田地块需施用尿素12kg/亩，腐熟还田地块使用尿素5kg/亩，则施肥增加、幅度计为+20%；不还田地块全生育期打药2次、还田地块仅需同剂量打药1次，则施药减少、幅度计为－50%）。</w:t>
      </w:r>
    </w:p>
    <w:p>
      <w:pPr>
        <w:spacing w:line="580" w:lineRule="exact"/>
        <w:ind w:firstLine="643"/>
        <w:rPr>
          <w:rFonts w:eastAsia="方正楷体_GBK"/>
          <w:color w:val="auto"/>
          <w:sz w:val="32"/>
          <w:szCs w:val="36"/>
        </w:rPr>
      </w:pPr>
      <w:bookmarkStart w:id="572" w:name="_Toc14879"/>
      <w:bookmarkStart w:id="573" w:name="_Toc105489758"/>
      <w:bookmarkStart w:id="574" w:name="_Toc12994"/>
      <w:bookmarkStart w:id="575" w:name="_Toc13068"/>
      <w:bookmarkStart w:id="576" w:name="_Toc26983"/>
      <w:bookmarkStart w:id="577" w:name="_Toc117259251"/>
      <w:r>
        <w:rPr>
          <w:rFonts w:eastAsia="方正楷体_GBK"/>
          <w:color w:val="auto"/>
          <w:sz w:val="32"/>
          <w:szCs w:val="36"/>
        </w:rPr>
        <w:t>（二）还田后田间生产情况</w:t>
      </w:r>
      <w:bookmarkEnd w:id="572"/>
      <w:bookmarkEnd w:id="573"/>
      <w:bookmarkEnd w:id="574"/>
      <w:bookmarkEnd w:id="575"/>
      <w:bookmarkEnd w:id="576"/>
      <w:bookmarkEnd w:id="577"/>
    </w:p>
    <w:p>
      <w:pPr>
        <w:widowControl/>
        <w:spacing w:line="580" w:lineRule="exact"/>
        <w:ind w:firstLine="640"/>
        <w:rPr>
          <w:rFonts w:eastAsia="方正仿宋_GBK"/>
          <w:b/>
          <w:bCs/>
          <w:color w:val="auto"/>
          <w:sz w:val="32"/>
          <w:szCs w:val="36"/>
        </w:rPr>
      </w:pPr>
      <w:r>
        <w:rPr>
          <w:rFonts w:eastAsia="方正仿宋_GBK"/>
          <w:color w:val="auto"/>
          <w:sz w:val="32"/>
          <w:szCs w:val="36"/>
        </w:rPr>
        <w:t>1.病虫草害情况：与点位临近区域相同种植方式、秸秆不还田地块相比，秸秆还田地块发生病、虫、草害的情况变化（仅分3种情况：增加、不变、减少）。</w:t>
      </w:r>
    </w:p>
    <w:p>
      <w:pPr>
        <w:widowControl/>
        <w:spacing w:line="580" w:lineRule="exact"/>
        <w:ind w:firstLine="640"/>
        <w:rPr>
          <w:rFonts w:eastAsia="方正仿宋_GBK"/>
          <w:b/>
          <w:bCs/>
          <w:color w:val="auto"/>
          <w:sz w:val="32"/>
          <w:szCs w:val="36"/>
        </w:rPr>
      </w:pPr>
      <w:r>
        <w:rPr>
          <w:rFonts w:eastAsia="方正仿宋_GBK"/>
          <w:color w:val="auto"/>
          <w:sz w:val="32"/>
          <w:szCs w:val="36"/>
        </w:rPr>
        <w:t>2.作物产量情况：与点位临近区域相同种植方式、秸秆不还田地块相比，秸秆还田地块（增加、不变、减少，并以正负百分比计量变化幅度。例如：不还田地块亩产800kg，直接还田地块亩产1000kg，则作物产量增加、幅度计为+25%，腐熟还田地块亩产1200kg，则作物产量增加、幅度记为+50%）。</w:t>
      </w:r>
    </w:p>
    <w:p>
      <w:pPr>
        <w:widowControl/>
        <w:spacing w:line="580" w:lineRule="exact"/>
        <w:ind w:firstLine="640"/>
        <w:rPr>
          <w:rFonts w:eastAsia="方正仿宋_GBK"/>
          <w:color w:val="auto"/>
          <w:sz w:val="32"/>
          <w:szCs w:val="36"/>
        </w:rPr>
      </w:pPr>
      <w:r>
        <w:rPr>
          <w:rFonts w:eastAsia="方正仿宋_GBK"/>
          <w:color w:val="auto"/>
          <w:sz w:val="32"/>
          <w:szCs w:val="36"/>
        </w:rPr>
        <w:t>3.茬口情况：上茬秸秆腐解情况，即观测估计播种期间上茬还田秸秆的腐解程度，以百分比例表示大致幅度；对下茬作物播种量影响，即与点位临近区域相同种植方式、秸秆不还田地块相比，秸秆还田地块是否需要增加播种量，若增加则以百分比例表示其增加幅度。</w:t>
      </w:r>
    </w:p>
    <w:p>
      <w:pPr>
        <w:rPr>
          <w:rFonts w:eastAsia="方正楷体_GBK"/>
          <w:b/>
          <w:bCs/>
          <w:color w:val="auto"/>
          <w:sz w:val="32"/>
          <w:szCs w:val="32"/>
        </w:rPr>
      </w:pPr>
      <w:r>
        <w:rPr>
          <w:rFonts w:eastAsia="方正楷体_GBK"/>
          <w:b/>
          <w:bCs/>
          <w:color w:val="auto"/>
          <w:sz w:val="32"/>
          <w:szCs w:val="32"/>
        </w:rPr>
        <w:t>五、基础信息</w:t>
      </w:r>
    </w:p>
    <w:p>
      <w:pPr>
        <w:spacing w:line="580" w:lineRule="exact"/>
        <w:ind w:firstLine="640" w:firstLineChars="200"/>
        <w:rPr>
          <w:rFonts w:eastAsia="方正仿宋_GBK"/>
          <w:color w:val="auto"/>
          <w:kern w:val="0"/>
          <w:sz w:val="32"/>
          <w:szCs w:val="32"/>
        </w:rPr>
      </w:pPr>
      <w:r>
        <w:rPr>
          <w:rFonts w:eastAsia="方正仿宋_GBK"/>
          <w:color w:val="auto"/>
          <w:sz w:val="32"/>
          <w:szCs w:val="36"/>
        </w:rPr>
        <w:t>此处主要是对所需进行秸秆生态效益监测的地区地块信息进行简述（</w:t>
      </w:r>
      <w:r>
        <w:rPr>
          <w:rFonts w:eastAsia="方正仿宋_GBK"/>
          <w:color w:val="auto"/>
          <w:kern w:val="0"/>
          <w:sz w:val="32"/>
          <w:szCs w:val="32"/>
        </w:rPr>
        <w:t>相关信息见附表）</w:t>
      </w:r>
      <w:r>
        <w:rPr>
          <w:rFonts w:eastAsia="方正仿宋_GBK"/>
          <w:color w:val="auto"/>
          <w:sz w:val="32"/>
          <w:szCs w:val="36"/>
        </w:rPr>
        <w:t>。</w:t>
      </w:r>
    </w:p>
    <w:p>
      <w:pPr>
        <w:rPr>
          <w:rFonts w:eastAsia="方正楷体_GBK"/>
          <w:b/>
          <w:bCs/>
          <w:color w:val="auto"/>
          <w:sz w:val="32"/>
          <w:szCs w:val="32"/>
        </w:rPr>
      </w:pPr>
      <w:r>
        <w:rPr>
          <w:rFonts w:eastAsia="方正楷体_GBK"/>
          <w:b/>
          <w:bCs/>
          <w:color w:val="auto"/>
          <w:sz w:val="32"/>
          <w:szCs w:val="32"/>
        </w:rPr>
        <w:t>六、操作步骤</w:t>
      </w:r>
    </w:p>
    <w:p>
      <w:pPr>
        <w:spacing w:line="580" w:lineRule="exact"/>
        <w:ind w:firstLine="640"/>
        <w:rPr>
          <w:rFonts w:eastAsia="方正仿宋_GBK"/>
          <w:color w:val="auto"/>
          <w:sz w:val="32"/>
          <w:szCs w:val="36"/>
        </w:rPr>
      </w:pPr>
      <w:r>
        <w:rPr>
          <w:rFonts w:eastAsia="方正仿宋_GBK"/>
          <w:color w:val="auto"/>
          <w:sz w:val="32"/>
          <w:szCs w:val="36"/>
        </w:rPr>
        <w:t>监测点位须包括无秸秆还田、秸秆直接还田以及腐熟还田处理。秸秆还田处理为当地生产实际应用的还田方式，还田处理设3个重复。</w:t>
      </w:r>
    </w:p>
    <w:p>
      <w:pPr>
        <w:spacing w:line="580" w:lineRule="exact"/>
        <w:ind w:firstLine="643"/>
        <w:rPr>
          <w:rFonts w:eastAsia="方正楷体_GBK"/>
          <w:color w:val="auto"/>
          <w:sz w:val="32"/>
          <w:szCs w:val="36"/>
        </w:rPr>
      </w:pPr>
      <w:bookmarkStart w:id="578" w:name="_Toc30953"/>
      <w:bookmarkStart w:id="579" w:name="_Toc22333"/>
      <w:bookmarkStart w:id="580" w:name="_Toc19749"/>
      <w:bookmarkStart w:id="581" w:name="_Toc16506"/>
      <w:bookmarkStart w:id="582" w:name="_Toc117259252"/>
      <w:bookmarkStart w:id="583" w:name="_Toc25170"/>
      <w:bookmarkStart w:id="584" w:name="_Toc105489760"/>
      <w:bookmarkStart w:id="585" w:name="_Toc39871129"/>
      <w:r>
        <w:rPr>
          <w:rFonts w:eastAsia="方正楷体_GBK"/>
          <w:color w:val="auto"/>
          <w:sz w:val="32"/>
          <w:szCs w:val="36"/>
        </w:rPr>
        <w:t>（一）气象条件和耕作、栽培措施</w:t>
      </w:r>
      <w:bookmarkEnd w:id="578"/>
      <w:bookmarkEnd w:id="579"/>
      <w:bookmarkEnd w:id="580"/>
      <w:bookmarkEnd w:id="581"/>
      <w:bookmarkEnd w:id="582"/>
      <w:bookmarkEnd w:id="583"/>
      <w:bookmarkEnd w:id="584"/>
    </w:p>
    <w:p>
      <w:pPr>
        <w:spacing w:line="580" w:lineRule="exact"/>
        <w:ind w:firstLine="643"/>
        <w:rPr>
          <w:rStyle w:val="19"/>
          <w:rFonts w:ascii="Times New Roman" w:hAnsi="Times New Roman" w:eastAsia="方正仿宋_GBK" w:cs="Times New Roman"/>
          <w:b w:val="0"/>
          <w:bCs w:val="0"/>
          <w:color w:val="auto"/>
        </w:rPr>
      </w:pPr>
      <w:bookmarkStart w:id="586" w:name="_Toc117259253"/>
      <w:r>
        <w:rPr>
          <w:rStyle w:val="19"/>
          <w:rFonts w:ascii="Times New Roman" w:hAnsi="Times New Roman" w:eastAsia="方正仿宋_GBK" w:cs="Times New Roman"/>
          <w:color w:val="auto"/>
        </w:rPr>
        <w:t>1.气象条件</w:t>
      </w:r>
      <w:bookmarkEnd w:id="586"/>
    </w:p>
    <w:p>
      <w:pPr>
        <w:spacing w:line="580" w:lineRule="exact"/>
        <w:ind w:firstLine="640"/>
        <w:rPr>
          <w:rFonts w:eastAsia="方正仿宋_GBK"/>
          <w:b/>
          <w:bCs/>
          <w:color w:val="auto"/>
          <w:sz w:val="32"/>
          <w:szCs w:val="36"/>
        </w:rPr>
      </w:pPr>
      <w:r>
        <w:rPr>
          <w:rFonts w:eastAsia="方正仿宋_GBK"/>
          <w:color w:val="auto"/>
          <w:sz w:val="32"/>
          <w:szCs w:val="36"/>
        </w:rPr>
        <w:t>光照、气温、降水条件的记录监测。</w:t>
      </w:r>
    </w:p>
    <w:p>
      <w:pPr>
        <w:spacing w:line="580" w:lineRule="exact"/>
        <w:ind w:firstLine="643"/>
        <w:rPr>
          <w:rStyle w:val="19"/>
          <w:rFonts w:ascii="Times New Roman" w:hAnsi="Times New Roman" w:eastAsia="方正仿宋_GBK" w:cs="Times New Roman"/>
          <w:b w:val="0"/>
          <w:bCs w:val="0"/>
          <w:color w:val="auto"/>
        </w:rPr>
      </w:pPr>
      <w:bookmarkStart w:id="587" w:name="_Toc117259254"/>
      <w:r>
        <w:rPr>
          <w:rStyle w:val="19"/>
          <w:rFonts w:ascii="Times New Roman" w:hAnsi="Times New Roman" w:eastAsia="方正仿宋_GBK" w:cs="Times New Roman"/>
          <w:color w:val="auto"/>
        </w:rPr>
        <w:t>2.耕作、栽培措施</w:t>
      </w:r>
      <w:bookmarkEnd w:id="587"/>
    </w:p>
    <w:p>
      <w:pPr>
        <w:spacing w:line="580" w:lineRule="exact"/>
        <w:ind w:firstLine="640"/>
        <w:rPr>
          <w:rFonts w:eastAsia="方正仿宋_GBK"/>
          <w:b/>
          <w:bCs/>
          <w:color w:val="auto"/>
          <w:sz w:val="32"/>
          <w:szCs w:val="36"/>
        </w:rPr>
      </w:pPr>
      <w:r>
        <w:rPr>
          <w:rFonts w:eastAsia="方正仿宋_GBK"/>
          <w:color w:val="auto"/>
          <w:sz w:val="32"/>
          <w:szCs w:val="36"/>
        </w:rPr>
        <w:t>整地、施肥、灌溉、病虫草害防治相关信息记录监测。</w:t>
      </w:r>
    </w:p>
    <w:p>
      <w:pPr>
        <w:spacing w:line="580" w:lineRule="exact"/>
        <w:ind w:firstLine="643"/>
        <w:rPr>
          <w:rFonts w:eastAsia="方正楷体_GBK"/>
          <w:color w:val="auto"/>
          <w:sz w:val="32"/>
          <w:szCs w:val="36"/>
        </w:rPr>
      </w:pPr>
      <w:bookmarkStart w:id="588" w:name="_Toc22587"/>
      <w:bookmarkStart w:id="589" w:name="_Toc105489761"/>
      <w:bookmarkStart w:id="590" w:name="_Toc17922"/>
      <w:bookmarkStart w:id="591" w:name="_Toc117259255"/>
      <w:bookmarkStart w:id="592" w:name="_Toc15211"/>
      <w:bookmarkStart w:id="593" w:name="_Toc5339"/>
      <w:bookmarkStart w:id="594" w:name="_Toc5298"/>
      <w:r>
        <w:rPr>
          <w:rFonts w:eastAsia="方正楷体_GBK"/>
          <w:color w:val="auto"/>
          <w:sz w:val="32"/>
          <w:szCs w:val="36"/>
        </w:rPr>
        <w:t>（二）作物田间生产情况</w:t>
      </w:r>
      <w:bookmarkEnd w:id="588"/>
      <w:bookmarkEnd w:id="589"/>
      <w:bookmarkEnd w:id="590"/>
      <w:bookmarkEnd w:id="591"/>
      <w:bookmarkEnd w:id="592"/>
      <w:bookmarkEnd w:id="593"/>
      <w:bookmarkEnd w:id="594"/>
    </w:p>
    <w:p>
      <w:pPr>
        <w:spacing w:line="580" w:lineRule="exact"/>
        <w:ind w:firstLine="643"/>
        <w:rPr>
          <w:rStyle w:val="19"/>
          <w:rFonts w:ascii="Times New Roman" w:hAnsi="Times New Roman" w:eastAsia="方正仿宋_GBK" w:cs="Times New Roman"/>
          <w:b w:val="0"/>
          <w:bCs w:val="0"/>
          <w:color w:val="auto"/>
        </w:rPr>
      </w:pPr>
      <w:bookmarkStart w:id="595" w:name="_Toc117259256"/>
      <w:r>
        <w:rPr>
          <w:rStyle w:val="19"/>
          <w:rFonts w:ascii="Times New Roman" w:hAnsi="Times New Roman" w:eastAsia="方正仿宋_GBK" w:cs="Times New Roman"/>
          <w:color w:val="auto"/>
        </w:rPr>
        <w:t>1.田间情况</w:t>
      </w:r>
      <w:bookmarkEnd w:id="595"/>
    </w:p>
    <w:p>
      <w:pPr>
        <w:spacing w:line="580" w:lineRule="exact"/>
        <w:ind w:firstLine="640"/>
        <w:rPr>
          <w:rFonts w:eastAsia="方正仿宋_GBK"/>
          <w:b/>
          <w:bCs/>
          <w:color w:val="auto"/>
          <w:sz w:val="32"/>
          <w:szCs w:val="36"/>
        </w:rPr>
      </w:pPr>
      <w:r>
        <w:rPr>
          <w:rFonts w:eastAsia="方正仿宋_GBK"/>
          <w:color w:val="auto"/>
          <w:sz w:val="32"/>
          <w:szCs w:val="36"/>
        </w:rPr>
        <w:t>病、虫、草害调查。</w:t>
      </w:r>
    </w:p>
    <w:p>
      <w:pPr>
        <w:spacing w:line="580" w:lineRule="exact"/>
        <w:ind w:firstLine="643"/>
        <w:rPr>
          <w:rStyle w:val="19"/>
          <w:rFonts w:ascii="Times New Roman" w:hAnsi="Times New Roman" w:eastAsia="方正仿宋_GBK" w:cs="Times New Roman"/>
          <w:b w:val="0"/>
          <w:bCs w:val="0"/>
          <w:color w:val="auto"/>
        </w:rPr>
      </w:pPr>
      <w:bookmarkStart w:id="596" w:name="_Toc117259257"/>
      <w:r>
        <w:rPr>
          <w:rStyle w:val="19"/>
          <w:rFonts w:ascii="Times New Roman" w:hAnsi="Times New Roman" w:eastAsia="方正仿宋_GBK" w:cs="Times New Roman"/>
          <w:color w:val="auto"/>
        </w:rPr>
        <w:t>2.生产情况</w:t>
      </w:r>
      <w:bookmarkEnd w:id="596"/>
    </w:p>
    <w:p>
      <w:pPr>
        <w:spacing w:line="580" w:lineRule="exact"/>
        <w:ind w:firstLine="640"/>
        <w:rPr>
          <w:rFonts w:eastAsia="方正仿宋_GBK"/>
          <w:b/>
          <w:bCs/>
          <w:color w:val="auto"/>
          <w:sz w:val="32"/>
          <w:szCs w:val="36"/>
        </w:rPr>
      </w:pPr>
      <w:r>
        <w:rPr>
          <w:rFonts w:eastAsia="方正仿宋_GBK"/>
          <w:color w:val="auto"/>
          <w:sz w:val="32"/>
          <w:szCs w:val="36"/>
        </w:rPr>
        <w:t>作物倒伏情况调查，作物种类、品种、种植和收获日期，粮食产量，秸秆腐解率、秸秆碳和氮磷钾含量。</w:t>
      </w:r>
    </w:p>
    <w:p>
      <w:pPr>
        <w:spacing w:line="580" w:lineRule="exact"/>
        <w:ind w:firstLine="643"/>
        <w:rPr>
          <w:rFonts w:eastAsia="方正仿宋_GBK"/>
          <w:color w:val="auto"/>
          <w:sz w:val="32"/>
          <w:szCs w:val="36"/>
        </w:rPr>
      </w:pPr>
      <w:bookmarkStart w:id="597" w:name="_Toc9581"/>
      <w:bookmarkStart w:id="598" w:name="_Toc5973"/>
      <w:bookmarkStart w:id="599" w:name="_Toc105489762"/>
      <w:bookmarkStart w:id="600" w:name="_Toc20933"/>
      <w:bookmarkStart w:id="601" w:name="_Toc26684"/>
      <w:bookmarkStart w:id="602" w:name="_Toc117259258"/>
      <w:bookmarkStart w:id="603" w:name="_Toc21330"/>
      <w:r>
        <w:rPr>
          <w:rFonts w:eastAsia="方正仿宋_GBK"/>
          <w:color w:val="auto"/>
          <w:sz w:val="32"/>
          <w:szCs w:val="36"/>
        </w:rPr>
        <w:t>（三）土壤状况</w:t>
      </w:r>
      <w:bookmarkEnd w:id="597"/>
      <w:bookmarkEnd w:id="598"/>
      <w:bookmarkEnd w:id="599"/>
      <w:bookmarkEnd w:id="600"/>
      <w:bookmarkEnd w:id="601"/>
      <w:bookmarkEnd w:id="602"/>
      <w:bookmarkEnd w:id="603"/>
    </w:p>
    <w:p>
      <w:pPr>
        <w:spacing w:line="580" w:lineRule="exact"/>
        <w:ind w:firstLine="640"/>
        <w:rPr>
          <w:rFonts w:eastAsia="方正仿宋_GBK"/>
          <w:b/>
          <w:bCs/>
          <w:color w:val="auto"/>
          <w:sz w:val="32"/>
          <w:szCs w:val="36"/>
        </w:rPr>
      </w:pPr>
      <w:r>
        <w:rPr>
          <w:rFonts w:eastAsia="方正仿宋_GBK"/>
          <w:color w:val="auto"/>
          <w:sz w:val="32"/>
          <w:szCs w:val="36"/>
        </w:rPr>
        <w:t>功能参数指标，包括pH、有机质、容重、田间持水量、土壤温度、全氮、碱解氮、有效钾。</w:t>
      </w:r>
    </w:p>
    <w:p>
      <w:pPr>
        <w:rPr>
          <w:rFonts w:eastAsia="方正楷体_GBK"/>
          <w:b/>
          <w:bCs/>
          <w:color w:val="auto"/>
          <w:sz w:val="32"/>
          <w:szCs w:val="32"/>
        </w:rPr>
      </w:pPr>
      <w:bookmarkStart w:id="604" w:name="_Toc25475"/>
      <w:bookmarkStart w:id="605" w:name="_Toc12823"/>
      <w:bookmarkStart w:id="606" w:name="_Toc105489763"/>
      <w:bookmarkStart w:id="607" w:name="_Toc32651"/>
      <w:bookmarkStart w:id="608" w:name="_Toc117259259"/>
      <w:r>
        <w:rPr>
          <w:rFonts w:eastAsia="方正楷体_GBK"/>
          <w:b/>
          <w:bCs/>
          <w:color w:val="auto"/>
          <w:sz w:val="32"/>
          <w:szCs w:val="32"/>
        </w:rPr>
        <w:t>七、监测方法</w:t>
      </w:r>
      <w:bookmarkEnd w:id="585"/>
      <w:bookmarkEnd w:id="604"/>
      <w:bookmarkEnd w:id="605"/>
      <w:bookmarkEnd w:id="606"/>
      <w:bookmarkEnd w:id="607"/>
      <w:bookmarkEnd w:id="608"/>
    </w:p>
    <w:p>
      <w:pPr>
        <w:spacing w:line="580" w:lineRule="exact"/>
        <w:ind w:firstLine="643"/>
        <w:rPr>
          <w:rFonts w:eastAsia="方正仿宋_GBK"/>
          <w:color w:val="auto"/>
          <w:sz w:val="32"/>
          <w:szCs w:val="36"/>
        </w:rPr>
      </w:pPr>
      <w:bookmarkStart w:id="609" w:name="_Toc24620"/>
      <w:bookmarkStart w:id="610" w:name="_Toc17636"/>
      <w:bookmarkStart w:id="611" w:name="_Toc16059"/>
      <w:bookmarkStart w:id="612" w:name="_Toc117259260"/>
      <w:bookmarkStart w:id="613" w:name="_Toc9382"/>
      <w:bookmarkStart w:id="614" w:name="_Toc105489764"/>
      <w:r>
        <w:rPr>
          <w:rFonts w:eastAsia="方正仿宋_GBK"/>
          <w:color w:val="auto"/>
          <w:sz w:val="32"/>
          <w:szCs w:val="36"/>
        </w:rPr>
        <w:t>（一）气象条件和耕作、栽培措施相关信息监测方法</w:t>
      </w:r>
      <w:bookmarkEnd w:id="609"/>
      <w:bookmarkEnd w:id="610"/>
      <w:bookmarkEnd w:id="611"/>
      <w:bookmarkEnd w:id="612"/>
      <w:bookmarkEnd w:id="613"/>
      <w:bookmarkEnd w:id="614"/>
    </w:p>
    <w:p>
      <w:pPr>
        <w:spacing w:line="580" w:lineRule="exact"/>
        <w:ind w:firstLine="640" w:firstLineChars="200"/>
        <w:rPr>
          <w:rFonts w:eastAsia="方正仿宋_GBK"/>
          <w:color w:val="auto"/>
          <w:sz w:val="32"/>
          <w:szCs w:val="36"/>
        </w:rPr>
      </w:pPr>
      <w:r>
        <w:rPr>
          <w:rFonts w:eastAsia="方正仿宋_GBK"/>
          <w:color w:val="auto"/>
          <w:sz w:val="32"/>
          <w:szCs w:val="36"/>
        </w:rPr>
        <w:t>1.气象条件</w:t>
      </w:r>
    </w:p>
    <w:p>
      <w:pPr>
        <w:spacing w:line="580" w:lineRule="exact"/>
        <w:ind w:firstLine="640" w:firstLineChars="200"/>
        <w:rPr>
          <w:rFonts w:eastAsia="方正仿宋_GBK"/>
          <w:b/>
          <w:bCs/>
          <w:color w:val="auto"/>
          <w:sz w:val="32"/>
          <w:szCs w:val="36"/>
        </w:rPr>
      </w:pPr>
      <w:r>
        <w:rPr>
          <w:rFonts w:eastAsia="方正仿宋_GBK"/>
          <w:color w:val="auto"/>
          <w:sz w:val="32"/>
          <w:szCs w:val="36"/>
        </w:rPr>
        <w:t>全年平均日照时数、日平均光照度、日平均气温、活动积温、有效积温、年降水量等指标，可利用小型农业气象站直接监测，或通过申请使用中国气象局网络数据库获得，部分指标数据可间接计算获得。</w:t>
      </w:r>
    </w:p>
    <w:p>
      <w:pPr>
        <w:spacing w:line="580" w:lineRule="exact"/>
        <w:ind w:firstLine="640" w:firstLineChars="200"/>
        <w:rPr>
          <w:rFonts w:eastAsia="方正仿宋_GBK"/>
          <w:color w:val="auto"/>
          <w:sz w:val="32"/>
          <w:szCs w:val="36"/>
        </w:rPr>
      </w:pPr>
      <w:r>
        <w:rPr>
          <w:rFonts w:eastAsia="方正仿宋_GBK"/>
          <w:color w:val="auto"/>
          <w:sz w:val="32"/>
          <w:szCs w:val="36"/>
        </w:rPr>
        <w:t>2.耕作、栽培措施</w:t>
      </w:r>
    </w:p>
    <w:p>
      <w:pPr>
        <w:spacing w:line="580" w:lineRule="exact"/>
        <w:ind w:firstLine="640" w:firstLineChars="200"/>
        <w:rPr>
          <w:rFonts w:eastAsia="方正仿宋_GBK"/>
          <w:b/>
          <w:bCs/>
          <w:color w:val="auto"/>
          <w:sz w:val="32"/>
          <w:szCs w:val="36"/>
        </w:rPr>
      </w:pPr>
      <w:r>
        <w:rPr>
          <w:rFonts w:eastAsia="方正仿宋_GBK"/>
          <w:color w:val="auto"/>
          <w:sz w:val="32"/>
          <w:szCs w:val="36"/>
        </w:rPr>
        <w:t>耕作、栽培措施按实际实施情况如实记录监测，具体如下。</w:t>
      </w:r>
    </w:p>
    <w:p>
      <w:pPr>
        <w:spacing w:line="580" w:lineRule="exact"/>
        <w:ind w:firstLine="640" w:firstLineChars="200"/>
        <w:rPr>
          <w:rFonts w:eastAsia="方正仿宋_GBK"/>
          <w:b/>
          <w:bCs/>
          <w:color w:val="auto"/>
          <w:sz w:val="32"/>
          <w:szCs w:val="36"/>
        </w:rPr>
      </w:pPr>
      <w:r>
        <w:rPr>
          <w:rFonts w:eastAsia="方正仿宋_GBK"/>
          <w:color w:val="auto"/>
          <w:sz w:val="32"/>
          <w:szCs w:val="36"/>
        </w:rPr>
        <w:t>整地：日期、方法（耕、翻、旋、耙等，按进行顺序记录）、次数（每种方法进行的次数，按进行顺序记录）、深度（最大整地深度）；</w:t>
      </w:r>
    </w:p>
    <w:p>
      <w:pPr>
        <w:spacing w:line="580" w:lineRule="exact"/>
        <w:ind w:firstLine="640" w:firstLineChars="200"/>
        <w:rPr>
          <w:rFonts w:eastAsia="方正仿宋_GBK"/>
          <w:b/>
          <w:bCs/>
          <w:color w:val="auto"/>
          <w:sz w:val="32"/>
          <w:szCs w:val="36"/>
        </w:rPr>
      </w:pPr>
      <w:r>
        <w:rPr>
          <w:rFonts w:eastAsia="方正仿宋_GBK"/>
          <w:color w:val="auto"/>
          <w:sz w:val="32"/>
          <w:szCs w:val="36"/>
        </w:rPr>
        <w:t>施肥：日期、种类（肥料类型、主要成分、化学养分含量等信息）、用量、方式（沟施、穴施、撒施等）；</w:t>
      </w:r>
    </w:p>
    <w:p>
      <w:pPr>
        <w:spacing w:line="580" w:lineRule="exact"/>
        <w:ind w:firstLine="566" w:firstLineChars="177"/>
        <w:rPr>
          <w:rFonts w:eastAsia="方正仿宋_GBK"/>
          <w:b/>
          <w:bCs/>
          <w:color w:val="auto"/>
          <w:sz w:val="32"/>
          <w:szCs w:val="36"/>
        </w:rPr>
      </w:pPr>
      <w:r>
        <w:rPr>
          <w:rFonts w:eastAsia="方正仿宋_GBK"/>
          <w:color w:val="auto"/>
          <w:sz w:val="32"/>
          <w:szCs w:val="36"/>
        </w:rPr>
        <w:t>灌溉：旱田灌溉模式、稻田平均淹水深度、稻田烤田期时长；</w:t>
      </w:r>
    </w:p>
    <w:p>
      <w:pPr>
        <w:spacing w:line="580" w:lineRule="exact"/>
        <w:ind w:firstLine="566" w:firstLineChars="177"/>
        <w:rPr>
          <w:rFonts w:eastAsia="方正仿宋_GBK"/>
          <w:b/>
          <w:bCs/>
          <w:color w:val="auto"/>
          <w:sz w:val="32"/>
          <w:szCs w:val="36"/>
        </w:rPr>
      </w:pPr>
      <w:r>
        <w:rPr>
          <w:rFonts w:eastAsia="方正仿宋_GBK"/>
          <w:color w:val="auto"/>
          <w:sz w:val="32"/>
          <w:szCs w:val="36"/>
        </w:rPr>
        <w:t>病虫草害防治：使用农药、农膜、除草剂的种类、日期、用量、施用方式等。</w:t>
      </w:r>
    </w:p>
    <w:p>
      <w:pPr>
        <w:spacing w:line="580" w:lineRule="exact"/>
        <w:ind w:firstLine="643"/>
        <w:rPr>
          <w:rFonts w:eastAsia="方正楷体_GBK"/>
          <w:color w:val="auto"/>
          <w:sz w:val="32"/>
          <w:szCs w:val="36"/>
        </w:rPr>
      </w:pPr>
      <w:bookmarkStart w:id="615" w:name="_Toc29504"/>
      <w:bookmarkStart w:id="616" w:name="_Toc117259261"/>
      <w:bookmarkStart w:id="617" w:name="_Toc21549"/>
      <w:bookmarkStart w:id="618" w:name="_Toc31676"/>
      <w:bookmarkStart w:id="619" w:name="_Toc105489765"/>
      <w:bookmarkStart w:id="620" w:name="_Toc32216"/>
      <w:r>
        <w:rPr>
          <w:rFonts w:eastAsia="方正楷体_GBK"/>
          <w:color w:val="auto"/>
          <w:sz w:val="32"/>
          <w:szCs w:val="36"/>
        </w:rPr>
        <w:t>（二）作物田间生产情况</w:t>
      </w:r>
      <w:bookmarkEnd w:id="615"/>
      <w:bookmarkEnd w:id="616"/>
      <w:bookmarkEnd w:id="617"/>
      <w:bookmarkEnd w:id="618"/>
      <w:bookmarkEnd w:id="619"/>
      <w:bookmarkEnd w:id="620"/>
    </w:p>
    <w:p>
      <w:pPr>
        <w:adjustRightInd w:val="0"/>
        <w:snapToGrid w:val="0"/>
        <w:spacing w:line="580" w:lineRule="exact"/>
        <w:ind w:firstLine="643"/>
        <w:rPr>
          <w:rFonts w:eastAsia="方正仿宋_GBK"/>
          <w:color w:val="auto"/>
          <w:sz w:val="32"/>
          <w:szCs w:val="36"/>
        </w:rPr>
      </w:pPr>
      <w:r>
        <w:rPr>
          <w:rFonts w:eastAsia="方正仿宋_GBK"/>
          <w:color w:val="auto"/>
          <w:sz w:val="32"/>
          <w:szCs w:val="36"/>
        </w:rPr>
        <w:t>1.田间病虫草害调查</w:t>
      </w:r>
    </w:p>
    <w:p>
      <w:pPr>
        <w:adjustRightInd w:val="0"/>
        <w:snapToGrid w:val="0"/>
        <w:spacing w:line="580" w:lineRule="exact"/>
        <w:ind w:firstLine="643"/>
        <w:rPr>
          <w:rFonts w:eastAsia="方正仿宋_GBK"/>
          <w:color w:val="auto"/>
          <w:sz w:val="32"/>
          <w:szCs w:val="36"/>
        </w:rPr>
      </w:pPr>
      <w:r>
        <w:rPr>
          <w:rFonts w:eastAsia="方正仿宋_GBK"/>
          <w:color w:val="auto"/>
          <w:sz w:val="32"/>
          <w:szCs w:val="36"/>
        </w:rPr>
        <w:t>（1）病害</w:t>
      </w:r>
    </w:p>
    <w:p>
      <w:pPr>
        <w:adjustRightInd w:val="0"/>
        <w:snapToGrid w:val="0"/>
        <w:spacing w:line="580" w:lineRule="exact"/>
        <w:ind w:firstLine="566" w:firstLineChars="177"/>
        <w:rPr>
          <w:rFonts w:eastAsia="方正仿宋_GBK"/>
          <w:b/>
          <w:bCs/>
          <w:color w:val="auto"/>
          <w:sz w:val="32"/>
          <w:szCs w:val="36"/>
        </w:rPr>
      </w:pPr>
      <w:r>
        <w:rPr>
          <w:rFonts w:eastAsia="方正仿宋_GBK"/>
          <w:color w:val="auto"/>
          <w:sz w:val="32"/>
          <w:szCs w:val="36"/>
        </w:rPr>
        <w:t>根据病害发生规律确定监测调查的时间和次数，一般须在病害盛发期调查1-2次，各区域结合当地作物生产实际确定所需监测的病害类型。如，玉米大斑病、小斑病、茎基腐病、锈病、瘤黑粉秉病，水稻可调查纹枯病、稻瘟病，小麦纹枯病、根腐病、赤霉病、白粉病、茎基腐病、条锈病等。</w:t>
      </w:r>
    </w:p>
    <w:p>
      <w:pPr>
        <w:adjustRightInd w:val="0"/>
        <w:snapToGrid w:val="0"/>
        <w:spacing w:line="580" w:lineRule="exact"/>
        <w:ind w:firstLine="640"/>
        <w:rPr>
          <w:rFonts w:eastAsia="方正仿宋_GBK"/>
          <w:b/>
          <w:bCs/>
          <w:color w:val="auto"/>
          <w:sz w:val="32"/>
          <w:szCs w:val="36"/>
        </w:rPr>
      </w:pPr>
      <w:r>
        <w:rPr>
          <w:rFonts w:eastAsia="方正仿宋_GBK"/>
          <w:color w:val="auto"/>
          <w:sz w:val="32"/>
          <w:szCs w:val="36"/>
        </w:rPr>
        <w:t>病害抽样调查采用随机取样，常用的取样方法有对角线法、五点法、棋盘法、平行线法、分行法和</w:t>
      </w:r>
      <w:r>
        <w:rPr>
          <w:rFonts w:hint="eastAsia" w:eastAsia="方正仿宋_GBK"/>
          <w:color w:val="auto"/>
          <w:sz w:val="32"/>
          <w:szCs w:val="36"/>
        </w:rPr>
        <w:t>“</w:t>
      </w:r>
      <w:r>
        <w:rPr>
          <w:rFonts w:eastAsia="方正仿宋_GBK"/>
          <w:color w:val="auto"/>
          <w:sz w:val="32"/>
          <w:szCs w:val="36"/>
        </w:rPr>
        <w:t>Z</w:t>
      </w:r>
      <w:r>
        <w:rPr>
          <w:rFonts w:hint="eastAsia" w:eastAsia="方正仿宋_GBK"/>
          <w:color w:val="auto"/>
          <w:sz w:val="32"/>
          <w:szCs w:val="36"/>
        </w:rPr>
        <w:t>”</w:t>
      </w:r>
      <w:r>
        <w:rPr>
          <w:rFonts w:eastAsia="方正仿宋_GBK"/>
          <w:color w:val="auto"/>
          <w:sz w:val="32"/>
          <w:szCs w:val="36"/>
        </w:rPr>
        <w:t>字法等，可根据病害类型及其被害作物的分布型（随机型、核心型、嵌纹型）来确定。取样数量要根据病害的发生特点和作物栽培方法来确定。</w:t>
      </w:r>
    </w:p>
    <w:p>
      <w:pPr>
        <w:adjustRightInd w:val="0"/>
        <w:snapToGrid w:val="0"/>
        <w:spacing w:line="580" w:lineRule="exact"/>
        <w:ind w:firstLine="640"/>
        <w:rPr>
          <w:rFonts w:eastAsia="方正仿宋_GBK"/>
          <w:b/>
          <w:bCs/>
          <w:color w:val="auto"/>
          <w:sz w:val="32"/>
          <w:szCs w:val="36"/>
        </w:rPr>
      </w:pPr>
      <w:r>
        <w:rPr>
          <w:rFonts w:eastAsia="方正仿宋_GBK"/>
          <w:color w:val="auto"/>
          <w:sz w:val="32"/>
          <w:szCs w:val="36"/>
        </w:rPr>
        <w:t>记录病害种类，并计算发病率和病情指数。发病率：表示田间发病的多少；病情指数（严重度）：表示田间发病的严重程度，调查时需记录样本病级。上述指标计算公式如下：</w:t>
      </w:r>
    </w:p>
    <w:p>
      <w:pPr>
        <w:adjustRightInd w:val="0"/>
        <w:snapToGrid w:val="0"/>
        <w:rPr>
          <w:rFonts w:eastAsia="方正仿宋_GBK"/>
          <w:color w:val="auto"/>
          <w:sz w:val="32"/>
        </w:rPr>
      </w:pPr>
      <m:oMathPara>
        <m:oMathParaPr>
          <m:jc m:val="center"/>
        </m:oMathParaPr>
        <m:oMath>
          <m:r>
            <m:rPr>
              <m:sty m:val="b"/>
            </m:rPr>
            <w:rPr>
              <w:rFonts w:ascii="Cambria Math" w:hAnsi="Cambria Math" w:eastAsia="方正仿宋_GBK"/>
              <w:color w:val="auto"/>
              <w:sz w:val="32"/>
            </w:rPr>
            <m:t>发病率</m:t>
          </m:r>
          <m:d>
            <m:dPr>
              <m:begChr m:val="（"/>
              <m:endChr m:val="）"/>
              <m:ctrlPr>
                <w:rPr>
                  <w:rFonts w:ascii="Cambria Math" w:hAnsi="Cambria Math" w:eastAsia="方正仿宋_GBK"/>
                  <w:color w:val="auto"/>
                  <w:sz w:val="32"/>
                </w:rPr>
              </m:ctrlPr>
            </m:dPr>
            <m:e>
              <m:r>
                <m:rPr>
                  <m:sty m:val="b"/>
                </m:rPr>
                <w:rPr>
                  <w:rFonts w:ascii="Cambria Math" w:hAnsi="Cambria Math" w:eastAsia="方正仿宋_GBK"/>
                  <w:color w:val="auto"/>
                  <w:sz w:val="32"/>
                </w:rPr>
                <m:t>%</m:t>
              </m:r>
              <m:ctrlPr>
                <w:rPr>
                  <w:rFonts w:ascii="Cambria Math" w:hAnsi="Cambria Math" w:eastAsia="方正仿宋_GBK"/>
                  <w:color w:val="auto"/>
                  <w:sz w:val="32"/>
                </w:rPr>
              </m:ctrlPr>
            </m:e>
          </m:d>
          <m:r>
            <m:rPr>
              <m:sty m:val="b"/>
            </m:rPr>
            <w:rPr>
              <w:rFonts w:ascii="Cambria Math" w:hAnsi="Cambria Math" w:eastAsia="方正仿宋_GBK"/>
              <w:color w:val="auto"/>
              <w:sz w:val="32"/>
            </w:rPr>
            <m:t>=</m:t>
          </m:r>
          <m:f>
            <m:fPr>
              <m:ctrlPr>
                <w:rPr>
                  <w:rFonts w:ascii="Cambria Math" w:hAnsi="Cambria Math" w:eastAsia="方正仿宋_GBK"/>
                  <w:color w:val="auto"/>
                  <w:sz w:val="32"/>
                </w:rPr>
              </m:ctrlPr>
            </m:fPr>
            <m:num>
              <m:r>
                <m:rPr>
                  <m:sty m:val="b"/>
                </m:rPr>
                <w:rPr>
                  <w:rFonts w:ascii="Cambria Math" w:hAnsi="Cambria Math" w:eastAsia="方正仿宋_GBK"/>
                  <w:color w:val="auto"/>
                  <w:sz w:val="32"/>
                </w:rPr>
                <m:t>病苗</m:t>
              </m:r>
              <m:d>
                <m:dPr>
                  <m:begChr m:val="（"/>
                  <m:endChr m:val="）"/>
                  <m:ctrlPr>
                    <w:rPr>
                      <w:rFonts w:ascii="Cambria Math" w:hAnsi="Cambria Math" w:eastAsia="方正仿宋_GBK"/>
                      <w:color w:val="auto"/>
                      <w:sz w:val="32"/>
                    </w:rPr>
                  </m:ctrlPr>
                </m:dPr>
                <m:e>
                  <m:r>
                    <m:rPr>
                      <m:sty m:val="b"/>
                    </m:rPr>
                    <w:rPr>
                      <w:rFonts w:ascii="Cambria Math" w:hAnsi="Cambria Math" w:eastAsia="方正仿宋_GBK"/>
                      <w:color w:val="auto"/>
                      <w:sz w:val="32"/>
                    </w:rPr>
                    <m:t>丛、株、穗、叶</m:t>
                  </m:r>
                  <m:ctrlPr>
                    <w:rPr>
                      <w:rFonts w:ascii="Cambria Math" w:hAnsi="Cambria Math" w:eastAsia="方正仿宋_GBK"/>
                      <w:color w:val="auto"/>
                      <w:sz w:val="32"/>
                    </w:rPr>
                  </m:ctrlPr>
                </m:e>
              </m:d>
              <m:r>
                <m:rPr>
                  <m:sty m:val="b"/>
                </m:rPr>
                <w:rPr>
                  <w:rFonts w:ascii="Cambria Math" w:hAnsi="Cambria Math" w:eastAsia="方正仿宋_GBK"/>
                  <w:color w:val="auto"/>
                  <w:sz w:val="32"/>
                </w:rPr>
                <m:t>数</m:t>
              </m:r>
              <m:ctrlPr>
                <w:rPr>
                  <w:rFonts w:ascii="Cambria Math" w:hAnsi="Cambria Math" w:eastAsia="方正仿宋_GBK"/>
                  <w:color w:val="auto"/>
                  <w:sz w:val="32"/>
                </w:rPr>
              </m:ctrlPr>
            </m:num>
            <m:den>
              <m:r>
                <m:rPr>
                  <m:sty m:val="b"/>
                </m:rPr>
                <w:rPr>
                  <w:rFonts w:ascii="Cambria Math" w:hAnsi="Cambria Math" w:eastAsia="方正仿宋_GBK"/>
                  <w:color w:val="auto"/>
                  <w:sz w:val="32"/>
                </w:rPr>
                <m:t>调查总苗</m:t>
              </m:r>
              <m:d>
                <m:dPr>
                  <m:begChr m:val="（"/>
                  <m:endChr m:val="）"/>
                  <m:ctrlPr>
                    <w:rPr>
                      <w:rFonts w:ascii="Cambria Math" w:hAnsi="Cambria Math" w:eastAsia="方正仿宋_GBK"/>
                      <w:color w:val="auto"/>
                      <w:sz w:val="32"/>
                    </w:rPr>
                  </m:ctrlPr>
                </m:dPr>
                <m:e>
                  <m:r>
                    <m:rPr>
                      <m:sty m:val="b"/>
                    </m:rPr>
                    <w:rPr>
                      <w:rFonts w:ascii="Cambria Math" w:hAnsi="Cambria Math" w:eastAsia="方正仿宋_GBK"/>
                      <w:color w:val="auto"/>
                      <w:sz w:val="32"/>
                    </w:rPr>
                    <m:t>丛、株、穗、叶</m:t>
                  </m:r>
                  <m:ctrlPr>
                    <w:rPr>
                      <w:rFonts w:ascii="Cambria Math" w:hAnsi="Cambria Math" w:eastAsia="方正仿宋_GBK"/>
                      <w:color w:val="auto"/>
                      <w:sz w:val="32"/>
                    </w:rPr>
                  </m:ctrlPr>
                </m:e>
              </m:d>
              <m:r>
                <m:rPr>
                  <m:sty m:val="b"/>
                </m:rPr>
                <w:rPr>
                  <w:rFonts w:ascii="Cambria Math" w:hAnsi="Cambria Math" w:eastAsia="方正仿宋_GBK"/>
                  <w:color w:val="auto"/>
                  <w:sz w:val="32"/>
                </w:rPr>
                <m:t>数</m:t>
              </m:r>
              <m:ctrlPr>
                <w:rPr>
                  <w:rFonts w:ascii="Cambria Math" w:hAnsi="Cambria Math" w:eastAsia="方正仿宋_GBK"/>
                  <w:color w:val="auto"/>
                  <w:sz w:val="32"/>
                </w:rPr>
              </m:ctrlPr>
            </m:den>
          </m:f>
          <m:r>
            <m:rPr>
              <m:sty m:val="bi"/>
            </m:rPr>
            <w:rPr>
              <w:rFonts w:ascii="Cambria Math" w:hAnsi="Cambria Math" w:eastAsia="方正仿宋_GBK"/>
              <w:color w:val="auto"/>
              <w:sz w:val="32"/>
            </w:rPr>
            <m:t>×100</m:t>
          </m:r>
        </m:oMath>
      </m:oMathPara>
    </w:p>
    <w:p>
      <w:pPr>
        <w:adjustRightInd w:val="0"/>
        <w:snapToGrid w:val="0"/>
        <w:rPr>
          <w:rFonts w:eastAsia="方正仿宋_GBK"/>
          <w:b/>
          <w:bCs/>
          <w:color w:val="auto"/>
          <w:sz w:val="32"/>
        </w:rPr>
      </w:pPr>
      <m:oMathPara>
        <m:oMathParaPr>
          <m:jc m:val="center"/>
        </m:oMathParaPr>
        <m:oMath>
          <m:r>
            <m:rPr>
              <m:sty m:val="b"/>
            </m:rPr>
            <w:rPr>
              <w:rFonts w:ascii="Cambria Math" w:hAnsi="Cambria Math" w:eastAsia="方正仿宋_GBK"/>
              <w:color w:val="auto"/>
              <w:sz w:val="32"/>
            </w:rPr>
            <m:t>病情指数=</m:t>
          </m:r>
          <m:f>
            <m:fPr>
              <m:ctrlPr>
                <w:rPr>
                  <w:rFonts w:ascii="Cambria Math" w:hAnsi="Cambria Math" w:eastAsia="方正仿宋_GBK"/>
                  <w:color w:val="auto"/>
                  <w:sz w:val="32"/>
                </w:rPr>
              </m:ctrlPr>
            </m:fPr>
            <m:num>
              <m:d>
                <m:dPr>
                  <m:begChr m:val="（"/>
                  <m:endChr m:val="）"/>
                  <m:ctrlPr>
                    <w:rPr>
                      <w:rFonts w:ascii="Cambria Math" w:hAnsi="Cambria Math" w:eastAsia="方正仿宋_GBK"/>
                      <w:color w:val="auto"/>
                      <w:sz w:val="32"/>
                    </w:rPr>
                  </m:ctrlPr>
                </m:dPr>
                <m:e>
                  <m:r>
                    <m:rPr>
                      <m:sty m:val="b"/>
                    </m:rPr>
                    <w:rPr>
                      <w:rFonts w:ascii="Cambria Math" w:hAnsi="Cambria Math" w:eastAsia="方正仿宋_GBK"/>
                      <w:color w:val="auto"/>
                      <w:sz w:val="32"/>
                    </w:rPr>
                    <m:t>各病级的样本数×相应发病级数</m:t>
                  </m:r>
                  <m:ctrlPr>
                    <w:rPr>
                      <w:rFonts w:ascii="Cambria Math" w:hAnsi="Cambria Math" w:eastAsia="方正仿宋_GBK"/>
                      <w:color w:val="auto"/>
                      <w:sz w:val="32"/>
                    </w:rPr>
                  </m:ctrlPr>
                </m:e>
              </m:d>
              <m:r>
                <m:rPr>
                  <m:sty m:val="b"/>
                </m:rPr>
                <w:rPr>
                  <w:rFonts w:ascii="Cambria Math" w:hAnsi="Cambria Math" w:eastAsia="方正仿宋_GBK"/>
                  <w:color w:val="auto"/>
                  <w:sz w:val="32"/>
                </w:rPr>
                <m:t>的总和</m:t>
              </m:r>
              <m:ctrlPr>
                <w:rPr>
                  <w:rFonts w:ascii="Cambria Math" w:hAnsi="Cambria Math" w:eastAsia="方正仿宋_GBK"/>
                  <w:color w:val="auto"/>
                  <w:sz w:val="32"/>
                </w:rPr>
              </m:ctrlPr>
            </m:num>
            <m:den>
              <m:r>
                <m:rPr>
                  <m:sty m:val="b"/>
                </m:rPr>
                <w:rPr>
                  <w:rFonts w:ascii="Cambria Math" w:hAnsi="Cambria Math" w:eastAsia="方正仿宋_GBK"/>
                  <w:color w:val="auto"/>
                  <w:sz w:val="32"/>
                </w:rPr>
                <m:t>调查样本总数×最高发病级数</m:t>
              </m:r>
              <m:ctrlPr>
                <w:rPr>
                  <w:rFonts w:ascii="Cambria Math" w:hAnsi="Cambria Math" w:eastAsia="方正仿宋_GBK"/>
                  <w:color w:val="auto"/>
                  <w:sz w:val="32"/>
                </w:rPr>
              </m:ctrlPr>
            </m:den>
          </m:f>
          <m:r>
            <m:rPr>
              <m:sty m:val="bi"/>
            </m:rPr>
            <w:rPr>
              <w:rFonts w:ascii="Cambria Math" w:hAnsi="Cambria Math" w:eastAsia="方正仿宋_GBK"/>
              <w:color w:val="auto"/>
              <w:sz w:val="32"/>
            </w:rPr>
            <m:t>×100</m:t>
          </m:r>
        </m:oMath>
      </m:oMathPara>
    </w:p>
    <w:p>
      <w:pPr>
        <w:spacing w:line="580" w:lineRule="exact"/>
        <w:ind w:firstLine="643"/>
        <w:rPr>
          <w:rFonts w:eastAsia="方正仿宋_GBK"/>
          <w:color w:val="auto"/>
          <w:sz w:val="32"/>
          <w:szCs w:val="36"/>
        </w:rPr>
      </w:pPr>
      <w:r>
        <w:rPr>
          <w:rFonts w:eastAsia="方正仿宋_GBK"/>
          <w:color w:val="auto"/>
          <w:sz w:val="32"/>
          <w:szCs w:val="36"/>
        </w:rPr>
        <w:t>（2）虫害</w:t>
      </w:r>
    </w:p>
    <w:p>
      <w:pPr>
        <w:spacing w:line="580" w:lineRule="exact"/>
        <w:ind w:firstLine="643"/>
        <w:rPr>
          <w:rFonts w:eastAsia="方正仿宋_GBK"/>
          <w:bCs/>
          <w:color w:val="auto"/>
          <w:sz w:val="32"/>
          <w:szCs w:val="36"/>
        </w:rPr>
      </w:pPr>
      <w:r>
        <w:rPr>
          <w:rFonts w:eastAsia="方正仿宋_GBK"/>
          <w:color w:val="auto"/>
          <w:sz w:val="32"/>
          <w:szCs w:val="36"/>
        </w:rPr>
        <w:t>虫害调查项目</w:t>
      </w:r>
    </w:p>
    <w:p>
      <w:pPr>
        <w:spacing w:line="580" w:lineRule="exact"/>
        <w:ind w:firstLine="566" w:firstLineChars="177"/>
        <w:rPr>
          <w:rFonts w:eastAsia="方正仿宋_GBK"/>
          <w:b/>
          <w:bCs/>
          <w:color w:val="auto"/>
          <w:sz w:val="32"/>
          <w:szCs w:val="36"/>
        </w:rPr>
      </w:pPr>
      <w:r>
        <w:rPr>
          <w:rFonts w:eastAsia="方正仿宋_GBK"/>
          <w:color w:val="auto"/>
          <w:sz w:val="32"/>
          <w:szCs w:val="36"/>
        </w:rPr>
        <w:t>各区域根据虫害发生规律确定调查的时间和次数，结合当地生产实际确定各类作物所需监测的虫害种类。如，玉米螟虫、黏虫、蚜虫、红蜘蛛和双斑莹叶甲，水稻螟虫，小麦金针虫、蚜虫、吸浆虫，油菜蚜虫，棉花棉蚜、棉铃虫等。</w:t>
      </w:r>
    </w:p>
    <w:p>
      <w:pPr>
        <w:spacing w:line="580" w:lineRule="exact"/>
        <w:ind w:firstLine="640"/>
        <w:rPr>
          <w:rFonts w:eastAsia="方正仿宋_GBK"/>
          <w:b/>
          <w:bCs/>
          <w:color w:val="auto"/>
          <w:sz w:val="32"/>
          <w:szCs w:val="36"/>
        </w:rPr>
      </w:pPr>
      <w:r>
        <w:rPr>
          <w:rFonts w:eastAsia="方正仿宋_GBK"/>
          <w:color w:val="auto"/>
          <w:sz w:val="32"/>
          <w:szCs w:val="36"/>
        </w:rPr>
        <w:t>虫害抽样调查采用随机取样，常用的取样方法有对角线法、五点法、棋盘法、平行线法、分行法和</w:t>
      </w:r>
      <w:r>
        <w:rPr>
          <w:rFonts w:hint="eastAsia" w:eastAsia="方正仿宋_GBK"/>
          <w:color w:val="auto"/>
          <w:sz w:val="32"/>
          <w:szCs w:val="36"/>
        </w:rPr>
        <w:t>“</w:t>
      </w:r>
      <w:r>
        <w:rPr>
          <w:rFonts w:eastAsia="方正仿宋_GBK"/>
          <w:color w:val="auto"/>
          <w:sz w:val="32"/>
          <w:szCs w:val="36"/>
        </w:rPr>
        <w:t>Z</w:t>
      </w:r>
      <w:r>
        <w:rPr>
          <w:rFonts w:hint="eastAsia" w:eastAsia="方正仿宋_GBK"/>
          <w:color w:val="auto"/>
          <w:sz w:val="32"/>
          <w:szCs w:val="36"/>
        </w:rPr>
        <w:t>”</w:t>
      </w:r>
      <w:r>
        <w:rPr>
          <w:rFonts w:eastAsia="方正仿宋_GBK"/>
          <w:color w:val="auto"/>
          <w:sz w:val="32"/>
          <w:szCs w:val="36"/>
        </w:rPr>
        <w:t>字法等，可根据虫害类型及其被害作物的分布型（随机型、核心型、嵌纹型）来确定。取样数量要根据虫害的发生特点和作物栽培方法来确定。</w:t>
      </w:r>
    </w:p>
    <w:p>
      <w:pPr>
        <w:spacing w:line="580" w:lineRule="exact"/>
        <w:ind w:firstLine="640"/>
        <w:rPr>
          <w:rFonts w:eastAsia="方正仿宋_GBK"/>
          <w:b/>
          <w:bCs/>
          <w:color w:val="auto"/>
          <w:sz w:val="32"/>
          <w:szCs w:val="36"/>
        </w:rPr>
      </w:pPr>
      <w:r>
        <w:rPr>
          <w:rFonts w:eastAsia="方正仿宋_GBK"/>
          <w:color w:val="auto"/>
          <w:sz w:val="32"/>
          <w:szCs w:val="36"/>
        </w:rPr>
        <w:t>记录害虫种类，计算虫口密度和为害率。虫口密度：表示单位面积或一定丛（株）内的虫数多少；为害率：表示为害的普遍性，以全株或部分器官计算被害率。上述指标计算公式如下：</w:t>
      </w:r>
    </w:p>
    <w:p>
      <w:pPr>
        <w:ind w:firstLine="649" w:firstLineChars="202"/>
        <w:rPr>
          <w:rFonts w:eastAsia="仿宋"/>
          <w:b/>
          <w:bCs/>
          <w:color w:val="auto"/>
          <w:sz w:val="32"/>
        </w:rPr>
      </w:pPr>
      <m:oMathPara>
        <m:oMathParaPr>
          <m:jc m:val="center"/>
        </m:oMathParaPr>
        <m:oMath>
          <m:r>
            <m:rPr>
              <m:sty m:val="b"/>
            </m:rPr>
            <w:rPr>
              <w:rFonts w:ascii="Cambria Math" w:hAnsi="Cambria Math" w:eastAsia="仿宋"/>
              <w:color w:val="auto"/>
              <w:sz w:val="32"/>
            </w:rPr>
            <m:t>虫口密度=</m:t>
          </m:r>
          <m:f>
            <m:fPr>
              <m:ctrlPr>
                <w:rPr>
                  <w:rFonts w:ascii="Cambria Math" w:hAnsi="Cambria Math" w:eastAsia="仿宋"/>
                  <w:color w:val="auto"/>
                  <w:sz w:val="32"/>
                </w:rPr>
              </m:ctrlPr>
            </m:fPr>
            <m:num>
              <m:r>
                <m:rPr>
                  <m:sty m:val="b"/>
                </m:rPr>
                <w:rPr>
                  <w:rFonts w:ascii="Cambria Math" w:hAnsi="Cambria Math" w:eastAsia="仿宋"/>
                  <w:color w:val="auto"/>
                  <w:sz w:val="32"/>
                </w:rPr>
                <m:t>查得总虫数×每亩丛</m:t>
              </m:r>
              <m:d>
                <m:dPr>
                  <m:begChr m:val="（"/>
                  <m:endChr m:val="）"/>
                  <m:ctrlPr>
                    <w:rPr>
                      <w:rFonts w:ascii="Cambria Math" w:hAnsi="Cambria Math" w:eastAsia="仿宋"/>
                      <w:color w:val="auto"/>
                      <w:sz w:val="32"/>
                    </w:rPr>
                  </m:ctrlPr>
                </m:dPr>
                <m:e>
                  <m:r>
                    <m:rPr>
                      <m:sty m:val="b"/>
                    </m:rPr>
                    <w:rPr>
                      <w:rFonts w:ascii="Cambria Math" w:hAnsi="Cambria Math" w:eastAsia="仿宋"/>
                      <w:color w:val="auto"/>
                      <w:sz w:val="32"/>
                    </w:rPr>
                    <m:t>株</m:t>
                  </m:r>
                  <m:ctrlPr>
                    <w:rPr>
                      <w:rFonts w:ascii="Cambria Math" w:hAnsi="Cambria Math" w:eastAsia="仿宋"/>
                      <w:color w:val="auto"/>
                      <w:sz w:val="32"/>
                    </w:rPr>
                  </m:ctrlPr>
                </m:e>
              </m:d>
              <m:r>
                <m:rPr>
                  <m:sty m:val="b"/>
                </m:rPr>
                <w:rPr>
                  <w:rFonts w:ascii="Cambria Math" w:hAnsi="Cambria Math" w:eastAsia="仿宋"/>
                  <w:color w:val="auto"/>
                  <w:sz w:val="32"/>
                </w:rPr>
                <m:t>数</m:t>
              </m:r>
              <m:ctrlPr>
                <w:rPr>
                  <w:rFonts w:ascii="Cambria Math" w:hAnsi="Cambria Math" w:eastAsia="仿宋"/>
                  <w:color w:val="auto"/>
                  <w:sz w:val="32"/>
                </w:rPr>
              </m:ctrlPr>
            </m:num>
            <m:den>
              <m:r>
                <m:rPr>
                  <m:sty m:val="b"/>
                </m:rPr>
                <w:rPr>
                  <w:rFonts w:ascii="Cambria Math" w:hAnsi="Cambria Math" w:eastAsia="仿宋"/>
                  <w:color w:val="auto"/>
                  <w:sz w:val="32"/>
                </w:rPr>
                <m:t>调查丛</m:t>
              </m:r>
              <m:d>
                <m:dPr>
                  <m:begChr m:val="（"/>
                  <m:endChr m:val="）"/>
                  <m:ctrlPr>
                    <w:rPr>
                      <w:rFonts w:ascii="Cambria Math" w:hAnsi="Cambria Math" w:eastAsia="仿宋"/>
                      <w:color w:val="auto"/>
                      <w:sz w:val="32"/>
                    </w:rPr>
                  </m:ctrlPr>
                </m:dPr>
                <m:e>
                  <m:r>
                    <m:rPr>
                      <m:sty m:val="b"/>
                    </m:rPr>
                    <w:rPr>
                      <w:rFonts w:ascii="Cambria Math" w:hAnsi="Cambria Math" w:eastAsia="仿宋"/>
                      <w:color w:val="auto"/>
                      <w:sz w:val="32"/>
                    </w:rPr>
                    <m:t>株</m:t>
                  </m:r>
                  <m:ctrlPr>
                    <w:rPr>
                      <w:rFonts w:ascii="Cambria Math" w:hAnsi="Cambria Math" w:eastAsia="仿宋"/>
                      <w:color w:val="auto"/>
                      <w:sz w:val="32"/>
                    </w:rPr>
                  </m:ctrlPr>
                </m:e>
              </m:d>
              <m:r>
                <m:rPr>
                  <m:sty m:val="b"/>
                </m:rPr>
                <w:rPr>
                  <w:rFonts w:ascii="Cambria Math" w:hAnsi="Cambria Math" w:eastAsia="仿宋"/>
                  <w:color w:val="auto"/>
                  <w:sz w:val="32"/>
                </w:rPr>
                <m:t>数</m:t>
              </m:r>
              <m:ctrlPr>
                <w:rPr>
                  <w:rFonts w:ascii="Cambria Math" w:hAnsi="Cambria Math" w:eastAsia="仿宋"/>
                  <w:color w:val="auto"/>
                  <w:sz w:val="32"/>
                </w:rPr>
              </m:ctrlPr>
            </m:den>
          </m:f>
        </m:oMath>
      </m:oMathPara>
    </w:p>
    <w:p>
      <w:pPr>
        <w:ind w:firstLine="649" w:firstLineChars="202"/>
        <w:rPr>
          <w:rFonts w:eastAsia="仿宋"/>
          <w:b/>
          <w:bCs/>
          <w:color w:val="auto"/>
          <w:sz w:val="32"/>
        </w:rPr>
      </w:pPr>
      <m:oMathPara>
        <m:oMathParaPr>
          <m:jc m:val="center"/>
        </m:oMathParaPr>
        <m:oMath>
          <m:r>
            <m:rPr>
              <m:sty m:val="b"/>
            </m:rPr>
            <w:rPr>
              <w:rFonts w:ascii="Cambria Math" w:hAnsi="Cambria Math" w:eastAsia="仿宋"/>
              <w:color w:val="auto"/>
              <w:sz w:val="32"/>
            </w:rPr>
            <m:t>为害率</m:t>
          </m:r>
          <m:d>
            <m:dPr>
              <m:begChr m:val="（"/>
              <m:endChr m:val="）"/>
              <m:ctrlPr>
                <w:rPr>
                  <w:rFonts w:ascii="Cambria Math" w:hAnsi="Cambria Math" w:eastAsia="仿宋"/>
                  <w:color w:val="auto"/>
                  <w:sz w:val="32"/>
                </w:rPr>
              </m:ctrlPr>
            </m:dPr>
            <m:e>
              <m:r>
                <m:rPr>
                  <m:sty m:val="b"/>
                </m:rPr>
                <w:rPr>
                  <w:rFonts w:ascii="Cambria Math" w:hAnsi="Cambria Math" w:eastAsia="仿宋"/>
                  <w:color w:val="auto"/>
                  <w:sz w:val="32"/>
                </w:rPr>
                <m:t>%</m:t>
              </m:r>
              <m:ctrlPr>
                <w:rPr>
                  <w:rFonts w:ascii="Cambria Math" w:hAnsi="Cambria Math" w:eastAsia="仿宋"/>
                  <w:color w:val="auto"/>
                  <w:sz w:val="32"/>
                </w:rPr>
              </m:ctrlPr>
            </m:e>
          </m:d>
          <m:r>
            <m:rPr>
              <m:sty m:val="b"/>
            </m:rPr>
            <w:rPr>
              <w:rFonts w:ascii="Cambria Math" w:hAnsi="Cambria Math" w:eastAsia="仿宋"/>
              <w:color w:val="auto"/>
              <w:sz w:val="32"/>
            </w:rPr>
            <m:t>=</m:t>
          </m:r>
          <m:f>
            <m:fPr>
              <m:ctrlPr>
                <w:rPr>
                  <w:rFonts w:ascii="Cambria Math" w:hAnsi="Cambria Math" w:eastAsia="仿宋"/>
                  <w:color w:val="auto"/>
                  <w:sz w:val="32"/>
                </w:rPr>
              </m:ctrlPr>
            </m:fPr>
            <m:num>
              <m:r>
                <m:rPr>
                  <m:sty m:val="b"/>
                </m:rPr>
                <w:rPr>
                  <w:rFonts w:ascii="Cambria Math" w:hAnsi="Cambria Math" w:eastAsia="仿宋"/>
                  <w:color w:val="auto"/>
                  <w:sz w:val="32"/>
                </w:rPr>
                <m:t>被害株数</m:t>
              </m:r>
              <m:ctrlPr>
                <w:rPr>
                  <w:rFonts w:ascii="Cambria Math" w:hAnsi="Cambria Math" w:eastAsia="仿宋"/>
                  <w:color w:val="auto"/>
                  <w:sz w:val="32"/>
                </w:rPr>
              </m:ctrlPr>
            </m:num>
            <m:den>
              <m:r>
                <m:rPr>
                  <m:sty m:val="b"/>
                </m:rPr>
                <w:rPr>
                  <w:rFonts w:ascii="Cambria Math" w:hAnsi="Cambria Math" w:eastAsia="仿宋"/>
                  <w:color w:val="auto"/>
                  <w:sz w:val="32"/>
                </w:rPr>
                <m:t>调查总株数</m:t>
              </m:r>
              <m:ctrlPr>
                <w:rPr>
                  <w:rFonts w:ascii="Cambria Math" w:hAnsi="Cambria Math" w:eastAsia="仿宋"/>
                  <w:color w:val="auto"/>
                  <w:sz w:val="32"/>
                </w:rPr>
              </m:ctrlPr>
            </m:den>
          </m:f>
          <m:r>
            <m:rPr>
              <m:sty m:val="bi"/>
            </m:rPr>
            <w:rPr>
              <w:rFonts w:ascii="Cambria Math" w:hAnsi="Cambria Math" w:eastAsia="仿宋"/>
              <w:color w:val="auto"/>
              <w:sz w:val="32"/>
            </w:rPr>
            <m:t>×100</m:t>
          </m:r>
        </m:oMath>
      </m:oMathPara>
    </w:p>
    <w:p>
      <w:pPr>
        <w:spacing w:line="580" w:lineRule="exact"/>
        <w:ind w:firstLine="643"/>
        <w:rPr>
          <w:rFonts w:eastAsia="方正仿宋_GBK"/>
          <w:color w:val="auto"/>
          <w:sz w:val="32"/>
          <w:szCs w:val="36"/>
        </w:rPr>
      </w:pPr>
      <w:r>
        <w:rPr>
          <w:rFonts w:eastAsia="方正仿宋_GBK"/>
          <w:color w:val="auto"/>
          <w:sz w:val="32"/>
          <w:szCs w:val="36"/>
        </w:rPr>
        <w:t>（3）草害</w:t>
      </w:r>
    </w:p>
    <w:p>
      <w:pPr>
        <w:spacing w:line="580" w:lineRule="exact"/>
        <w:ind w:firstLine="640"/>
        <w:rPr>
          <w:rFonts w:eastAsia="方正仿宋_GBK"/>
          <w:b/>
          <w:bCs/>
          <w:color w:val="auto"/>
          <w:sz w:val="32"/>
          <w:szCs w:val="36"/>
        </w:rPr>
      </w:pPr>
      <w:r>
        <w:rPr>
          <w:rFonts w:eastAsia="方正仿宋_GBK"/>
          <w:color w:val="auto"/>
          <w:sz w:val="32"/>
          <w:szCs w:val="36"/>
        </w:rPr>
        <w:t>沿调查地块对角线方向选出若干样方，每个样方1 m</w:t>
      </w:r>
      <w:r>
        <w:rPr>
          <w:rFonts w:eastAsia="方正仿宋_GBK"/>
          <w:color w:val="auto"/>
          <w:sz w:val="32"/>
          <w:szCs w:val="36"/>
          <w:vertAlign w:val="superscript"/>
        </w:rPr>
        <w:t>2</w:t>
      </w:r>
      <w:r>
        <w:rPr>
          <w:rFonts w:eastAsia="方正仿宋_GBK"/>
          <w:color w:val="auto"/>
          <w:sz w:val="32"/>
          <w:szCs w:val="36"/>
        </w:rPr>
        <w:t>，垄播作物可根据垄宽计算1 m</w:t>
      </w:r>
      <w:r>
        <w:rPr>
          <w:rFonts w:eastAsia="方正仿宋_GBK"/>
          <w:color w:val="auto"/>
          <w:sz w:val="32"/>
          <w:szCs w:val="36"/>
          <w:vertAlign w:val="superscript"/>
        </w:rPr>
        <w:t>2</w:t>
      </w:r>
      <w:r>
        <w:rPr>
          <w:rFonts w:eastAsia="方正仿宋_GBK"/>
          <w:color w:val="auto"/>
          <w:sz w:val="32"/>
          <w:szCs w:val="36"/>
        </w:rPr>
        <w:t>面积应取的垄长，统计每个样方上的以下指标：杂草种类、每种杂草的株数、覆盖度（杂草投影面积占样方面积的百分比）。各地区根据实际情况确定调查次数，可以从主要杂草出现开始，每半个月进行一次，共1-3次。</w:t>
      </w:r>
    </w:p>
    <w:p>
      <w:pPr>
        <w:spacing w:line="580" w:lineRule="exact"/>
        <w:ind w:firstLine="643"/>
        <w:rPr>
          <w:rFonts w:eastAsia="方正楷体_GBK"/>
          <w:color w:val="auto"/>
          <w:sz w:val="32"/>
          <w:szCs w:val="36"/>
        </w:rPr>
      </w:pPr>
      <w:r>
        <w:rPr>
          <w:rFonts w:eastAsia="方正楷体_GBK"/>
          <w:color w:val="auto"/>
          <w:sz w:val="32"/>
          <w:szCs w:val="36"/>
        </w:rPr>
        <w:t>2.作物生产情况调查方法</w:t>
      </w:r>
    </w:p>
    <w:p>
      <w:pPr>
        <w:spacing w:line="580" w:lineRule="exact"/>
        <w:ind w:firstLine="640"/>
        <w:rPr>
          <w:rFonts w:eastAsia="方正仿宋_GBK"/>
          <w:b/>
          <w:bCs/>
          <w:color w:val="auto"/>
          <w:sz w:val="32"/>
          <w:szCs w:val="36"/>
        </w:rPr>
      </w:pPr>
      <w:r>
        <w:rPr>
          <w:rFonts w:eastAsia="方正仿宋_GBK"/>
          <w:color w:val="auto"/>
          <w:sz w:val="32"/>
          <w:szCs w:val="36"/>
        </w:rPr>
        <w:t>包括作物倒伏情况调查，作物种类、品种、种植和收获日期，粮食产量，秸秆腐解率、秸秆碳和氮磷钾含量。</w:t>
      </w:r>
    </w:p>
    <w:p>
      <w:pPr>
        <w:spacing w:line="580" w:lineRule="exact"/>
        <w:ind w:firstLine="643"/>
        <w:rPr>
          <w:rFonts w:eastAsia="方正仿宋_GBK"/>
          <w:color w:val="auto"/>
          <w:sz w:val="32"/>
          <w:szCs w:val="36"/>
        </w:rPr>
      </w:pPr>
      <w:r>
        <w:rPr>
          <w:rFonts w:eastAsia="方正仿宋_GBK"/>
          <w:color w:val="auto"/>
          <w:sz w:val="32"/>
          <w:szCs w:val="36"/>
        </w:rPr>
        <w:t>（1）作物种类、品种、种植和收获日期</w:t>
      </w:r>
    </w:p>
    <w:p>
      <w:pPr>
        <w:spacing w:line="580" w:lineRule="exact"/>
        <w:ind w:firstLine="640"/>
        <w:rPr>
          <w:rFonts w:eastAsia="方正仿宋_GBK"/>
          <w:b/>
          <w:bCs/>
          <w:color w:val="auto"/>
          <w:sz w:val="32"/>
          <w:szCs w:val="36"/>
        </w:rPr>
      </w:pPr>
      <w:r>
        <w:rPr>
          <w:rFonts w:eastAsia="方正仿宋_GBK"/>
          <w:color w:val="auto"/>
          <w:sz w:val="32"/>
          <w:szCs w:val="36"/>
        </w:rPr>
        <w:t>按种植情况如实监测记录。各监测点须按不同作物细化具体生产相关指标，如水稻可记录育苗和移栽日期、每穴苗数等，作为基础参考信息，力求详尽。</w:t>
      </w:r>
    </w:p>
    <w:p>
      <w:pPr>
        <w:spacing w:line="580" w:lineRule="exact"/>
        <w:ind w:firstLine="643"/>
        <w:rPr>
          <w:rFonts w:eastAsia="方正仿宋_GBK"/>
          <w:color w:val="auto"/>
          <w:sz w:val="32"/>
          <w:szCs w:val="36"/>
        </w:rPr>
      </w:pPr>
      <w:r>
        <w:rPr>
          <w:rFonts w:eastAsia="方正仿宋_GBK"/>
          <w:color w:val="auto"/>
          <w:sz w:val="32"/>
          <w:szCs w:val="36"/>
        </w:rPr>
        <w:t>（2）粮食测产方法</w:t>
      </w:r>
    </w:p>
    <w:p>
      <w:pPr>
        <w:adjustRightInd w:val="0"/>
        <w:snapToGrid w:val="0"/>
        <w:spacing w:line="580" w:lineRule="exact"/>
        <w:ind w:firstLine="640"/>
        <w:rPr>
          <w:rFonts w:eastAsia="方正仿宋_GBK"/>
          <w:b/>
          <w:bCs/>
          <w:color w:val="auto"/>
          <w:sz w:val="32"/>
          <w:szCs w:val="36"/>
        </w:rPr>
      </w:pPr>
      <w:r>
        <w:rPr>
          <w:rFonts w:eastAsia="方正仿宋_GBK"/>
          <w:color w:val="auto"/>
          <w:sz w:val="32"/>
          <w:szCs w:val="36"/>
        </w:rPr>
        <w:t>参照《全国粮食高产创建测产验收办法（试行）》（农办发〔2008〕82号），根据监测点地块面积等实际因素，细化测产方案。现以水稻、玉米、小麦测产方法为例。</w:t>
      </w:r>
    </w:p>
    <w:p>
      <w:pPr>
        <w:adjustRightInd w:val="0"/>
        <w:snapToGrid w:val="0"/>
        <w:spacing w:line="580" w:lineRule="exact"/>
        <w:ind w:firstLine="643"/>
        <w:rPr>
          <w:rFonts w:eastAsia="方正仿宋_GBK"/>
          <w:b/>
          <w:bCs/>
          <w:color w:val="auto"/>
          <w:sz w:val="32"/>
          <w:szCs w:val="36"/>
        </w:rPr>
      </w:pPr>
      <w:r>
        <w:rPr>
          <w:rFonts w:eastAsia="方正仿宋_GBK"/>
          <w:color w:val="auto"/>
          <w:sz w:val="32"/>
          <w:szCs w:val="36"/>
        </w:rPr>
        <w:t>水稻实收测产方法：每个处理争取实收1亩以上，或选取适当面积样方，机械或人工收获作业均可，计算总重量（单位：kg，用W表示），对实收面积进行测量（单位：m</w:t>
      </w:r>
      <w:r>
        <w:rPr>
          <w:rFonts w:eastAsia="方正仿宋_GBK"/>
          <w:color w:val="auto"/>
          <w:sz w:val="32"/>
          <w:szCs w:val="36"/>
          <w:vertAlign w:val="superscript"/>
        </w:rPr>
        <w:t>2</w:t>
      </w:r>
      <w:r>
        <w:rPr>
          <w:rFonts w:eastAsia="方正仿宋_GBK"/>
          <w:color w:val="auto"/>
          <w:sz w:val="32"/>
          <w:szCs w:val="36"/>
        </w:rPr>
        <w:t>，用S表示），随机抽取实收数量的1/10左右进行称重、去杂，测定杂质含量（单位：%，用I表示），取去杂后的稻谷1公斤测定水分和空瘪率，烘干到含水量20%以下，剔除空瘪粒，测定空瘪率（单位：%，用E表示），用谷物水分速测仪测定含水率，重复10次取平均值（单位：%，用M表示）。</w:t>
      </w:r>
    </w:p>
    <w:p>
      <w:pPr>
        <w:adjustRightInd w:val="0"/>
        <w:snapToGrid w:val="0"/>
        <w:spacing w:line="580" w:lineRule="exact"/>
        <w:ind w:firstLine="640"/>
        <w:rPr>
          <w:rFonts w:eastAsia="方正仿宋_GBK"/>
          <w:b/>
          <w:bCs/>
          <w:color w:val="auto"/>
          <w:sz w:val="32"/>
          <w:szCs w:val="36"/>
        </w:rPr>
      </w:pPr>
      <w:r>
        <w:rPr>
          <w:rFonts w:eastAsia="方正仿宋_GBK"/>
          <w:color w:val="auto"/>
          <w:sz w:val="32"/>
          <w:szCs w:val="36"/>
        </w:rPr>
        <w:t>计算公式：Y＝(666.7÷S)×W×(1－I)×(1－E)×[(1－M)÷(1－Mo)]，Mo为标准干重含水率：籼稻＝13.5%，粳稻＝14.5%。</w:t>
      </w:r>
    </w:p>
    <w:p>
      <w:pPr>
        <w:adjustRightInd w:val="0"/>
        <w:snapToGrid w:val="0"/>
        <w:spacing w:line="580" w:lineRule="exact"/>
        <w:ind w:firstLine="643"/>
        <w:rPr>
          <w:rFonts w:eastAsia="方正仿宋_GBK"/>
          <w:b/>
          <w:bCs/>
          <w:color w:val="auto"/>
          <w:sz w:val="32"/>
          <w:szCs w:val="36"/>
        </w:rPr>
      </w:pPr>
      <w:r>
        <w:rPr>
          <w:rFonts w:eastAsia="方正仿宋_GBK"/>
          <w:color w:val="auto"/>
          <w:sz w:val="32"/>
          <w:szCs w:val="36"/>
        </w:rPr>
        <w:t>玉米实收测产方法：每个处理地块在远离边际的位置取有代表性的样点6行，面积（S，单位：m</w:t>
      </w:r>
      <w:r>
        <w:rPr>
          <w:rFonts w:eastAsia="方正仿宋_GBK"/>
          <w:color w:val="auto"/>
          <w:sz w:val="32"/>
          <w:szCs w:val="36"/>
          <w:vertAlign w:val="superscript"/>
        </w:rPr>
        <w:t>2</w:t>
      </w:r>
      <w:r>
        <w:rPr>
          <w:rFonts w:eastAsia="方正仿宋_GBK"/>
          <w:color w:val="auto"/>
          <w:sz w:val="32"/>
          <w:szCs w:val="36"/>
        </w:rPr>
        <w:t>）≥67m</w:t>
      </w:r>
      <w:r>
        <w:rPr>
          <w:rFonts w:eastAsia="方正仿宋_GBK"/>
          <w:color w:val="auto"/>
          <w:sz w:val="32"/>
          <w:szCs w:val="36"/>
          <w:vertAlign w:val="superscript"/>
        </w:rPr>
        <w:t>2</w:t>
      </w:r>
      <w:r>
        <w:rPr>
          <w:rFonts w:eastAsia="方正仿宋_GBK"/>
          <w:color w:val="auto"/>
          <w:sz w:val="32"/>
          <w:szCs w:val="36"/>
        </w:rPr>
        <w:t>。每个样点收获全部果穗，计数果穗数目后，称取鲜果穗重Y</w:t>
      </w:r>
      <w:r>
        <w:rPr>
          <w:rFonts w:eastAsia="方正仿宋_GBK"/>
          <w:color w:val="auto"/>
          <w:sz w:val="32"/>
          <w:szCs w:val="36"/>
          <w:vertAlign w:val="subscript"/>
        </w:rPr>
        <w:t>1</w:t>
      </w:r>
      <w:r>
        <w:rPr>
          <w:rFonts w:eastAsia="方正仿宋_GBK"/>
          <w:color w:val="auto"/>
          <w:sz w:val="32"/>
          <w:szCs w:val="36"/>
        </w:rPr>
        <w:t>（kg），按平均穗重法取20个果穗作为标准样本测定鲜穗出籽率和含水率，籽粒含水率M（%）用国家认定并经校正后的种子水分测定仪测定籽粒含水量，每点重复测定10次，求平均值（M）。样品留存，备查或等自然风干后再校正，最后准确丈量收获样点实际面积。</w:t>
      </w:r>
    </w:p>
    <w:p>
      <w:pPr>
        <w:adjustRightInd w:val="0"/>
        <w:snapToGrid w:val="0"/>
        <w:spacing w:line="580" w:lineRule="exact"/>
        <w:ind w:firstLine="640"/>
        <w:rPr>
          <w:rFonts w:eastAsia="方正仿宋_GBK"/>
          <w:b/>
          <w:bCs/>
          <w:color w:val="auto"/>
          <w:sz w:val="32"/>
          <w:szCs w:val="36"/>
        </w:rPr>
      </w:pPr>
      <w:r>
        <w:rPr>
          <w:rFonts w:eastAsia="方正仿宋_GBK"/>
          <w:color w:val="auto"/>
          <w:sz w:val="32"/>
          <w:szCs w:val="36"/>
        </w:rPr>
        <w:t>计算公式：每亩鲜果穗重Y（公斤/亩）=（Y</w:t>
      </w:r>
      <w:r>
        <w:rPr>
          <w:rFonts w:eastAsia="方正仿宋_GBK"/>
          <w:color w:val="auto"/>
          <w:sz w:val="32"/>
          <w:szCs w:val="36"/>
          <w:vertAlign w:val="subscript"/>
        </w:rPr>
        <w:t>1</w:t>
      </w:r>
      <w:r>
        <w:rPr>
          <w:rFonts w:eastAsia="方正仿宋_GBK"/>
          <w:color w:val="auto"/>
          <w:sz w:val="32"/>
          <w:szCs w:val="36"/>
        </w:rPr>
        <w:t>/S）×666.7；出籽率L（%）＝X2（样品鲜籽粒重）／X1（样品鲜果穗重）；实测产量（公斤／亩）＝鲜穗重（公斤／亩）×出籽率（%）×［1－籽粒含水率（%）］÷（1-14%）。</w:t>
      </w:r>
    </w:p>
    <w:p>
      <w:pPr>
        <w:spacing w:line="580" w:lineRule="exact"/>
        <w:ind w:firstLine="643"/>
        <w:rPr>
          <w:rFonts w:eastAsia="方正仿宋_GBK"/>
          <w:b/>
          <w:bCs/>
          <w:color w:val="auto"/>
          <w:sz w:val="32"/>
          <w:szCs w:val="36"/>
        </w:rPr>
      </w:pPr>
      <w:r>
        <w:rPr>
          <w:rFonts w:eastAsia="方正仿宋_GBK"/>
          <w:color w:val="auto"/>
          <w:sz w:val="32"/>
          <w:szCs w:val="36"/>
        </w:rPr>
        <w:t>小麦实收测产方法：每个处理实收1亩以上，机械收获，测定总重量（单位：kg，用W表示），对实收面积进行测量，随机抽取实收数量的1/10左右进行称重、去杂，测定杂质含量（单位：%），用谷物水分速测仪测定含水率，重复10次取平均值（单位：%）。以国标种子含水率13%折算实产。</w:t>
      </w:r>
    </w:p>
    <w:p>
      <w:pPr>
        <w:spacing w:line="580" w:lineRule="exact"/>
        <w:ind w:firstLine="640"/>
        <w:rPr>
          <w:rFonts w:eastAsia="方正仿宋_GBK"/>
          <w:b/>
          <w:bCs/>
          <w:color w:val="auto"/>
          <w:sz w:val="32"/>
          <w:szCs w:val="36"/>
        </w:rPr>
      </w:pPr>
      <w:r>
        <w:rPr>
          <w:rFonts w:eastAsia="方正仿宋_GBK"/>
          <w:color w:val="auto"/>
          <w:sz w:val="32"/>
          <w:szCs w:val="36"/>
        </w:rPr>
        <w:t>计算公式为：实收亩产（公斤）=[W÷收获面积×（1–杂质率）]×（1–籽粒含水率）÷（1–13%）=W÷收获面积×（1–籽粒含水率）÷（1–13%），折算成标准含水率13%。</w:t>
      </w:r>
    </w:p>
    <w:p>
      <w:pPr>
        <w:spacing w:line="580" w:lineRule="exact"/>
        <w:ind w:firstLine="643"/>
        <w:rPr>
          <w:rFonts w:eastAsia="方正楷体_GBK"/>
          <w:color w:val="auto"/>
          <w:sz w:val="32"/>
          <w:szCs w:val="36"/>
        </w:rPr>
      </w:pPr>
      <w:r>
        <w:rPr>
          <w:rFonts w:eastAsia="方正楷体_GBK"/>
          <w:color w:val="auto"/>
          <w:sz w:val="32"/>
          <w:szCs w:val="36"/>
        </w:rPr>
        <w:t>（3）其他相关指标测定方法</w:t>
      </w:r>
    </w:p>
    <w:p>
      <w:pPr>
        <w:spacing w:line="580" w:lineRule="exact"/>
        <w:ind w:firstLine="640"/>
        <w:rPr>
          <w:rFonts w:eastAsia="方正仿宋_GBK"/>
          <w:b/>
          <w:bCs/>
          <w:color w:val="auto"/>
          <w:sz w:val="32"/>
          <w:szCs w:val="36"/>
        </w:rPr>
      </w:pPr>
      <w:r>
        <w:rPr>
          <w:rFonts w:eastAsia="方正仿宋_GBK"/>
          <w:color w:val="auto"/>
          <w:sz w:val="32"/>
          <w:szCs w:val="36"/>
        </w:rPr>
        <w:t>秸秆腐解率测定采取尼龙网袋包埋法，可参照参考《NY/T 2722-2015秸秆腐熟菌剂腐解效果评价技术规程》中失重法的参数，一般以20cm×20cm左右规格、100目尼龙网袋包装秸秆，间隔适当距离埋入一定土壤深度，按需破坏性取样，进而测定秸秆残余量、计算秸秆腐解量和腐解率。各地区按秸秆还田量/土地面积比值确定单位大小尼龙网袋包装秸秆量，按还田方式确定埋入深度，根据监测需要确定预埋网袋的方式、数量和取样时间。如长江中下游区，均连续调查2年4茬，秸秆袋耕层垂直埋设，</w:t>
      </w:r>
      <w:bookmarkStart w:id="621" w:name="_Hlk43393033"/>
      <w:r>
        <w:rPr>
          <w:rFonts w:eastAsia="方正仿宋_GBK"/>
          <w:color w:val="auto"/>
          <w:sz w:val="32"/>
          <w:szCs w:val="36"/>
        </w:rPr>
        <w:t>每茬收获期测定，</w:t>
      </w:r>
      <w:bookmarkEnd w:id="621"/>
      <w:r>
        <w:rPr>
          <w:rFonts w:eastAsia="方正仿宋_GBK"/>
          <w:color w:val="auto"/>
          <w:sz w:val="32"/>
          <w:szCs w:val="36"/>
        </w:rPr>
        <w:t>重复5次，即每个处理预埋20袋。</w:t>
      </w:r>
    </w:p>
    <w:p>
      <w:pPr>
        <w:spacing w:line="580" w:lineRule="exact"/>
        <w:ind w:firstLine="640"/>
        <w:rPr>
          <w:rFonts w:eastAsia="方正仿宋_GBK"/>
          <w:b/>
          <w:bCs/>
          <w:color w:val="auto"/>
          <w:sz w:val="32"/>
          <w:szCs w:val="36"/>
        </w:rPr>
      </w:pPr>
      <w:bookmarkStart w:id="622" w:name="_Hlk100763494"/>
      <w:r>
        <w:rPr>
          <w:rFonts w:eastAsia="方正仿宋_GBK"/>
          <w:color w:val="auto"/>
          <w:sz w:val="32"/>
          <w:szCs w:val="36"/>
        </w:rPr>
        <w:t>秸秆碳、氮、磷、钾参照《土壤农化分析》和《NY/T 2017-2011 植物中氮、磷、钾的测定》，其中秸秆碳含量选择重铬酸钾-硫酸氧化法测定（参照土壤有机碳测定），秸秆氮、磷、钾含量在植株消解后分别采取凯氏定氮法、钒钼黄比色法、火焰光度计法进行测定。</w:t>
      </w:r>
    </w:p>
    <w:bookmarkEnd w:id="622"/>
    <w:p>
      <w:pPr>
        <w:spacing w:line="580" w:lineRule="exact"/>
        <w:ind w:firstLine="643"/>
        <w:rPr>
          <w:rFonts w:eastAsia="方正仿宋_GBK"/>
          <w:color w:val="auto"/>
          <w:sz w:val="32"/>
          <w:szCs w:val="36"/>
        </w:rPr>
      </w:pPr>
      <w:bookmarkStart w:id="623" w:name="_Toc23903"/>
      <w:bookmarkStart w:id="624" w:name="_Toc14596"/>
      <w:bookmarkStart w:id="625" w:name="_Toc7502"/>
      <w:bookmarkStart w:id="626" w:name="_Toc13008"/>
      <w:bookmarkStart w:id="627" w:name="_Toc105489766"/>
      <w:bookmarkStart w:id="628" w:name="_Toc117259262"/>
      <w:r>
        <w:rPr>
          <w:rFonts w:eastAsia="方正仿宋_GBK"/>
          <w:color w:val="auto"/>
          <w:sz w:val="32"/>
          <w:szCs w:val="36"/>
        </w:rPr>
        <w:t>（三）土壤状况</w:t>
      </w:r>
      <w:bookmarkEnd w:id="623"/>
      <w:bookmarkEnd w:id="624"/>
      <w:bookmarkEnd w:id="625"/>
      <w:bookmarkEnd w:id="626"/>
      <w:bookmarkEnd w:id="627"/>
      <w:bookmarkEnd w:id="628"/>
    </w:p>
    <w:p>
      <w:pPr>
        <w:spacing w:line="580" w:lineRule="exact"/>
        <w:ind w:firstLine="643"/>
        <w:rPr>
          <w:rFonts w:eastAsia="方正仿宋_GBK"/>
          <w:b/>
          <w:color w:val="auto"/>
          <w:sz w:val="32"/>
          <w:szCs w:val="36"/>
        </w:rPr>
      </w:pPr>
      <w:r>
        <w:rPr>
          <w:rFonts w:eastAsia="方正仿宋_GBK"/>
          <w:color w:val="auto"/>
          <w:sz w:val="32"/>
          <w:szCs w:val="36"/>
        </w:rPr>
        <w:t>1. 土壤取样时间。当年5月底前取样1次，该次各土壤指标测定结果作为本底值；下一年4月中旬前取样1次，该次各土壤指标测定结果作为监测值。两次土壤取样期间，按方案要求详细记录秸秆还田情况。</w:t>
      </w:r>
    </w:p>
    <w:p>
      <w:pPr>
        <w:spacing w:line="580" w:lineRule="exact"/>
        <w:ind w:firstLine="643"/>
        <w:rPr>
          <w:rFonts w:eastAsia="方正仿宋_GBK"/>
          <w:b/>
          <w:bCs/>
          <w:color w:val="auto"/>
          <w:sz w:val="32"/>
          <w:szCs w:val="36"/>
        </w:rPr>
      </w:pPr>
      <w:r>
        <w:rPr>
          <w:rFonts w:eastAsia="方正仿宋_GBK"/>
          <w:color w:val="auto"/>
          <w:sz w:val="32"/>
          <w:szCs w:val="36"/>
        </w:rPr>
        <w:t>2.土壤取样方法。参考《GB/T 36197-2018/10381-2:2002土壤质量土壤采样技术指南》或《NY/T 1121.1-2006土壤检测第1部分土壤样品的采集、处理和贮存》。严格按标准要求执行，注意土钻、环刀取样的要求深度；同一地块采样点位须分布均匀、数量充足以保证采得土样的代表性；大量土样如需减量备用须严格采取四分法；按照对应的测定指标，严格保证土样的风干条件、研磨过筛细度等要求。</w:t>
      </w:r>
    </w:p>
    <w:p>
      <w:pPr>
        <w:spacing w:line="580" w:lineRule="exact"/>
        <w:ind w:firstLine="643"/>
        <w:rPr>
          <w:rFonts w:eastAsia="方正仿宋_GBK"/>
          <w:b/>
          <w:bCs/>
          <w:color w:val="auto"/>
          <w:sz w:val="32"/>
          <w:szCs w:val="36"/>
        </w:rPr>
      </w:pPr>
      <w:r>
        <w:rPr>
          <w:rFonts w:eastAsia="方正仿宋_GBK"/>
          <w:color w:val="auto"/>
          <w:sz w:val="32"/>
          <w:szCs w:val="36"/>
        </w:rPr>
        <w:t>3.土壤参数指标。pH、有机质、土壤温度（5-7cm）、速效氮磷钾、全量氮、容重、土壤体积含水量、水稳团聚体组成等可参照</w:t>
      </w:r>
      <w:r>
        <w:rPr>
          <w:color w:val="auto"/>
        </w:rPr>
        <w:fldChar w:fldCharType="begin"/>
      </w:r>
      <w:r>
        <w:rPr>
          <w:color w:val="auto"/>
        </w:rPr>
        <w:instrText xml:space="preserve"> HYPERLINK "https://baike.baidu.com/item/%E4%B8%AD%E5%9B%BD%E5%86%9C%E4%B8%9A%E5%87%BA%E7%89%88%E7%A4%BE/906581" \t "https://baike.baidu.com/item/%E5%9C%9F%E5%A3%A4%E5%86%9C%E5%8C%96%E5%88%86%E6%9E%90/_blank" </w:instrText>
      </w:r>
      <w:r>
        <w:rPr>
          <w:color w:val="auto"/>
        </w:rPr>
        <w:fldChar w:fldCharType="separate"/>
      </w:r>
      <w:r>
        <w:rPr>
          <w:rFonts w:eastAsia="方正仿宋_GBK"/>
          <w:color w:val="auto"/>
          <w:sz w:val="32"/>
          <w:szCs w:val="36"/>
        </w:rPr>
        <w:t>中国农业出版社</w:t>
      </w:r>
      <w:r>
        <w:rPr>
          <w:rFonts w:eastAsia="方正仿宋_GBK"/>
          <w:color w:val="auto"/>
          <w:sz w:val="32"/>
          <w:szCs w:val="36"/>
        </w:rPr>
        <w:fldChar w:fldCharType="end"/>
      </w:r>
      <w:r>
        <w:rPr>
          <w:rFonts w:eastAsia="方正仿宋_GBK"/>
          <w:color w:val="auto"/>
          <w:sz w:val="32"/>
          <w:szCs w:val="36"/>
        </w:rPr>
        <w:t>2000年出版鲍士旦主编《土壤农化分析》中的经典方法，或化学工业出版社2012年出版的《土壤监测分析实用手册》汇编的标准方法。</w:t>
      </w:r>
    </w:p>
    <w:p>
      <w:pPr>
        <w:spacing w:line="580" w:lineRule="exact"/>
        <w:ind w:firstLine="640"/>
        <w:rPr>
          <w:rFonts w:eastAsia="方正仿宋_GBK"/>
          <w:b/>
          <w:bCs/>
          <w:color w:val="auto"/>
          <w:sz w:val="32"/>
          <w:szCs w:val="36"/>
        </w:rPr>
      </w:pPr>
      <w:r>
        <w:rPr>
          <w:rFonts w:eastAsia="方正仿宋_GBK"/>
          <w:color w:val="auto"/>
          <w:sz w:val="32"/>
          <w:szCs w:val="36"/>
        </w:rPr>
        <w:t>（1）土壤pH。土钻取0-20cm土壤样品，剔除明显杂物后风干，研磨过2mm筛，按水土比2.5:1称取适量土壤样品并加去离子水，例如5g土壤样品至50ml三角瓶再加12.5ml去离子水，200rpm震荡10min，静止30min后，利用校准后的pH进行测定。</w:t>
      </w:r>
    </w:p>
    <w:p>
      <w:pPr>
        <w:spacing w:line="580" w:lineRule="exact"/>
        <w:ind w:firstLine="640"/>
        <w:rPr>
          <w:rFonts w:eastAsia="方正仿宋_GBK"/>
          <w:b/>
          <w:bCs/>
          <w:color w:val="auto"/>
          <w:sz w:val="32"/>
          <w:szCs w:val="36"/>
        </w:rPr>
      </w:pPr>
      <w:r>
        <w:rPr>
          <w:rFonts w:eastAsia="方正仿宋_GBK"/>
          <w:color w:val="auto"/>
          <w:sz w:val="32"/>
          <w:szCs w:val="36"/>
        </w:rPr>
        <w:t>（2）土壤有机质。土钻取0-20cm土壤样品，剔除明显杂物后风干，研磨过100目筛，可采用TOC法或水合热重铬酸钾氧化-比色法测定有机质含量。</w:t>
      </w:r>
    </w:p>
    <w:p>
      <w:pPr>
        <w:spacing w:line="580" w:lineRule="exact"/>
        <w:ind w:firstLine="640"/>
        <w:rPr>
          <w:rFonts w:eastAsia="方正仿宋_GBK"/>
          <w:b/>
          <w:bCs/>
          <w:color w:val="auto"/>
          <w:sz w:val="32"/>
          <w:szCs w:val="36"/>
        </w:rPr>
      </w:pPr>
      <w:r>
        <w:rPr>
          <w:rFonts w:eastAsia="方正仿宋_GBK"/>
          <w:color w:val="auto"/>
          <w:sz w:val="32"/>
          <w:szCs w:val="36"/>
        </w:rPr>
        <w:t>（3）土壤温度。地温计埋入距地标5-7cm位置，30min后读取结果。</w:t>
      </w:r>
    </w:p>
    <w:p>
      <w:pPr>
        <w:spacing w:line="580" w:lineRule="exact"/>
        <w:ind w:firstLine="640"/>
        <w:rPr>
          <w:rFonts w:eastAsia="方正仿宋_GBK"/>
          <w:b/>
          <w:bCs/>
          <w:color w:val="auto"/>
          <w:sz w:val="32"/>
          <w:szCs w:val="36"/>
        </w:rPr>
      </w:pPr>
      <w:r>
        <w:rPr>
          <w:rFonts w:eastAsia="方正仿宋_GBK"/>
          <w:color w:val="auto"/>
          <w:sz w:val="32"/>
          <w:szCs w:val="36"/>
        </w:rPr>
        <w:t>（4）土壤速效氮磷钾：土钻取0-20cm土壤样品，剔除明显杂物后风干，研磨过100目筛，速效氮参照碱解氮扩散法测定；速效磷参照钼锑抗比色法；速效钾参照火焰光度法。</w:t>
      </w:r>
    </w:p>
    <w:p>
      <w:pPr>
        <w:spacing w:line="580" w:lineRule="exact"/>
        <w:ind w:firstLine="640"/>
        <w:rPr>
          <w:rFonts w:eastAsia="方正仿宋_GBK"/>
          <w:b/>
          <w:bCs/>
          <w:color w:val="auto"/>
          <w:sz w:val="32"/>
          <w:szCs w:val="36"/>
        </w:rPr>
      </w:pPr>
      <w:r>
        <w:rPr>
          <w:rFonts w:eastAsia="方正仿宋_GBK"/>
          <w:color w:val="auto"/>
          <w:sz w:val="32"/>
          <w:szCs w:val="36"/>
        </w:rPr>
        <w:t>（5）土壤全量氮。土钻取0-20cm土壤样品，剔除明显杂物后风干，研磨过100目筛，全量氮测定参照凯氏定氮法。</w:t>
      </w:r>
    </w:p>
    <w:p>
      <w:pPr>
        <w:spacing w:line="580" w:lineRule="exact"/>
        <w:ind w:firstLine="640"/>
        <w:rPr>
          <w:rFonts w:eastAsia="方正仿宋_GBK"/>
          <w:b/>
          <w:bCs/>
          <w:color w:val="auto"/>
          <w:sz w:val="32"/>
          <w:szCs w:val="36"/>
        </w:rPr>
      </w:pPr>
      <w:r>
        <w:rPr>
          <w:rFonts w:eastAsia="方正仿宋_GBK"/>
          <w:color w:val="auto"/>
          <w:sz w:val="32"/>
          <w:szCs w:val="36"/>
        </w:rPr>
        <w:t>（6）土壤容重。采用环刀取表层土壤，烘干后测定得出单位体积土壤重量。</w:t>
      </w:r>
    </w:p>
    <w:p>
      <w:pPr>
        <w:spacing w:line="580" w:lineRule="exact"/>
        <w:ind w:firstLine="640"/>
        <w:rPr>
          <w:rFonts w:eastAsia="方正仿宋_GBK"/>
          <w:b/>
          <w:bCs/>
          <w:color w:val="auto"/>
          <w:sz w:val="32"/>
          <w:szCs w:val="36"/>
        </w:rPr>
      </w:pPr>
      <w:r>
        <w:rPr>
          <w:rFonts w:eastAsia="方正仿宋_GBK"/>
          <w:color w:val="auto"/>
          <w:sz w:val="32"/>
          <w:szCs w:val="36"/>
        </w:rPr>
        <w:t>（7）土壤含水量。采用环刀取表层土壤，烘干水分，烘干前后称重得出水分含量，计算得出单位体积土壤含水量。</w:t>
      </w:r>
    </w:p>
    <w:p>
      <w:pPr>
        <w:spacing w:line="580" w:lineRule="exact"/>
        <w:ind w:firstLine="640" w:firstLineChars="200"/>
        <w:rPr>
          <w:rFonts w:eastAsia="方正仿宋_GBK"/>
          <w:color w:val="auto"/>
          <w:sz w:val="32"/>
          <w:szCs w:val="36"/>
        </w:rPr>
      </w:pPr>
      <w:r>
        <w:rPr>
          <w:rFonts w:eastAsia="方正仿宋_GBK"/>
          <w:color w:val="auto"/>
          <w:sz w:val="32"/>
          <w:szCs w:val="36"/>
        </w:rPr>
        <w:t>（8）水稳团聚体组成。剖面取地表原状土（0-20cm），装入铝盒带回实验室，拣除可见的小石子和作物根系后，风干。在风干的过程中，将土样完全过8mm筛，完全风干后采取湿筛法筛分土壤团聚体，一共筛分为4个部分，分别为粗大团聚体（&gt;2000μm），细大团聚体（250-2000μm），微团聚体（53-250μm），粉粘粒组分（&lt;53μm）。筛分结束后，将各组分放置60℃烘箱烘干至恒重，称重后计算。</w:t>
      </w:r>
    </w:p>
    <w:p>
      <w:pPr>
        <w:rPr>
          <w:rFonts w:eastAsia="方正楷体_GBK"/>
          <w:b/>
          <w:bCs/>
          <w:color w:val="auto"/>
          <w:sz w:val="32"/>
          <w:szCs w:val="32"/>
        </w:rPr>
      </w:pPr>
      <w:r>
        <w:rPr>
          <w:rFonts w:eastAsia="方正楷体_GBK"/>
          <w:b/>
          <w:bCs/>
          <w:color w:val="auto"/>
          <w:sz w:val="32"/>
          <w:szCs w:val="32"/>
        </w:rPr>
        <w:t>八、项目进度</w:t>
      </w:r>
    </w:p>
    <w:p>
      <w:pPr>
        <w:spacing w:line="580" w:lineRule="exact"/>
        <w:ind w:firstLine="640" w:firstLineChars="200"/>
        <w:jc w:val="left"/>
        <w:rPr>
          <w:rFonts w:eastAsia="方正楷体_GBK"/>
          <w:color w:val="auto"/>
          <w:sz w:val="32"/>
          <w:szCs w:val="32"/>
        </w:rPr>
      </w:pPr>
      <w:r>
        <w:rPr>
          <w:rFonts w:eastAsia="方正楷体_GBK"/>
          <w:color w:val="auto"/>
          <w:sz w:val="32"/>
          <w:szCs w:val="32"/>
        </w:rPr>
        <w:t>（1）2023年6月进度</w:t>
      </w:r>
    </w:p>
    <w:p>
      <w:pPr>
        <w:spacing w:line="580" w:lineRule="exact"/>
        <w:ind w:firstLine="640" w:firstLineChars="200"/>
        <w:jc w:val="left"/>
        <w:rPr>
          <w:rFonts w:eastAsia="方正仿宋_GBK"/>
          <w:color w:val="auto"/>
          <w:sz w:val="32"/>
          <w:szCs w:val="32"/>
        </w:rPr>
      </w:pPr>
      <w:r>
        <w:rPr>
          <w:rFonts w:eastAsia="方正仿宋_GBK"/>
          <w:color w:val="auto"/>
          <w:sz w:val="32"/>
          <w:szCs w:val="32"/>
        </w:rPr>
        <w:t>根据要求调查农业基本生产情况：农户情况、地块情况、种植情况、还田情况。</w:t>
      </w:r>
    </w:p>
    <w:p>
      <w:pPr>
        <w:spacing w:line="580" w:lineRule="exact"/>
        <w:ind w:firstLine="640" w:firstLineChars="200"/>
        <w:jc w:val="left"/>
        <w:rPr>
          <w:rFonts w:eastAsia="方正仿宋_GBK"/>
          <w:color w:val="auto"/>
          <w:sz w:val="32"/>
          <w:szCs w:val="32"/>
        </w:rPr>
      </w:pPr>
      <w:r>
        <w:rPr>
          <w:rFonts w:eastAsia="方正仿宋_GBK"/>
          <w:color w:val="auto"/>
          <w:sz w:val="32"/>
          <w:szCs w:val="32"/>
        </w:rPr>
        <w:t>实验地块：</w:t>
      </w:r>
    </w:p>
    <w:p>
      <w:pPr>
        <w:spacing w:line="360" w:lineRule="auto"/>
        <w:ind w:firstLine="640" w:firstLineChars="200"/>
        <w:jc w:val="left"/>
        <w:rPr>
          <w:rFonts w:hint="default" w:eastAsia="方正仿宋_GBK"/>
          <w:color w:val="auto"/>
          <w:sz w:val="32"/>
          <w:szCs w:val="32"/>
          <w:lang w:val="en-US" w:eastAsia="zh-CN"/>
        </w:rPr>
      </w:pPr>
      <w:r>
        <w:rPr>
          <w:rFonts w:hint="eastAsia" w:eastAsia="方正仿宋_GBK"/>
          <w:color w:val="auto"/>
          <w:sz w:val="32"/>
          <w:szCs w:val="32"/>
          <w:lang w:val="en-US" w:eastAsia="zh-CN"/>
        </w:rPr>
        <w:t>高仓街道龙树社区五组（经度102.555044,纬度24.275793）</w:t>
      </w:r>
    </w:p>
    <w:p>
      <w:pPr>
        <w:pStyle w:val="2"/>
        <w:rPr>
          <w:color w:val="auto"/>
        </w:rPr>
      </w:pPr>
      <w:r>
        <w:rPr>
          <w:rFonts w:hint="eastAsia" w:eastAsia="方正仿宋_GBK"/>
          <w:color w:val="auto"/>
          <w:sz w:val="32"/>
          <w:szCs w:val="32"/>
          <w:lang w:eastAsia="zh-CN"/>
        </w:rPr>
        <w:drawing>
          <wp:inline distT="0" distB="0" distL="114300" distR="114300">
            <wp:extent cx="2353310" cy="1765935"/>
            <wp:effectExtent l="0" t="0" r="8890" b="1905"/>
            <wp:docPr id="33" name="图片 33" descr="40e484c66577a8587bcf8e036951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0e484c66577a8587bcf8e036951f5e"/>
                    <pic:cNvPicPr>
                      <a:picLocks noChangeAspect="1"/>
                    </pic:cNvPicPr>
                  </pic:nvPicPr>
                  <pic:blipFill>
                    <a:blip r:embed="rId41"/>
                    <a:stretch>
                      <a:fillRect/>
                    </a:stretch>
                  </pic:blipFill>
                  <pic:spPr>
                    <a:xfrm>
                      <a:off x="0" y="0"/>
                      <a:ext cx="2353310" cy="1765935"/>
                    </a:xfrm>
                    <a:prstGeom prst="rect">
                      <a:avLst/>
                    </a:prstGeom>
                  </pic:spPr>
                </pic:pic>
              </a:graphicData>
            </a:graphic>
          </wp:inline>
        </w:drawing>
      </w:r>
      <w:r>
        <w:rPr>
          <w:rFonts w:hint="eastAsia" w:eastAsia="方正仿宋_GBK"/>
          <w:color w:val="auto"/>
          <w:sz w:val="32"/>
          <w:szCs w:val="32"/>
          <w:lang w:eastAsia="zh-CN"/>
        </w:rPr>
        <w:drawing>
          <wp:inline distT="0" distB="0" distL="114300" distR="114300">
            <wp:extent cx="2360295" cy="1771015"/>
            <wp:effectExtent l="0" t="0" r="1905" b="12065"/>
            <wp:docPr id="39" name="图片 39" descr="146c364f2953f5d24509445dc7e4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46c364f2953f5d24509445dc7e400b"/>
                    <pic:cNvPicPr>
                      <a:picLocks noChangeAspect="1"/>
                    </pic:cNvPicPr>
                  </pic:nvPicPr>
                  <pic:blipFill>
                    <a:blip r:embed="rId42"/>
                    <a:stretch>
                      <a:fillRect/>
                    </a:stretch>
                  </pic:blipFill>
                  <pic:spPr>
                    <a:xfrm>
                      <a:off x="0" y="0"/>
                      <a:ext cx="2360295" cy="1771015"/>
                    </a:xfrm>
                    <a:prstGeom prst="rect">
                      <a:avLst/>
                    </a:prstGeom>
                  </pic:spPr>
                </pic:pic>
              </a:graphicData>
            </a:graphic>
          </wp:inline>
        </w:drawing>
      </w:r>
    </w:p>
    <w:p>
      <w:pPr>
        <w:spacing w:line="580" w:lineRule="exact"/>
        <w:ind w:firstLine="960" w:firstLineChars="300"/>
        <w:rPr>
          <w:rFonts w:eastAsia="方正楷体_GBK"/>
          <w:color w:val="auto"/>
          <w:sz w:val="32"/>
          <w:szCs w:val="36"/>
        </w:rPr>
      </w:pPr>
      <w:r>
        <w:rPr>
          <w:rFonts w:eastAsia="方正楷体_GBK"/>
          <w:color w:val="auto"/>
          <w:sz w:val="32"/>
          <w:szCs w:val="36"/>
        </w:rPr>
        <w:t>（2）后续工作</w:t>
      </w:r>
    </w:p>
    <w:p>
      <w:pPr>
        <w:spacing w:line="580" w:lineRule="exact"/>
        <w:ind w:firstLine="640" w:firstLineChars="200"/>
        <w:rPr>
          <w:rFonts w:eastAsia="方正仿宋_GBK"/>
          <w:color w:val="auto"/>
          <w:sz w:val="32"/>
          <w:szCs w:val="36"/>
        </w:rPr>
      </w:pPr>
      <w:r>
        <w:rPr>
          <w:rFonts w:eastAsia="方正仿宋_GBK"/>
          <w:color w:val="auto"/>
          <w:sz w:val="32"/>
          <w:szCs w:val="36"/>
        </w:rPr>
        <w:t>待农作物成熟后调查直接还田和腐熟还田后田间生产情况：肥药使用情况、病虫草害情况、作物产量情况、茬口情况，以及点位监测相关数据。</w:t>
      </w:r>
    </w:p>
    <w:p>
      <w:pPr>
        <w:rPr>
          <w:rFonts w:eastAsia="方正楷体_GBK"/>
          <w:b/>
          <w:bCs/>
          <w:color w:val="auto"/>
          <w:sz w:val="32"/>
          <w:szCs w:val="32"/>
        </w:rPr>
      </w:pPr>
      <w:r>
        <w:rPr>
          <w:rFonts w:eastAsia="方正楷体_GBK"/>
          <w:b/>
          <w:bCs/>
          <w:color w:val="auto"/>
          <w:sz w:val="32"/>
          <w:szCs w:val="32"/>
        </w:rPr>
        <w:t>九、资金概算</w:t>
      </w:r>
    </w:p>
    <w:p>
      <w:pPr>
        <w:adjustRightInd w:val="0"/>
        <w:snapToGrid w:val="0"/>
        <w:spacing w:after="120" w:afterLines="50" w:line="580" w:lineRule="exact"/>
        <w:ind w:firstLine="640" w:firstLineChars="200"/>
        <w:rPr>
          <w:rFonts w:eastAsia="方正仿宋_GBK"/>
          <w:color w:val="auto"/>
          <w:sz w:val="32"/>
          <w:szCs w:val="32"/>
        </w:rPr>
      </w:pPr>
      <w:r>
        <w:rPr>
          <w:rFonts w:eastAsia="方正仿宋_GBK"/>
          <w:color w:val="auto"/>
          <w:sz w:val="32"/>
          <w:szCs w:val="32"/>
        </w:rPr>
        <w:t>秸秆还田生态效应监测包括对玉米秸秆还田监测。具体费用明细见下表。</w:t>
      </w:r>
    </w:p>
    <w:p>
      <w:pPr>
        <w:jc w:val="center"/>
        <w:rPr>
          <w:rFonts w:eastAsia="方正仿宋_GBK"/>
          <w:color w:val="auto"/>
          <w:sz w:val="24"/>
        </w:rPr>
      </w:pPr>
      <w:r>
        <w:rPr>
          <w:rFonts w:eastAsia="方正黑体_GBK"/>
          <w:color w:val="auto"/>
          <w:sz w:val="24"/>
        </w:rPr>
        <w:t>表1 秸秆还田效应监测经费概算</w:t>
      </w:r>
    </w:p>
    <w:tbl>
      <w:tblPr>
        <w:tblStyle w:val="10"/>
        <w:tblW w:w="7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7560" w:type="dxa"/>
            <w:gridSpan w:val="7"/>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秸秆还田检测测试费用测算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类别</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参数名称</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单价</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样品数</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金额</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每样总计</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类别合计</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土壤</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pH</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535</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有机质</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团聚体组成</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容重</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体积含水量</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地温</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N</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1750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P</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1750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K</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1750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全量</w:t>
            </w:r>
            <w:r>
              <w:rPr>
                <w:rFonts w:hint="default" w:ascii="Times New Roman" w:hAnsi="Times New Roman" w:eastAsia="等线" w:cs="Times New Roman"/>
                <w:i w:val="0"/>
                <w:iCs w:val="0"/>
                <w:color w:val="auto"/>
                <w:kern w:val="0"/>
                <w:sz w:val="22"/>
                <w:szCs w:val="22"/>
                <w:u w:val="none"/>
                <w:lang w:val="en-US" w:eastAsia="zh-CN" w:bidi="ar"/>
              </w:rPr>
              <w:t>N</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作物</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腐解率</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395</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N</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P</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速效</w:t>
            </w:r>
            <w:r>
              <w:rPr>
                <w:rFonts w:hint="default" w:ascii="Times New Roman" w:hAnsi="Times New Roman" w:eastAsia="等线" w:cs="Times New Roman"/>
                <w:i w:val="0"/>
                <w:iCs w:val="0"/>
                <w:color w:val="auto"/>
                <w:kern w:val="0"/>
                <w:sz w:val="22"/>
                <w:szCs w:val="22"/>
                <w:u w:val="none"/>
                <w:lang w:val="en-US" w:eastAsia="zh-CN" w:bidi="ar"/>
              </w:rPr>
              <w:t>K</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全量</w:t>
            </w:r>
            <w:r>
              <w:rPr>
                <w:rFonts w:hint="default" w:ascii="Times New Roman" w:hAnsi="Times New Roman" w:eastAsia="等线" w:cs="Times New Roman"/>
                <w:i w:val="0"/>
                <w:iCs w:val="0"/>
                <w:color w:val="auto"/>
                <w:kern w:val="0"/>
                <w:sz w:val="22"/>
                <w:szCs w:val="22"/>
                <w:u w:val="none"/>
                <w:lang w:val="en-US" w:eastAsia="zh-CN" w:bidi="ar"/>
              </w:rPr>
              <w:t>N</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16000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土壤采样</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表层</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中层</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480</w:t>
            </w: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土壤磨样</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r>
              <w:rPr>
                <w:rFonts w:hint="eastAsia" w:ascii="等线" w:hAnsi="等线" w:eastAsia="等线" w:cs="等线"/>
                <w:i w:val="0"/>
                <w:iCs w:val="0"/>
                <w:color w:val="auto"/>
                <w:kern w:val="0"/>
                <w:sz w:val="22"/>
                <w:szCs w:val="22"/>
                <w:u w:val="none"/>
                <w:lang w:val="en-US" w:eastAsia="zh-CN" w:bidi="ar"/>
              </w:rPr>
              <w:t>目</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1610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1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整地及管理</w:t>
            </w:r>
          </w:p>
        </w:tc>
        <w:tc>
          <w:tcPr>
            <w:tcW w:w="5400" w:type="dxa"/>
            <w:gridSpan w:val="5"/>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整地及租赁费用</w:t>
            </w:r>
            <w:r>
              <w:rPr>
                <w:rFonts w:hint="default" w:ascii="Times New Roman" w:hAnsi="Times New Roman" w:eastAsia="等线" w:cs="Times New Roman"/>
                <w:i w:val="0"/>
                <w:iCs w:val="0"/>
                <w:color w:val="auto"/>
                <w:kern w:val="0"/>
                <w:sz w:val="22"/>
                <w:szCs w:val="22"/>
                <w:u w:val="none"/>
                <w:lang w:val="en-US" w:eastAsia="zh-CN" w:bidi="ar"/>
              </w:rPr>
              <w:t>1000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亩，种植管理费用</w:t>
            </w:r>
            <w:r>
              <w:rPr>
                <w:rFonts w:hint="default" w:ascii="Times New Roman" w:hAnsi="Times New Roman" w:eastAsia="等线" w:cs="Times New Roman"/>
                <w:i w:val="0"/>
                <w:iCs w:val="0"/>
                <w:color w:val="auto"/>
                <w:kern w:val="0"/>
                <w:sz w:val="22"/>
                <w:szCs w:val="22"/>
                <w:u w:val="none"/>
                <w:lang w:val="en-US" w:eastAsia="zh-CN" w:bidi="ar"/>
              </w:rPr>
              <w:t>750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亩，</w:t>
            </w:r>
            <w:r>
              <w:rPr>
                <w:rFonts w:hint="default" w:ascii="Times New Roman" w:hAnsi="Times New Roman" w:eastAsia="等线" w:cs="Times New Roman"/>
                <w:i w:val="0"/>
                <w:iCs w:val="0"/>
                <w:color w:val="auto"/>
                <w:kern w:val="0"/>
                <w:sz w:val="22"/>
                <w:szCs w:val="22"/>
                <w:u w:val="none"/>
                <w:lang w:val="en-US" w:eastAsia="zh-CN" w:bidi="ar"/>
              </w:rPr>
              <w:t>2</w:t>
            </w:r>
            <w:r>
              <w:rPr>
                <w:rFonts w:hint="eastAsia" w:ascii="等线" w:hAnsi="等线" w:eastAsia="等线" w:cs="等线"/>
                <w:i w:val="0"/>
                <w:iCs w:val="0"/>
                <w:color w:val="auto"/>
                <w:kern w:val="0"/>
                <w:sz w:val="22"/>
                <w:szCs w:val="22"/>
                <w:u w:val="none"/>
                <w:lang w:val="en-US" w:eastAsia="zh-CN" w:bidi="ar"/>
              </w:rPr>
              <w:t>亩地共计</w:t>
            </w:r>
            <w:r>
              <w:rPr>
                <w:rFonts w:hint="default" w:ascii="Times New Roman" w:hAnsi="Times New Roman" w:eastAsia="等线" w:cs="Times New Roman"/>
                <w:i w:val="0"/>
                <w:iCs w:val="0"/>
                <w:color w:val="auto"/>
                <w:kern w:val="0"/>
                <w:sz w:val="22"/>
                <w:szCs w:val="22"/>
                <w:u w:val="none"/>
                <w:lang w:val="en-US" w:eastAsia="zh-CN" w:bidi="ar"/>
              </w:rPr>
              <w:t>3500</w:t>
            </w:r>
            <w:r>
              <w:rPr>
                <w:rFonts w:hint="eastAsia" w:ascii="等线" w:hAnsi="等线" w:eastAsia="等线" w:cs="等线"/>
                <w:i w:val="0"/>
                <w:iCs w:val="0"/>
                <w:color w:val="auto"/>
                <w:kern w:val="0"/>
                <w:sz w:val="22"/>
                <w:szCs w:val="22"/>
                <w:u w:val="none"/>
                <w:lang w:val="en-US" w:eastAsia="zh-CN" w:bidi="ar"/>
              </w:rPr>
              <w:t>元</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差旅费</w:t>
            </w:r>
          </w:p>
        </w:tc>
        <w:tc>
          <w:tcPr>
            <w:tcW w:w="5400" w:type="dxa"/>
            <w:gridSpan w:val="5"/>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每次现场</w:t>
            </w:r>
            <w:r>
              <w:rPr>
                <w:rFonts w:hint="default" w:ascii="Times New Roman" w:hAnsi="Times New Roman" w:eastAsia="等线" w:cs="Times New Roman"/>
                <w:i w:val="0"/>
                <w:iCs w:val="0"/>
                <w:color w:val="auto"/>
                <w:kern w:val="0"/>
                <w:sz w:val="22"/>
                <w:szCs w:val="22"/>
                <w:u w:val="none"/>
                <w:lang w:val="en-US" w:eastAsia="zh-CN" w:bidi="ar"/>
              </w:rPr>
              <w:t>2</w:t>
            </w:r>
            <w:r>
              <w:rPr>
                <w:rFonts w:hint="eastAsia" w:ascii="等线" w:hAnsi="等线" w:eastAsia="等线" w:cs="等线"/>
                <w:i w:val="0"/>
                <w:iCs w:val="0"/>
                <w:color w:val="auto"/>
                <w:kern w:val="0"/>
                <w:sz w:val="22"/>
                <w:szCs w:val="22"/>
                <w:u w:val="none"/>
                <w:lang w:val="en-US" w:eastAsia="zh-CN" w:bidi="ar"/>
              </w:rPr>
              <w:t>人</w:t>
            </w:r>
            <w:r>
              <w:rPr>
                <w:rFonts w:hint="default" w:ascii="Times New Roman" w:hAnsi="Times New Roman" w:eastAsia="等线" w:cs="Times New Roman"/>
                <w:i w:val="0"/>
                <w:iCs w:val="0"/>
                <w:color w:val="auto"/>
                <w:kern w:val="0"/>
                <w:sz w:val="22"/>
                <w:szCs w:val="22"/>
                <w:u w:val="none"/>
                <w:lang w:val="en-US" w:eastAsia="zh-CN" w:bidi="ar"/>
              </w:rPr>
              <w:t>*1</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2</w:t>
            </w:r>
            <w:r>
              <w:rPr>
                <w:rFonts w:hint="eastAsia" w:ascii="等线" w:hAnsi="等线" w:eastAsia="等线" w:cs="等线"/>
                <w:i w:val="0"/>
                <w:iCs w:val="0"/>
                <w:color w:val="auto"/>
                <w:kern w:val="0"/>
                <w:sz w:val="22"/>
                <w:szCs w:val="22"/>
                <w:u w:val="none"/>
                <w:lang w:val="en-US" w:eastAsia="zh-CN" w:bidi="ar"/>
              </w:rPr>
              <w:t>次现场，住宿</w:t>
            </w:r>
            <w:r>
              <w:rPr>
                <w:rFonts w:hint="default" w:ascii="Times New Roman" w:hAnsi="Times New Roman" w:eastAsia="等线" w:cs="Times New Roman"/>
                <w:i w:val="0"/>
                <w:iCs w:val="0"/>
                <w:color w:val="auto"/>
                <w:kern w:val="0"/>
                <w:sz w:val="22"/>
                <w:szCs w:val="22"/>
                <w:u w:val="none"/>
                <w:lang w:val="en-US" w:eastAsia="zh-CN" w:bidi="ar"/>
              </w:rPr>
              <w:t>150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人，交通和餐补</w:t>
            </w:r>
            <w:r>
              <w:rPr>
                <w:rFonts w:hint="default" w:ascii="Times New Roman" w:hAnsi="Times New Roman" w:eastAsia="等线" w:cs="Times New Roman"/>
                <w:i w:val="0"/>
                <w:iCs w:val="0"/>
                <w:color w:val="auto"/>
                <w:kern w:val="0"/>
                <w:sz w:val="22"/>
                <w:szCs w:val="22"/>
                <w:u w:val="none"/>
                <w:lang w:val="en-US" w:eastAsia="zh-CN" w:bidi="ar"/>
              </w:rPr>
              <w:t>200</w:t>
            </w:r>
            <w:r>
              <w:rPr>
                <w:rFonts w:hint="eastAsia" w:ascii="等线" w:hAnsi="等线" w:eastAsia="等线" w:cs="等线"/>
                <w:i w:val="0"/>
                <w:iCs w:val="0"/>
                <w:color w:val="auto"/>
                <w:kern w:val="0"/>
                <w:sz w:val="22"/>
                <w:szCs w:val="22"/>
                <w:u w:val="none"/>
                <w:lang w:val="en-US" w:eastAsia="zh-CN" w:bidi="ar"/>
              </w:rPr>
              <w:t>元</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天</w:t>
            </w:r>
            <w:r>
              <w:rPr>
                <w:rFonts w:hint="default" w:ascii="Times New Roman" w:hAnsi="Times New Roman" w:eastAsia="等线" w:cs="Times New Roman"/>
                <w:i w:val="0"/>
                <w:iCs w:val="0"/>
                <w:color w:val="auto"/>
                <w:kern w:val="0"/>
                <w:sz w:val="22"/>
                <w:szCs w:val="22"/>
                <w:u w:val="none"/>
                <w:lang w:val="en-US" w:eastAsia="zh-CN" w:bidi="ar"/>
              </w:rPr>
              <w:t>/</w:t>
            </w:r>
            <w:r>
              <w:rPr>
                <w:rFonts w:hint="eastAsia" w:ascii="等线" w:hAnsi="等线" w:eastAsia="等线" w:cs="等线"/>
                <w:i w:val="0"/>
                <w:iCs w:val="0"/>
                <w:color w:val="auto"/>
                <w:kern w:val="0"/>
                <w:sz w:val="22"/>
                <w:szCs w:val="22"/>
                <w:u w:val="none"/>
                <w:lang w:val="en-US" w:eastAsia="zh-CN" w:bidi="ar"/>
              </w:rPr>
              <w:t>人</w:t>
            </w:r>
          </w:p>
        </w:tc>
        <w:tc>
          <w:tcPr>
            <w:tcW w:w="108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5400" w:type="dxa"/>
            <w:gridSpan w:val="5"/>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auto"/>
                <w:sz w:val="22"/>
                <w:szCs w:val="22"/>
                <w:u w:val="none"/>
              </w:rPr>
            </w:pPr>
          </w:p>
        </w:tc>
        <w:tc>
          <w:tcPr>
            <w:tcW w:w="1080"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6480" w:type="dxa"/>
            <w:gridSpan w:val="6"/>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color w:val="auto"/>
                <w:kern w:val="0"/>
                <w:sz w:val="22"/>
                <w:szCs w:val="22"/>
                <w:u w:val="none"/>
                <w:lang w:val="en-US" w:eastAsia="zh-CN" w:bidi="ar"/>
              </w:rPr>
              <w:t>总计</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100000</w:t>
            </w:r>
          </w:p>
        </w:tc>
      </w:tr>
    </w:tbl>
    <w:p>
      <w:pPr>
        <w:rPr>
          <w:rFonts w:eastAsia="方正仿宋_GBK"/>
          <w:color w:val="auto"/>
          <w:sz w:val="32"/>
          <w:szCs w:val="32"/>
        </w:rPr>
      </w:pPr>
      <w:r>
        <w:rPr>
          <w:rFonts w:eastAsia="方正仿宋_GBK"/>
          <w:color w:val="auto"/>
          <w:sz w:val="32"/>
          <w:szCs w:val="32"/>
        </w:rPr>
        <w:t>附件：</w:t>
      </w:r>
    </w:p>
    <w:p>
      <w:pPr>
        <w:adjustRightInd w:val="0"/>
        <w:snapToGrid w:val="0"/>
        <w:spacing w:after="120" w:afterLines="50"/>
        <w:ind w:firstLine="640" w:firstLineChars="200"/>
        <w:rPr>
          <w:rFonts w:eastAsia="方正仿宋_GBK"/>
          <w:color w:val="auto"/>
          <w:sz w:val="32"/>
          <w:szCs w:val="32"/>
        </w:rPr>
      </w:pPr>
      <w:r>
        <w:rPr>
          <w:rFonts w:eastAsia="方正仿宋_GBK"/>
          <w:color w:val="auto"/>
          <w:sz w:val="32"/>
          <w:szCs w:val="32"/>
        </w:rPr>
        <w:t>4-1.农作物秸秆还田地块情况调查表</w:t>
      </w:r>
    </w:p>
    <w:p>
      <w:pPr>
        <w:adjustRightInd w:val="0"/>
        <w:snapToGrid w:val="0"/>
        <w:spacing w:after="120" w:afterLines="50"/>
        <w:ind w:firstLine="640" w:firstLineChars="200"/>
        <w:rPr>
          <w:rFonts w:eastAsia="方正仿宋_GBK"/>
          <w:color w:val="auto"/>
          <w:sz w:val="32"/>
          <w:szCs w:val="32"/>
        </w:rPr>
      </w:pPr>
      <w:r>
        <w:rPr>
          <w:rFonts w:eastAsia="方正仿宋_GBK"/>
          <w:color w:val="auto"/>
          <w:sz w:val="32"/>
          <w:szCs w:val="32"/>
        </w:rPr>
        <w:t>4-2.农作物秸秆还田地块情况调查汇总表</w:t>
      </w:r>
    </w:p>
    <w:p>
      <w:pPr>
        <w:adjustRightInd w:val="0"/>
        <w:snapToGrid w:val="0"/>
        <w:spacing w:after="120" w:afterLines="50"/>
        <w:ind w:firstLine="640" w:firstLineChars="200"/>
        <w:rPr>
          <w:rFonts w:eastAsia="方正仿宋_GBK"/>
          <w:color w:val="auto"/>
          <w:sz w:val="32"/>
          <w:szCs w:val="32"/>
        </w:rPr>
      </w:pPr>
      <w:r>
        <w:rPr>
          <w:rFonts w:eastAsia="方正仿宋_GBK"/>
          <w:color w:val="auto"/>
          <w:sz w:val="32"/>
          <w:szCs w:val="32"/>
        </w:rPr>
        <w:t>4-3.还田地块调查表</w:t>
      </w:r>
    </w:p>
    <w:p>
      <w:pPr>
        <w:adjustRightInd w:val="0"/>
        <w:snapToGrid w:val="0"/>
        <w:spacing w:after="120" w:afterLines="50"/>
        <w:ind w:firstLine="640" w:firstLineChars="200"/>
        <w:rPr>
          <w:rFonts w:eastAsia="方正仿宋_GBK"/>
          <w:color w:val="auto"/>
          <w:sz w:val="32"/>
          <w:szCs w:val="32"/>
        </w:rPr>
      </w:pPr>
      <w:r>
        <w:rPr>
          <w:rFonts w:eastAsia="方正仿宋_GBK"/>
          <w:color w:val="auto"/>
          <w:sz w:val="32"/>
          <w:szCs w:val="32"/>
        </w:rPr>
        <w:t>4-4.监测指标调查表（调查表1-4）</w:t>
      </w:r>
    </w:p>
    <w:p>
      <w:pPr>
        <w:adjustRightInd w:val="0"/>
        <w:snapToGrid w:val="0"/>
        <w:spacing w:after="120" w:afterLines="50"/>
        <w:ind w:firstLine="640" w:firstLineChars="200"/>
        <w:rPr>
          <w:rFonts w:eastAsia="方正仿宋_GBK"/>
          <w:color w:val="auto"/>
          <w:sz w:val="32"/>
          <w:szCs w:val="32"/>
        </w:rPr>
      </w:pPr>
      <w:r>
        <w:rPr>
          <w:rFonts w:eastAsia="方正仿宋_GBK"/>
          <w:color w:val="auto"/>
          <w:sz w:val="32"/>
          <w:szCs w:val="32"/>
        </w:rPr>
        <w:t>4-5.秸秆还田监测总结报告</w:t>
      </w:r>
    </w:p>
    <w:p>
      <w:pPr>
        <w:spacing w:line="360" w:lineRule="auto"/>
        <w:rPr>
          <w:rFonts w:eastAsia="方正黑体_GBK"/>
          <w:color w:val="auto"/>
          <w:sz w:val="32"/>
          <w:szCs w:val="36"/>
        </w:rPr>
      </w:pPr>
    </w:p>
    <w:p>
      <w:pPr>
        <w:spacing w:line="360" w:lineRule="auto"/>
        <w:rPr>
          <w:color w:val="auto"/>
          <w:szCs w:val="44"/>
        </w:rPr>
      </w:pPr>
      <w:r>
        <w:rPr>
          <w:rFonts w:eastAsia="方正黑体_GBK"/>
          <w:color w:val="auto"/>
          <w:sz w:val="32"/>
          <w:szCs w:val="36"/>
        </w:rPr>
        <w:br w:type="page"/>
      </w:r>
      <w:bookmarkStart w:id="629" w:name="_Toc22388"/>
      <w:bookmarkStart w:id="630" w:name="_Toc117259263"/>
      <w:bookmarkStart w:id="631" w:name="_Toc87"/>
      <w:bookmarkStart w:id="632" w:name="_Toc31394"/>
      <w:bookmarkStart w:id="633" w:name="_Toc11521"/>
      <w:r>
        <w:rPr>
          <w:b/>
          <w:color w:val="auto"/>
          <w:kern w:val="44"/>
          <w:sz w:val="32"/>
          <w:szCs w:val="32"/>
        </w:rPr>
        <w:t>附件</w:t>
      </w:r>
      <w:bookmarkEnd w:id="629"/>
      <w:bookmarkEnd w:id="630"/>
      <w:bookmarkEnd w:id="631"/>
      <w:bookmarkEnd w:id="632"/>
      <w:bookmarkEnd w:id="633"/>
      <w:r>
        <w:rPr>
          <w:b/>
          <w:color w:val="auto"/>
          <w:kern w:val="44"/>
          <w:sz w:val="32"/>
          <w:szCs w:val="32"/>
        </w:rPr>
        <w:t>4-1</w:t>
      </w:r>
    </w:p>
    <w:p>
      <w:pPr>
        <w:jc w:val="center"/>
        <w:rPr>
          <w:b/>
          <w:bCs/>
          <w:color w:val="auto"/>
          <w:sz w:val="28"/>
          <w:szCs w:val="28"/>
        </w:rPr>
      </w:pPr>
      <w:r>
        <w:rPr>
          <w:rFonts w:eastAsia="华文中宋"/>
          <w:color w:val="auto"/>
          <w:sz w:val="36"/>
          <w:szCs w:val="40"/>
        </w:rPr>
        <w:t>农作物秸秆还田地块情况调查表</w:t>
      </w:r>
    </w:p>
    <w:p>
      <w:pPr>
        <w:snapToGrid w:val="0"/>
        <w:rPr>
          <w:b/>
          <w:bCs/>
          <w:color w:val="auto"/>
          <w:sz w:val="24"/>
        </w:rPr>
      </w:pPr>
    </w:p>
    <w:p>
      <w:pPr>
        <w:snapToGrid w:val="0"/>
        <w:rPr>
          <w:b/>
          <w:bCs/>
          <w:color w:val="auto"/>
          <w:sz w:val="24"/>
        </w:rPr>
      </w:pPr>
      <w:r>
        <w:rPr>
          <w:color w:val="auto"/>
          <w:sz w:val="24"/>
        </w:rPr>
        <w:t>调查点地址：</w:t>
      </w:r>
      <w:r>
        <w:rPr>
          <w:color w:val="auto"/>
          <w:sz w:val="24"/>
          <w:u w:val="single"/>
        </w:rPr>
        <w:t xml:space="preserve">          </w:t>
      </w:r>
      <w:r>
        <w:rPr>
          <w:color w:val="auto"/>
          <w:sz w:val="24"/>
        </w:rPr>
        <w:t>省(自治区、直辖市)</w:t>
      </w:r>
      <w:r>
        <w:rPr>
          <w:color w:val="auto"/>
          <w:sz w:val="24"/>
          <w:u w:val="single"/>
        </w:rPr>
        <w:t xml:space="preserve">          </w:t>
      </w:r>
      <w:r>
        <w:rPr>
          <w:color w:val="auto"/>
          <w:sz w:val="24"/>
        </w:rPr>
        <w:t>地(市、州、盟、区)</w:t>
      </w:r>
    </w:p>
    <w:p>
      <w:pPr>
        <w:snapToGrid w:val="0"/>
        <w:ind w:firstLine="1380" w:firstLineChars="575"/>
        <w:rPr>
          <w:b/>
          <w:bCs/>
          <w:color w:val="auto"/>
          <w:sz w:val="24"/>
        </w:rPr>
      </w:pPr>
      <w:r>
        <w:rPr>
          <w:color w:val="auto"/>
          <w:sz w:val="24"/>
          <w:u w:val="single"/>
        </w:rPr>
        <w:t xml:space="preserve">          </w:t>
      </w:r>
      <w:r>
        <w:rPr>
          <w:color w:val="auto"/>
          <w:sz w:val="24"/>
        </w:rPr>
        <w:t>县(区、市、旗)</w:t>
      </w:r>
      <w:r>
        <w:rPr>
          <w:color w:val="auto"/>
          <w:sz w:val="24"/>
          <w:u w:val="single"/>
        </w:rPr>
        <w:t xml:space="preserve">          </w:t>
      </w:r>
      <w:r>
        <w:rPr>
          <w:color w:val="auto"/>
          <w:sz w:val="24"/>
        </w:rPr>
        <w:t>乡(镇)</w:t>
      </w:r>
      <w:r>
        <w:rPr>
          <w:color w:val="auto"/>
          <w:sz w:val="24"/>
          <w:u w:val="single"/>
        </w:rPr>
        <w:t xml:space="preserve">              </w:t>
      </w:r>
      <w:r>
        <w:rPr>
          <w:color w:val="auto"/>
          <w:sz w:val="24"/>
        </w:rPr>
        <w:t>村</w:t>
      </w:r>
    </w:p>
    <w:tbl>
      <w:tblPr>
        <w:tblStyle w:val="10"/>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5"/>
        <w:gridCol w:w="1152"/>
        <w:gridCol w:w="1151"/>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4605" w:type="dxa"/>
            <w:tcBorders>
              <w:lef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指标名称</w:t>
            </w:r>
          </w:p>
        </w:tc>
        <w:tc>
          <w:tcPr>
            <w:tcW w:w="1152" w:type="dxa"/>
            <w:shd w:val="clear" w:color="auto" w:fill="auto"/>
            <w:vAlign w:val="center"/>
          </w:tcPr>
          <w:p>
            <w:pPr>
              <w:widowControl/>
              <w:adjustRightInd w:val="0"/>
              <w:snapToGrid w:val="0"/>
              <w:jc w:val="center"/>
              <w:rPr>
                <w:b/>
                <w:color w:val="auto"/>
                <w:kern w:val="0"/>
                <w:sz w:val="18"/>
                <w:szCs w:val="18"/>
              </w:rPr>
            </w:pPr>
            <w:r>
              <w:rPr>
                <w:color w:val="auto"/>
                <w:kern w:val="0"/>
                <w:sz w:val="18"/>
                <w:szCs w:val="18"/>
              </w:rPr>
              <w:t>计量单位</w:t>
            </w:r>
          </w:p>
        </w:tc>
        <w:tc>
          <w:tcPr>
            <w:tcW w:w="1151" w:type="dxa"/>
            <w:shd w:val="clear" w:color="auto" w:fill="auto"/>
            <w:vAlign w:val="center"/>
          </w:tcPr>
          <w:p>
            <w:pPr>
              <w:widowControl/>
              <w:adjustRightInd w:val="0"/>
              <w:snapToGrid w:val="0"/>
              <w:jc w:val="center"/>
              <w:rPr>
                <w:b/>
                <w:color w:val="auto"/>
                <w:kern w:val="0"/>
                <w:sz w:val="18"/>
                <w:szCs w:val="18"/>
              </w:rPr>
            </w:pPr>
            <w:r>
              <w:rPr>
                <w:color w:val="auto"/>
                <w:kern w:val="0"/>
                <w:sz w:val="18"/>
                <w:szCs w:val="18"/>
              </w:rPr>
              <w:t>代码</w:t>
            </w:r>
          </w:p>
        </w:tc>
        <w:tc>
          <w:tcPr>
            <w:tcW w:w="2729" w:type="dxa"/>
            <w:tcBorders>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本年实际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4605" w:type="dxa"/>
            <w:tcBorders>
              <w:left w:val="nil"/>
              <w:bottom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甲</w:t>
            </w:r>
          </w:p>
        </w:tc>
        <w:tc>
          <w:tcPr>
            <w:tcW w:w="1152" w:type="dxa"/>
            <w:tcBorders>
              <w:bottom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乙</w:t>
            </w:r>
          </w:p>
        </w:tc>
        <w:tc>
          <w:tcPr>
            <w:tcW w:w="1151" w:type="dxa"/>
            <w:tcBorders>
              <w:bottom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丙</w:t>
            </w:r>
          </w:p>
        </w:tc>
        <w:tc>
          <w:tcPr>
            <w:tcW w:w="2729" w:type="dxa"/>
            <w:tcBorders>
              <w:bottom w:val="single" w:color="auto" w:sz="4" w:space="0"/>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left w:val="nil"/>
              <w:bottom w:val="nil"/>
            </w:tcBorders>
            <w:shd w:val="clear" w:color="auto" w:fill="auto"/>
            <w:vAlign w:val="center"/>
          </w:tcPr>
          <w:p>
            <w:pPr>
              <w:widowControl/>
              <w:adjustRightInd w:val="0"/>
              <w:snapToGrid w:val="0"/>
              <w:ind w:firstLine="180" w:firstLineChars="100"/>
              <w:jc w:val="left"/>
              <w:rPr>
                <w:bCs/>
                <w:color w:val="auto"/>
                <w:kern w:val="0"/>
                <w:sz w:val="18"/>
                <w:szCs w:val="18"/>
              </w:rPr>
            </w:pPr>
            <w:r>
              <w:rPr>
                <w:color w:val="auto"/>
                <w:kern w:val="0"/>
                <w:sz w:val="18"/>
                <w:szCs w:val="18"/>
              </w:rPr>
              <w:t>一、农业基本生产情况</w:t>
            </w:r>
          </w:p>
        </w:tc>
        <w:tc>
          <w:tcPr>
            <w:tcW w:w="1152" w:type="dxa"/>
            <w:tcBorders>
              <w:bottom w:val="nil"/>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bottom w:val="nil"/>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2729" w:type="dxa"/>
            <w:tcBorders>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01. 农户姓名</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D01</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02. 联系电话</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D02</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03. 种植户类型（以下三选一）</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D03</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其中：普通农户</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D04</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是</w:t>
            </w:r>
            <w:r>
              <w:rPr>
                <w:color w:val="auto"/>
                <w:kern w:val="0"/>
                <w:sz w:val="28"/>
                <w:szCs w:val="28"/>
              </w:rPr>
              <w:t>□</w:t>
            </w:r>
            <w:r>
              <w:rPr>
                <w:color w:val="auto"/>
                <w:kern w:val="0"/>
                <w:sz w:val="18"/>
                <w:szCs w:val="18"/>
              </w:rPr>
              <w:t xml:space="preserve">   否</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大户</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D05</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是</w:t>
            </w:r>
            <w:r>
              <w:rPr>
                <w:color w:val="auto"/>
                <w:kern w:val="0"/>
                <w:sz w:val="28"/>
                <w:szCs w:val="28"/>
              </w:rPr>
              <w:t>□</w:t>
            </w:r>
            <w:r>
              <w:rPr>
                <w:color w:val="auto"/>
                <w:kern w:val="0"/>
                <w:sz w:val="18"/>
                <w:szCs w:val="18"/>
              </w:rPr>
              <w:t xml:space="preserve">   否</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农民合作社</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D06</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是</w:t>
            </w:r>
            <w:r>
              <w:rPr>
                <w:color w:val="auto"/>
                <w:kern w:val="0"/>
                <w:sz w:val="28"/>
                <w:szCs w:val="28"/>
              </w:rPr>
              <w:t>□</w:t>
            </w:r>
            <w:r>
              <w:rPr>
                <w:color w:val="auto"/>
                <w:kern w:val="0"/>
                <w:sz w:val="18"/>
                <w:szCs w:val="18"/>
              </w:rPr>
              <w:t xml:space="preserve">   否</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04. 地块中心经纬度</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其中：经度</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度分秒</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D07</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0" w:firstLineChars="100"/>
              <w:jc w:val="left"/>
              <w:rPr>
                <w:b/>
                <w:color w:val="auto"/>
                <w:kern w:val="0"/>
                <w:sz w:val="18"/>
                <w:szCs w:val="18"/>
              </w:rPr>
            </w:pPr>
            <w:r>
              <w:rPr>
                <w:color w:val="auto"/>
                <w:szCs w:val="21"/>
                <w:u w:val="single"/>
              </w:rPr>
              <w:t xml:space="preserve">    </w:t>
            </w:r>
            <w:r>
              <w:rPr>
                <w:color w:val="auto"/>
                <w:szCs w:val="21"/>
              </w:rPr>
              <w:t>°</w:t>
            </w:r>
            <w:r>
              <w:rPr>
                <w:color w:val="auto"/>
                <w:szCs w:val="21"/>
                <w:u w:val="single"/>
              </w:rPr>
              <w:t xml:space="preserve">    </w:t>
            </w:r>
            <w:r>
              <w:rPr>
                <w:color w:val="auto"/>
                <w:szCs w:val="21"/>
              </w:rPr>
              <w:t>′</w:t>
            </w:r>
            <w:r>
              <w:rPr>
                <w:color w:val="auto"/>
                <w:szCs w:val="21"/>
                <w:u w:val="single"/>
              </w:rPr>
              <w:t xml:space="preserve">    </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纬度</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度分秒</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D08</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0" w:firstLineChars="100"/>
              <w:jc w:val="left"/>
              <w:rPr>
                <w:b/>
                <w:color w:val="auto"/>
                <w:kern w:val="0"/>
                <w:sz w:val="18"/>
                <w:szCs w:val="18"/>
              </w:rPr>
            </w:pPr>
            <w:r>
              <w:rPr>
                <w:color w:val="auto"/>
                <w:szCs w:val="21"/>
                <w:u w:val="single"/>
              </w:rPr>
              <w:t xml:space="preserve">    </w:t>
            </w:r>
            <w:r>
              <w:rPr>
                <w:color w:val="auto"/>
                <w:szCs w:val="21"/>
              </w:rPr>
              <w:t>°</w:t>
            </w:r>
            <w:r>
              <w:rPr>
                <w:color w:val="auto"/>
                <w:szCs w:val="21"/>
                <w:u w:val="single"/>
              </w:rPr>
              <w:t xml:space="preserve">    </w:t>
            </w:r>
            <w:r>
              <w:rPr>
                <w:color w:val="auto"/>
                <w:szCs w:val="21"/>
              </w:rPr>
              <w:t>′</w:t>
            </w:r>
            <w:r>
              <w:rPr>
                <w:color w:val="auto"/>
                <w:szCs w:val="21"/>
                <w:u w:val="single"/>
              </w:rPr>
              <w:t xml:space="preserve">    </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05. 地块面积（小数点后保留1位）</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亩</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D09</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06. 作物种植</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D10</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其中：作物种类</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D11</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种植方式</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D12</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07. 灌溉方式</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D13</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szCs w:val="21"/>
                <w:u w:val="single"/>
              </w:rPr>
            </w:pPr>
            <w:r>
              <w:rPr>
                <w:color w:val="auto"/>
                <w:kern w:val="0"/>
                <w:sz w:val="18"/>
                <w:szCs w:val="18"/>
              </w:rPr>
              <w:t>旱田</w:t>
            </w:r>
            <w:r>
              <w:rPr>
                <w:color w:val="auto"/>
                <w:kern w:val="0"/>
                <w:sz w:val="28"/>
                <w:szCs w:val="28"/>
              </w:rPr>
              <w:t>□</w:t>
            </w:r>
            <w:r>
              <w:rPr>
                <w:color w:val="auto"/>
                <w:kern w:val="0"/>
                <w:sz w:val="18"/>
                <w:szCs w:val="18"/>
              </w:rPr>
              <w:t xml:space="preserve">   水田</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08. 秸秆还田方式</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D14</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09. 秸秆还田深度</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cm</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D15</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211" w:firstLineChars="100"/>
              <w:jc w:val="left"/>
              <w:rPr>
                <w:b/>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Cs/>
                <w:color w:val="auto"/>
                <w:kern w:val="0"/>
                <w:sz w:val="18"/>
                <w:szCs w:val="18"/>
              </w:rPr>
            </w:pPr>
            <w:r>
              <w:rPr>
                <w:color w:val="auto"/>
                <w:kern w:val="0"/>
                <w:sz w:val="18"/>
                <w:szCs w:val="18"/>
              </w:rPr>
              <w:t>二、还田后田间生产情况</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10. 施肥（较秸秆不还田）</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D15</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其中：幅度（增加或减少需填）</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D16</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11. 施药（较秸秆不还田）</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D17</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其中：幅度（增加或减少需填）</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D18</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single" w:color="auto" w:sz="4" w:space="0"/>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12. 病虫草害情况（较秸秆不还田）</w:t>
            </w:r>
          </w:p>
        </w:tc>
        <w:tc>
          <w:tcPr>
            <w:tcW w:w="115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D20</w:t>
            </w:r>
          </w:p>
        </w:tc>
        <w:tc>
          <w:tcPr>
            <w:tcW w:w="2729" w:type="dxa"/>
            <w:tcBorders>
              <w:top w:val="nil"/>
              <w:left w:val="single" w:color="auto" w:sz="4" w:space="0"/>
              <w:bottom w:val="single" w:color="auto" w:sz="4" w:space="0"/>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single" w:color="auto" w:sz="4" w:space="0"/>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其中：病害</w:t>
            </w:r>
          </w:p>
        </w:tc>
        <w:tc>
          <w:tcPr>
            <w:tcW w:w="1152" w:type="dxa"/>
            <w:tcBorders>
              <w:top w:val="single" w:color="auto" w:sz="4" w:space="0"/>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single" w:color="auto" w:sz="4" w:space="0"/>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D21</w:t>
            </w:r>
          </w:p>
        </w:tc>
        <w:tc>
          <w:tcPr>
            <w:tcW w:w="2729" w:type="dxa"/>
            <w:tcBorders>
              <w:top w:val="single" w:color="auto" w:sz="4" w:space="0"/>
              <w:left w:val="single" w:color="auto" w:sz="4" w:space="0"/>
              <w:bottom w:val="nil"/>
              <w:right w:val="nil"/>
            </w:tcBorders>
            <w:shd w:val="clear" w:color="auto" w:fill="auto"/>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虫害</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D22</w:t>
            </w:r>
          </w:p>
        </w:tc>
        <w:tc>
          <w:tcPr>
            <w:tcW w:w="2729" w:type="dxa"/>
            <w:tcBorders>
              <w:top w:val="nil"/>
              <w:left w:val="single" w:color="auto" w:sz="4" w:space="0"/>
              <w:bottom w:val="nil"/>
              <w:right w:val="nil"/>
            </w:tcBorders>
            <w:shd w:val="clear" w:color="auto" w:fill="auto"/>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720" w:firstLineChars="400"/>
              <w:jc w:val="left"/>
              <w:rPr>
                <w:b/>
                <w:color w:val="auto"/>
                <w:kern w:val="0"/>
                <w:sz w:val="18"/>
                <w:szCs w:val="18"/>
              </w:rPr>
            </w:pPr>
            <w:r>
              <w:rPr>
                <w:color w:val="auto"/>
                <w:kern w:val="0"/>
                <w:sz w:val="18"/>
                <w:szCs w:val="18"/>
              </w:rPr>
              <w:t>草害</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D23</w:t>
            </w:r>
          </w:p>
        </w:tc>
        <w:tc>
          <w:tcPr>
            <w:tcW w:w="2729" w:type="dxa"/>
            <w:tcBorders>
              <w:top w:val="nil"/>
              <w:left w:val="single" w:color="auto" w:sz="4" w:space="0"/>
              <w:bottom w:val="nil"/>
              <w:right w:val="nil"/>
            </w:tcBorders>
            <w:shd w:val="clear" w:color="auto" w:fill="auto"/>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13. 作物产量（较秸秆不还田）</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D24</w:t>
            </w:r>
          </w:p>
        </w:tc>
        <w:tc>
          <w:tcPr>
            <w:tcW w:w="2729" w:type="dxa"/>
            <w:tcBorders>
              <w:top w:val="nil"/>
              <w:left w:val="single" w:color="auto" w:sz="4" w:space="0"/>
              <w:bottom w:val="nil"/>
              <w:right w:val="nil"/>
            </w:tcBorders>
            <w:shd w:val="clear" w:color="auto" w:fill="auto"/>
          </w:tcPr>
          <w:p>
            <w:pPr>
              <w:widowControl/>
              <w:adjustRightInd w:val="0"/>
              <w:snapToGrid w:val="0"/>
              <w:ind w:firstLine="180" w:firstLineChars="100"/>
              <w:jc w:val="left"/>
              <w:rPr>
                <w:b/>
                <w:color w:val="auto"/>
                <w:szCs w:val="21"/>
                <w:u w:val="single"/>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减少</w:t>
            </w:r>
            <w:r>
              <w:rPr>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其中：幅度（增加或减少需填）</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D25</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14. 上茬作物秸秆腐解情况</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szCs w:val="21"/>
                <w:u w:val="single"/>
              </w:rPr>
            </w:pP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其中：幅度</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D26</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nil"/>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15. 对下茬作物播种量影响（较秸秆不还田）</w:t>
            </w:r>
          </w:p>
        </w:tc>
        <w:tc>
          <w:tcPr>
            <w:tcW w:w="1152"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nil"/>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D27</w:t>
            </w:r>
          </w:p>
        </w:tc>
        <w:tc>
          <w:tcPr>
            <w:tcW w:w="2729" w:type="dxa"/>
            <w:tcBorders>
              <w:top w:val="nil"/>
              <w:left w:val="single" w:color="auto" w:sz="4" w:space="0"/>
              <w:bottom w:val="nil"/>
              <w:right w:val="nil"/>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增加</w:t>
            </w:r>
            <w:r>
              <w:rPr>
                <w:color w:val="auto"/>
                <w:kern w:val="0"/>
                <w:sz w:val="28"/>
                <w:szCs w:val="28"/>
              </w:rPr>
              <w:t>□</w:t>
            </w:r>
            <w:r>
              <w:rPr>
                <w:color w:val="auto"/>
                <w:kern w:val="0"/>
                <w:sz w:val="18"/>
                <w:szCs w:val="18"/>
              </w:rPr>
              <w:t xml:space="preserve"> 不变</w:t>
            </w:r>
            <w:r>
              <w:rPr>
                <w:color w:val="auto"/>
                <w:kern w:val="0"/>
                <w:sz w:val="28"/>
                <w:szCs w:val="28"/>
              </w:rPr>
              <w:t>□</w:t>
            </w:r>
            <w:r>
              <w:rPr>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05" w:type="dxa"/>
            <w:tcBorders>
              <w:top w:val="nil"/>
              <w:left w:val="nil"/>
              <w:bottom w:val="single" w:color="auto" w:sz="4" w:space="0"/>
              <w:right w:val="single" w:color="auto" w:sz="4" w:space="0"/>
            </w:tcBorders>
            <w:shd w:val="clear" w:color="auto" w:fill="auto"/>
            <w:vAlign w:val="center"/>
          </w:tcPr>
          <w:p>
            <w:pPr>
              <w:widowControl/>
              <w:adjustRightInd w:val="0"/>
              <w:snapToGrid w:val="0"/>
              <w:ind w:firstLine="180" w:firstLineChars="100"/>
              <w:jc w:val="left"/>
              <w:rPr>
                <w:b/>
                <w:color w:val="auto"/>
                <w:kern w:val="0"/>
                <w:sz w:val="18"/>
                <w:szCs w:val="18"/>
              </w:rPr>
            </w:pPr>
            <w:r>
              <w:rPr>
                <w:color w:val="auto"/>
                <w:kern w:val="0"/>
                <w:sz w:val="18"/>
                <w:szCs w:val="18"/>
              </w:rPr>
              <w:t>其中：幅度（增加需填）</w:t>
            </w:r>
          </w:p>
        </w:tc>
        <w:tc>
          <w:tcPr>
            <w:tcW w:w="115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w:t>
            </w:r>
          </w:p>
        </w:tc>
        <w:tc>
          <w:tcPr>
            <w:tcW w:w="1151"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color w:val="auto"/>
                <w:kern w:val="0"/>
                <w:sz w:val="18"/>
                <w:szCs w:val="18"/>
              </w:rPr>
            </w:pPr>
            <w:r>
              <w:rPr>
                <w:color w:val="auto"/>
                <w:kern w:val="0"/>
                <w:sz w:val="18"/>
                <w:szCs w:val="18"/>
              </w:rPr>
              <w:t>D28</w:t>
            </w:r>
          </w:p>
        </w:tc>
        <w:tc>
          <w:tcPr>
            <w:tcW w:w="2729" w:type="dxa"/>
            <w:tcBorders>
              <w:top w:val="nil"/>
              <w:left w:val="single" w:color="auto" w:sz="4" w:space="0"/>
              <w:bottom w:val="single" w:color="auto" w:sz="4" w:space="0"/>
              <w:right w:val="nil"/>
            </w:tcBorders>
            <w:shd w:val="clear" w:color="auto" w:fill="auto"/>
            <w:vAlign w:val="center"/>
          </w:tcPr>
          <w:p>
            <w:pPr>
              <w:widowControl/>
              <w:adjustRightInd w:val="0"/>
              <w:snapToGrid w:val="0"/>
              <w:ind w:firstLine="181" w:firstLineChars="100"/>
              <w:jc w:val="left"/>
              <w:rPr>
                <w:b/>
                <w:color w:val="auto"/>
                <w:kern w:val="0"/>
                <w:sz w:val="18"/>
                <w:szCs w:val="18"/>
              </w:rPr>
            </w:pPr>
          </w:p>
        </w:tc>
      </w:tr>
    </w:tbl>
    <w:p>
      <w:pPr>
        <w:widowControl/>
        <w:adjustRightInd w:val="0"/>
        <w:snapToGrid w:val="0"/>
        <w:ind w:firstLine="181" w:firstLineChars="100"/>
        <w:jc w:val="left"/>
        <w:rPr>
          <w:b/>
          <w:color w:val="auto"/>
          <w:kern w:val="0"/>
          <w:sz w:val="18"/>
          <w:szCs w:val="18"/>
        </w:rPr>
      </w:pPr>
    </w:p>
    <w:p>
      <w:pPr>
        <w:widowControl/>
        <w:adjustRightInd w:val="0"/>
        <w:snapToGrid w:val="0"/>
        <w:ind w:firstLine="180" w:firstLineChars="100"/>
        <w:jc w:val="left"/>
        <w:rPr>
          <w:b/>
          <w:color w:val="auto"/>
          <w:kern w:val="0"/>
          <w:sz w:val="18"/>
          <w:szCs w:val="18"/>
        </w:rPr>
      </w:pPr>
      <w:r>
        <w:rPr>
          <w:color w:val="auto"/>
          <w:kern w:val="0"/>
          <w:sz w:val="18"/>
          <w:szCs w:val="18"/>
        </w:rPr>
        <w:t xml:space="preserve">填表人姓名                               联系电话                </w:t>
      </w:r>
    </w:p>
    <w:p>
      <w:pPr>
        <w:widowControl/>
        <w:adjustRightInd w:val="0"/>
        <w:snapToGrid w:val="0"/>
        <w:ind w:firstLine="180" w:firstLineChars="100"/>
        <w:jc w:val="left"/>
        <w:rPr>
          <w:b/>
          <w:color w:val="auto"/>
          <w:kern w:val="0"/>
          <w:sz w:val="18"/>
          <w:szCs w:val="18"/>
        </w:rPr>
      </w:pPr>
      <w:r>
        <w:rPr>
          <w:color w:val="auto"/>
          <w:kern w:val="0"/>
          <w:sz w:val="18"/>
          <w:szCs w:val="18"/>
        </w:rPr>
        <w:t>表格调查时间      年      月      日     填报单位(公章)：</w:t>
      </w:r>
    </w:p>
    <w:p>
      <w:pPr>
        <w:spacing w:line="360" w:lineRule="auto"/>
        <w:ind w:firstLine="643"/>
        <w:rPr>
          <w:color w:val="auto"/>
          <w:szCs w:val="21"/>
        </w:rPr>
      </w:pPr>
    </w:p>
    <w:p>
      <w:pPr>
        <w:spacing w:line="360" w:lineRule="auto"/>
        <w:ind w:firstLine="360"/>
        <w:rPr>
          <w:b/>
          <w:color w:val="auto"/>
          <w:kern w:val="0"/>
          <w:sz w:val="18"/>
          <w:szCs w:val="18"/>
        </w:rPr>
      </w:pPr>
      <w:r>
        <w:rPr>
          <w:color w:val="auto"/>
          <w:kern w:val="0"/>
          <w:sz w:val="18"/>
          <w:szCs w:val="18"/>
        </w:rPr>
        <w:t>注：1. D1-D28均需调查填写；</w:t>
      </w:r>
    </w:p>
    <w:p>
      <w:pPr>
        <w:spacing w:line="360" w:lineRule="auto"/>
        <w:ind w:firstLine="360"/>
        <w:rPr>
          <w:b/>
          <w:color w:val="auto"/>
          <w:kern w:val="0"/>
          <w:sz w:val="18"/>
          <w:szCs w:val="18"/>
        </w:rPr>
      </w:pPr>
      <w:r>
        <w:rPr>
          <w:color w:val="auto"/>
          <w:kern w:val="0"/>
          <w:sz w:val="18"/>
          <w:szCs w:val="18"/>
        </w:rPr>
        <w:t>2. 以上调查数据年限范围为2021年夏收至2022年夏收前。</w:t>
      </w:r>
    </w:p>
    <w:p>
      <w:pPr>
        <w:spacing w:line="360" w:lineRule="auto"/>
        <w:ind w:firstLine="360"/>
        <w:rPr>
          <w:b/>
          <w:color w:val="auto"/>
          <w:kern w:val="0"/>
          <w:sz w:val="18"/>
          <w:szCs w:val="18"/>
        </w:rPr>
      </w:pPr>
      <w:r>
        <w:rPr>
          <w:color w:val="auto"/>
          <w:kern w:val="0"/>
          <w:sz w:val="18"/>
          <w:szCs w:val="18"/>
        </w:rPr>
        <w:t>3. 地块面积（指标06）：是指该农户在本区域内，同一种植、还田方式下地块的总面积。其中，作物种类填写当季作物，包括玉米、水稻、小麦、大豆、油菜等主要农作物种类，如黄淮海地区主要为小麦；种植方式包括玉米连作、水稻连作、麦玉轮作、双季稻、稻麦轮作、稻油轮作等。</w:t>
      </w:r>
    </w:p>
    <w:p>
      <w:pPr>
        <w:spacing w:line="360" w:lineRule="auto"/>
        <w:ind w:firstLine="360"/>
        <w:rPr>
          <w:b/>
          <w:color w:val="auto"/>
          <w:kern w:val="0"/>
          <w:sz w:val="18"/>
          <w:szCs w:val="18"/>
        </w:rPr>
      </w:pPr>
      <w:r>
        <w:rPr>
          <w:color w:val="auto"/>
          <w:kern w:val="0"/>
          <w:sz w:val="18"/>
          <w:szCs w:val="18"/>
        </w:rPr>
        <w:t>4. 秸秆还田方式（指标08）：是指该农户在本区域内秸秆还田方式，包括免耕覆盖、旋耕碎混、翻埋还田等。</w:t>
      </w:r>
    </w:p>
    <w:p>
      <w:pPr>
        <w:spacing w:line="360" w:lineRule="auto"/>
        <w:ind w:firstLine="360"/>
        <w:rPr>
          <w:b/>
          <w:color w:val="auto"/>
          <w:kern w:val="0"/>
          <w:sz w:val="18"/>
          <w:szCs w:val="18"/>
        </w:rPr>
      </w:pPr>
      <w:r>
        <w:rPr>
          <w:color w:val="auto"/>
          <w:kern w:val="0"/>
          <w:sz w:val="18"/>
          <w:szCs w:val="18"/>
        </w:rPr>
        <w:t>5. 秸秆还田深度（指标09）：是指该农户秸秆还田过程中，翻耕、旋耕等措施的作业深度。</w:t>
      </w:r>
    </w:p>
    <w:p>
      <w:pPr>
        <w:rPr>
          <w:rFonts w:eastAsia="方正黑体_GBK"/>
          <w:color w:val="auto"/>
          <w:sz w:val="32"/>
          <w:szCs w:val="36"/>
        </w:rPr>
      </w:pPr>
    </w:p>
    <w:p>
      <w:pPr>
        <w:rPr>
          <w:rFonts w:eastAsia="方正黑体_GBK"/>
          <w:color w:val="auto"/>
          <w:sz w:val="32"/>
          <w:szCs w:val="36"/>
        </w:rPr>
      </w:pPr>
    </w:p>
    <w:p>
      <w:pPr>
        <w:widowControl/>
        <w:jc w:val="left"/>
        <w:rPr>
          <w:rFonts w:eastAsia="方正仿宋_GBK"/>
          <w:color w:val="auto"/>
          <w:kern w:val="0"/>
          <w:sz w:val="32"/>
          <w:szCs w:val="32"/>
        </w:rPr>
        <w:sectPr>
          <w:pgSz w:w="11907" w:h="16840"/>
          <w:pgMar w:top="1440" w:right="1800" w:bottom="1440" w:left="1800" w:header="851" w:footer="992" w:gutter="0"/>
          <w:pgBorders>
            <w:top w:val="none" w:sz="0" w:space="0"/>
            <w:left w:val="none" w:sz="0" w:space="0"/>
            <w:bottom w:val="none" w:sz="0" w:space="0"/>
            <w:right w:val="none" w:sz="0" w:space="0"/>
          </w:pgBorders>
          <w:cols w:space="425" w:num="1"/>
          <w:docGrid w:linePitch="312" w:charSpace="0"/>
        </w:sectPr>
      </w:pPr>
      <w:r>
        <w:rPr>
          <w:rFonts w:eastAsia="方正黑体_GBK"/>
          <w:color w:val="auto"/>
          <w:sz w:val="32"/>
          <w:szCs w:val="36"/>
        </w:rPr>
        <w:br w:type="page"/>
      </w:r>
      <w:bookmarkStart w:id="634" w:name="_Toc108040490"/>
      <w:bookmarkStart w:id="635" w:name="_Toc39871131"/>
    </w:p>
    <w:p>
      <w:pPr>
        <w:rPr>
          <w:rFonts w:eastAsia="方正仿宋_GBK"/>
          <w:color w:val="auto"/>
          <w:kern w:val="0"/>
          <w:sz w:val="32"/>
          <w:szCs w:val="32"/>
        </w:rPr>
      </w:pPr>
      <w:bookmarkStart w:id="636" w:name="_Hlk108361059"/>
      <w:bookmarkStart w:id="637" w:name="_Hlk108360991"/>
      <w:r>
        <w:rPr>
          <w:b/>
          <w:color w:val="auto"/>
          <w:kern w:val="44"/>
          <w:sz w:val="32"/>
          <w:szCs w:val="32"/>
        </w:rPr>
        <w:t>附件4-2</w:t>
      </w:r>
      <w:r>
        <w:rPr>
          <w:rFonts w:eastAsia="方正仿宋_GBK"/>
          <w:color w:val="auto"/>
          <w:kern w:val="0"/>
          <w:sz w:val="32"/>
          <w:szCs w:val="32"/>
        </w:rPr>
        <w:t xml:space="preserve"> </w:t>
      </w:r>
      <w:bookmarkEnd w:id="634"/>
    </w:p>
    <w:p>
      <w:pPr>
        <w:jc w:val="center"/>
        <w:rPr>
          <w:rFonts w:eastAsia="方正仿宋_GBK"/>
          <w:color w:val="auto"/>
          <w:kern w:val="0"/>
          <w:sz w:val="32"/>
          <w:szCs w:val="32"/>
        </w:rPr>
      </w:pPr>
    </w:p>
    <w:bookmarkEnd w:id="636"/>
    <w:p>
      <w:pPr>
        <w:jc w:val="center"/>
        <w:rPr>
          <w:rFonts w:eastAsia="华文中宋"/>
          <w:color w:val="auto"/>
          <w:sz w:val="36"/>
          <w:szCs w:val="40"/>
        </w:rPr>
      </w:pPr>
      <w:r>
        <w:rPr>
          <w:rFonts w:eastAsia="华文中宋"/>
          <w:color w:val="auto"/>
          <w:sz w:val="36"/>
          <w:szCs w:val="40"/>
        </w:rPr>
        <w:t>农作物秸秆还田地块情况调查汇总表</w:t>
      </w:r>
    </w:p>
    <w:p>
      <w:pPr>
        <w:rPr>
          <w:color w:val="auto"/>
          <w:u w:val="single"/>
        </w:rPr>
      </w:pPr>
      <w:r>
        <w:rPr>
          <w:color w:val="auto"/>
        </w:rPr>
        <w:t>省份：</w:t>
      </w:r>
      <w:r>
        <w:rPr>
          <w:color w:val="auto"/>
          <w:u w:val="single"/>
        </w:rPr>
        <w:t xml:space="preserve">  云南省  </w:t>
      </w:r>
    </w:p>
    <w:tbl>
      <w:tblPr>
        <w:tblStyle w:val="10"/>
        <w:tblpPr w:leftFromText="180" w:rightFromText="180" w:vertAnchor="page" w:horzAnchor="margin" w:tblpY="3774"/>
        <w:tblW w:w="14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082"/>
        <w:gridCol w:w="868"/>
        <w:gridCol w:w="1379"/>
        <w:gridCol w:w="489"/>
        <w:gridCol w:w="879"/>
        <w:gridCol w:w="743"/>
        <w:gridCol w:w="832"/>
        <w:gridCol w:w="482"/>
        <w:gridCol w:w="873"/>
        <w:gridCol w:w="832"/>
        <w:gridCol w:w="406"/>
        <w:gridCol w:w="785"/>
        <w:gridCol w:w="793"/>
        <w:gridCol w:w="397"/>
        <w:gridCol w:w="455"/>
        <w:gridCol w:w="414"/>
        <w:gridCol w:w="858"/>
        <w:gridCol w:w="86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404" w:type="dxa"/>
            <w:vAlign w:val="center"/>
          </w:tcPr>
          <w:p>
            <w:pPr>
              <w:widowControl/>
              <w:adjustRightInd w:val="0"/>
              <w:snapToGrid w:val="0"/>
              <w:jc w:val="center"/>
              <w:rPr>
                <w:color w:val="auto"/>
                <w:szCs w:val="21"/>
              </w:rPr>
            </w:pPr>
            <w:r>
              <w:rPr>
                <w:color w:val="auto"/>
                <w:szCs w:val="21"/>
              </w:rPr>
              <w:t>序号</w:t>
            </w:r>
          </w:p>
        </w:tc>
        <w:tc>
          <w:tcPr>
            <w:tcW w:w="1082" w:type="dxa"/>
            <w:shd w:val="clear" w:color="auto" w:fill="auto"/>
            <w:vAlign w:val="center"/>
          </w:tcPr>
          <w:p>
            <w:pPr>
              <w:widowControl/>
              <w:adjustRightInd w:val="0"/>
              <w:snapToGrid w:val="0"/>
              <w:jc w:val="center"/>
              <w:rPr>
                <w:color w:val="auto"/>
                <w:szCs w:val="21"/>
              </w:rPr>
            </w:pPr>
            <w:r>
              <w:rPr>
                <w:color w:val="auto"/>
                <w:szCs w:val="21"/>
              </w:rPr>
              <w:t>地址</w:t>
            </w:r>
          </w:p>
        </w:tc>
        <w:tc>
          <w:tcPr>
            <w:tcW w:w="868" w:type="dxa"/>
            <w:vAlign w:val="center"/>
          </w:tcPr>
          <w:p>
            <w:pPr>
              <w:widowControl/>
              <w:adjustRightInd w:val="0"/>
              <w:snapToGrid w:val="0"/>
              <w:jc w:val="center"/>
              <w:rPr>
                <w:color w:val="auto"/>
                <w:szCs w:val="21"/>
              </w:rPr>
            </w:pPr>
            <w:r>
              <w:rPr>
                <w:color w:val="auto"/>
                <w:szCs w:val="21"/>
              </w:rPr>
              <w:t>农户</w:t>
            </w:r>
          </w:p>
          <w:p>
            <w:pPr>
              <w:widowControl/>
              <w:adjustRightInd w:val="0"/>
              <w:snapToGrid w:val="0"/>
              <w:jc w:val="center"/>
              <w:rPr>
                <w:color w:val="auto"/>
                <w:szCs w:val="21"/>
              </w:rPr>
            </w:pPr>
            <w:r>
              <w:rPr>
                <w:color w:val="auto"/>
                <w:szCs w:val="21"/>
              </w:rPr>
              <w:t>姓名</w:t>
            </w:r>
          </w:p>
        </w:tc>
        <w:tc>
          <w:tcPr>
            <w:tcW w:w="1379" w:type="dxa"/>
            <w:shd w:val="clear" w:color="auto" w:fill="auto"/>
            <w:vAlign w:val="center"/>
          </w:tcPr>
          <w:p>
            <w:pPr>
              <w:widowControl/>
              <w:adjustRightInd w:val="0"/>
              <w:snapToGrid w:val="0"/>
              <w:jc w:val="center"/>
              <w:rPr>
                <w:color w:val="auto"/>
                <w:szCs w:val="21"/>
              </w:rPr>
            </w:pPr>
            <w:r>
              <w:rPr>
                <w:color w:val="auto"/>
                <w:szCs w:val="21"/>
              </w:rPr>
              <w:t>联系</w:t>
            </w:r>
          </w:p>
          <w:p>
            <w:pPr>
              <w:widowControl/>
              <w:adjustRightInd w:val="0"/>
              <w:snapToGrid w:val="0"/>
              <w:jc w:val="center"/>
              <w:rPr>
                <w:color w:val="auto"/>
                <w:szCs w:val="21"/>
              </w:rPr>
            </w:pPr>
            <w:r>
              <w:rPr>
                <w:color w:val="auto"/>
                <w:szCs w:val="21"/>
              </w:rPr>
              <w:t>电话</w:t>
            </w:r>
          </w:p>
        </w:tc>
        <w:tc>
          <w:tcPr>
            <w:tcW w:w="489" w:type="dxa"/>
            <w:shd w:val="clear" w:color="auto" w:fill="auto"/>
            <w:vAlign w:val="center"/>
          </w:tcPr>
          <w:p>
            <w:pPr>
              <w:widowControl/>
              <w:adjustRightInd w:val="0"/>
              <w:snapToGrid w:val="0"/>
              <w:jc w:val="center"/>
              <w:rPr>
                <w:color w:val="auto"/>
                <w:szCs w:val="21"/>
              </w:rPr>
            </w:pPr>
            <w:r>
              <w:rPr>
                <w:color w:val="auto"/>
                <w:szCs w:val="21"/>
              </w:rPr>
              <w:t>种植户类型</w:t>
            </w:r>
          </w:p>
        </w:tc>
        <w:tc>
          <w:tcPr>
            <w:tcW w:w="879" w:type="dxa"/>
            <w:shd w:val="clear" w:color="auto" w:fill="auto"/>
            <w:vAlign w:val="center"/>
          </w:tcPr>
          <w:p>
            <w:pPr>
              <w:widowControl/>
              <w:adjustRightInd w:val="0"/>
              <w:snapToGrid w:val="0"/>
              <w:jc w:val="center"/>
              <w:rPr>
                <w:color w:val="auto"/>
                <w:szCs w:val="21"/>
              </w:rPr>
            </w:pPr>
            <w:r>
              <w:rPr>
                <w:color w:val="auto"/>
                <w:szCs w:val="21"/>
              </w:rPr>
              <w:t>地块经纬度</w:t>
            </w:r>
          </w:p>
        </w:tc>
        <w:tc>
          <w:tcPr>
            <w:tcW w:w="743" w:type="dxa"/>
            <w:shd w:val="clear" w:color="auto" w:fill="auto"/>
            <w:vAlign w:val="center"/>
          </w:tcPr>
          <w:p>
            <w:pPr>
              <w:widowControl/>
              <w:adjustRightInd w:val="0"/>
              <w:snapToGrid w:val="0"/>
              <w:jc w:val="center"/>
              <w:rPr>
                <w:color w:val="auto"/>
                <w:szCs w:val="21"/>
              </w:rPr>
            </w:pPr>
            <w:r>
              <w:rPr>
                <w:color w:val="auto"/>
                <w:szCs w:val="21"/>
              </w:rPr>
              <w:t>地块</w:t>
            </w:r>
          </w:p>
          <w:p>
            <w:pPr>
              <w:widowControl/>
              <w:adjustRightInd w:val="0"/>
              <w:snapToGrid w:val="0"/>
              <w:jc w:val="center"/>
              <w:rPr>
                <w:color w:val="auto"/>
                <w:szCs w:val="21"/>
              </w:rPr>
            </w:pPr>
            <w:r>
              <w:rPr>
                <w:color w:val="auto"/>
                <w:szCs w:val="21"/>
              </w:rPr>
              <w:t>面积</w:t>
            </w:r>
          </w:p>
          <w:p>
            <w:pPr>
              <w:widowControl/>
              <w:adjustRightInd w:val="0"/>
              <w:snapToGrid w:val="0"/>
              <w:jc w:val="center"/>
              <w:rPr>
                <w:color w:val="auto"/>
                <w:szCs w:val="21"/>
              </w:rPr>
            </w:pPr>
            <w:r>
              <w:rPr>
                <w:color w:val="auto"/>
                <w:szCs w:val="21"/>
              </w:rPr>
              <w:t>（亩）</w:t>
            </w:r>
          </w:p>
        </w:tc>
        <w:tc>
          <w:tcPr>
            <w:tcW w:w="832" w:type="dxa"/>
            <w:shd w:val="clear" w:color="auto" w:fill="auto"/>
            <w:vAlign w:val="center"/>
          </w:tcPr>
          <w:p>
            <w:pPr>
              <w:widowControl/>
              <w:adjustRightInd w:val="0"/>
              <w:snapToGrid w:val="0"/>
              <w:jc w:val="center"/>
              <w:rPr>
                <w:color w:val="auto"/>
                <w:szCs w:val="21"/>
              </w:rPr>
            </w:pPr>
            <w:r>
              <w:rPr>
                <w:color w:val="auto"/>
                <w:szCs w:val="21"/>
              </w:rPr>
              <w:t>作物</w:t>
            </w:r>
          </w:p>
          <w:p>
            <w:pPr>
              <w:widowControl/>
              <w:adjustRightInd w:val="0"/>
              <w:snapToGrid w:val="0"/>
              <w:jc w:val="center"/>
              <w:rPr>
                <w:color w:val="auto"/>
                <w:szCs w:val="21"/>
              </w:rPr>
            </w:pPr>
            <w:r>
              <w:rPr>
                <w:color w:val="auto"/>
                <w:szCs w:val="21"/>
              </w:rPr>
              <w:t>类型</w:t>
            </w:r>
          </w:p>
        </w:tc>
        <w:tc>
          <w:tcPr>
            <w:tcW w:w="482" w:type="dxa"/>
            <w:shd w:val="clear" w:color="auto" w:fill="auto"/>
            <w:vAlign w:val="center"/>
          </w:tcPr>
          <w:p>
            <w:pPr>
              <w:widowControl/>
              <w:adjustRightInd w:val="0"/>
              <w:snapToGrid w:val="0"/>
              <w:jc w:val="center"/>
              <w:rPr>
                <w:color w:val="auto"/>
                <w:szCs w:val="21"/>
              </w:rPr>
            </w:pPr>
            <w:r>
              <w:rPr>
                <w:color w:val="auto"/>
                <w:szCs w:val="21"/>
              </w:rPr>
              <w:t>种植</w:t>
            </w:r>
          </w:p>
          <w:p>
            <w:pPr>
              <w:widowControl/>
              <w:adjustRightInd w:val="0"/>
              <w:snapToGrid w:val="0"/>
              <w:jc w:val="center"/>
              <w:rPr>
                <w:color w:val="auto"/>
                <w:szCs w:val="21"/>
              </w:rPr>
            </w:pPr>
            <w:r>
              <w:rPr>
                <w:color w:val="auto"/>
                <w:szCs w:val="21"/>
              </w:rPr>
              <w:t>方式</w:t>
            </w:r>
          </w:p>
        </w:tc>
        <w:tc>
          <w:tcPr>
            <w:tcW w:w="873" w:type="dxa"/>
            <w:shd w:val="clear" w:color="auto" w:fill="auto"/>
            <w:vAlign w:val="center"/>
          </w:tcPr>
          <w:p>
            <w:pPr>
              <w:widowControl/>
              <w:adjustRightInd w:val="0"/>
              <w:snapToGrid w:val="0"/>
              <w:jc w:val="center"/>
              <w:rPr>
                <w:color w:val="auto"/>
                <w:szCs w:val="21"/>
              </w:rPr>
            </w:pPr>
            <w:r>
              <w:rPr>
                <w:color w:val="auto"/>
                <w:szCs w:val="21"/>
              </w:rPr>
              <w:t>还田</w:t>
            </w:r>
          </w:p>
          <w:p>
            <w:pPr>
              <w:widowControl/>
              <w:adjustRightInd w:val="0"/>
              <w:snapToGrid w:val="0"/>
              <w:jc w:val="center"/>
              <w:rPr>
                <w:color w:val="auto"/>
                <w:szCs w:val="21"/>
              </w:rPr>
            </w:pPr>
            <w:r>
              <w:rPr>
                <w:color w:val="auto"/>
                <w:szCs w:val="21"/>
              </w:rPr>
              <w:t>方式</w:t>
            </w:r>
          </w:p>
        </w:tc>
        <w:tc>
          <w:tcPr>
            <w:tcW w:w="832" w:type="dxa"/>
            <w:shd w:val="clear" w:color="auto" w:fill="auto"/>
            <w:vAlign w:val="center"/>
          </w:tcPr>
          <w:p>
            <w:pPr>
              <w:widowControl/>
              <w:adjustRightInd w:val="0"/>
              <w:snapToGrid w:val="0"/>
              <w:jc w:val="center"/>
              <w:rPr>
                <w:color w:val="auto"/>
                <w:szCs w:val="21"/>
              </w:rPr>
            </w:pPr>
            <w:r>
              <w:rPr>
                <w:color w:val="auto"/>
                <w:szCs w:val="21"/>
              </w:rPr>
              <w:t>秸秆</w:t>
            </w:r>
          </w:p>
          <w:p>
            <w:pPr>
              <w:widowControl/>
              <w:adjustRightInd w:val="0"/>
              <w:snapToGrid w:val="0"/>
              <w:jc w:val="center"/>
              <w:rPr>
                <w:color w:val="auto"/>
                <w:szCs w:val="21"/>
              </w:rPr>
            </w:pPr>
            <w:r>
              <w:rPr>
                <w:color w:val="auto"/>
                <w:szCs w:val="21"/>
              </w:rPr>
              <w:t>还田</w:t>
            </w:r>
          </w:p>
          <w:p>
            <w:pPr>
              <w:widowControl/>
              <w:adjustRightInd w:val="0"/>
              <w:snapToGrid w:val="0"/>
              <w:jc w:val="center"/>
              <w:rPr>
                <w:color w:val="auto"/>
                <w:szCs w:val="21"/>
              </w:rPr>
            </w:pPr>
            <w:r>
              <w:rPr>
                <w:color w:val="auto"/>
                <w:szCs w:val="21"/>
              </w:rPr>
              <w:t>深度</w:t>
            </w:r>
          </w:p>
          <w:p>
            <w:pPr>
              <w:widowControl/>
              <w:adjustRightInd w:val="0"/>
              <w:snapToGrid w:val="0"/>
              <w:jc w:val="center"/>
              <w:rPr>
                <w:color w:val="auto"/>
                <w:szCs w:val="21"/>
              </w:rPr>
            </w:pPr>
            <w:r>
              <w:rPr>
                <w:color w:val="auto"/>
                <w:szCs w:val="21"/>
              </w:rPr>
              <w:t>（cm）</w:t>
            </w:r>
          </w:p>
        </w:tc>
        <w:tc>
          <w:tcPr>
            <w:tcW w:w="406" w:type="dxa"/>
            <w:vAlign w:val="center"/>
          </w:tcPr>
          <w:p>
            <w:pPr>
              <w:widowControl/>
              <w:adjustRightInd w:val="0"/>
              <w:snapToGrid w:val="0"/>
              <w:jc w:val="center"/>
              <w:rPr>
                <w:color w:val="auto"/>
                <w:szCs w:val="21"/>
              </w:rPr>
            </w:pPr>
            <w:r>
              <w:rPr>
                <w:color w:val="auto"/>
                <w:szCs w:val="21"/>
              </w:rPr>
              <w:t>灌溉</w:t>
            </w:r>
          </w:p>
          <w:p>
            <w:pPr>
              <w:widowControl/>
              <w:adjustRightInd w:val="0"/>
              <w:snapToGrid w:val="0"/>
              <w:jc w:val="center"/>
              <w:rPr>
                <w:color w:val="auto"/>
                <w:szCs w:val="21"/>
              </w:rPr>
            </w:pPr>
            <w:r>
              <w:rPr>
                <w:color w:val="auto"/>
                <w:szCs w:val="21"/>
              </w:rPr>
              <w:t>方式</w:t>
            </w:r>
          </w:p>
        </w:tc>
        <w:tc>
          <w:tcPr>
            <w:tcW w:w="785" w:type="dxa"/>
            <w:shd w:val="clear" w:color="auto" w:fill="auto"/>
            <w:vAlign w:val="center"/>
          </w:tcPr>
          <w:p>
            <w:pPr>
              <w:widowControl/>
              <w:adjustRightInd w:val="0"/>
              <w:snapToGrid w:val="0"/>
              <w:jc w:val="center"/>
              <w:rPr>
                <w:color w:val="auto"/>
                <w:szCs w:val="21"/>
              </w:rPr>
            </w:pPr>
            <w:r>
              <w:rPr>
                <w:color w:val="auto"/>
                <w:szCs w:val="21"/>
              </w:rPr>
              <w:t>施肥</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793" w:type="dxa"/>
            <w:shd w:val="clear" w:color="auto" w:fill="auto"/>
            <w:vAlign w:val="center"/>
          </w:tcPr>
          <w:p>
            <w:pPr>
              <w:widowControl/>
              <w:adjustRightInd w:val="0"/>
              <w:snapToGrid w:val="0"/>
              <w:jc w:val="center"/>
              <w:rPr>
                <w:color w:val="auto"/>
                <w:szCs w:val="21"/>
              </w:rPr>
            </w:pPr>
            <w:r>
              <w:rPr>
                <w:color w:val="auto"/>
                <w:szCs w:val="21"/>
              </w:rPr>
              <w:t>施药</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397" w:type="dxa"/>
            <w:shd w:val="clear" w:color="auto" w:fill="auto"/>
            <w:vAlign w:val="center"/>
          </w:tcPr>
          <w:p>
            <w:pPr>
              <w:widowControl/>
              <w:adjustRightInd w:val="0"/>
              <w:snapToGrid w:val="0"/>
              <w:jc w:val="center"/>
              <w:rPr>
                <w:color w:val="auto"/>
                <w:szCs w:val="21"/>
              </w:rPr>
            </w:pPr>
            <w:r>
              <w:rPr>
                <w:color w:val="auto"/>
                <w:szCs w:val="21"/>
              </w:rPr>
              <w:t>病害</w:t>
            </w:r>
          </w:p>
          <w:p>
            <w:pPr>
              <w:widowControl/>
              <w:adjustRightInd w:val="0"/>
              <w:snapToGrid w:val="0"/>
              <w:jc w:val="center"/>
              <w:rPr>
                <w:color w:val="auto"/>
                <w:szCs w:val="21"/>
              </w:rPr>
            </w:pPr>
            <w:r>
              <w:rPr>
                <w:color w:val="auto"/>
                <w:szCs w:val="21"/>
              </w:rPr>
              <w:t>变化</w:t>
            </w:r>
          </w:p>
        </w:tc>
        <w:tc>
          <w:tcPr>
            <w:tcW w:w="455" w:type="dxa"/>
            <w:shd w:val="clear" w:color="auto" w:fill="auto"/>
            <w:vAlign w:val="center"/>
          </w:tcPr>
          <w:p>
            <w:pPr>
              <w:widowControl/>
              <w:adjustRightInd w:val="0"/>
              <w:snapToGrid w:val="0"/>
              <w:jc w:val="center"/>
              <w:rPr>
                <w:color w:val="auto"/>
                <w:szCs w:val="21"/>
              </w:rPr>
            </w:pPr>
            <w:r>
              <w:rPr>
                <w:color w:val="auto"/>
                <w:szCs w:val="21"/>
              </w:rPr>
              <w:t>虫害</w:t>
            </w:r>
          </w:p>
          <w:p>
            <w:pPr>
              <w:widowControl/>
              <w:adjustRightInd w:val="0"/>
              <w:snapToGrid w:val="0"/>
              <w:jc w:val="center"/>
              <w:rPr>
                <w:color w:val="auto"/>
                <w:szCs w:val="21"/>
              </w:rPr>
            </w:pPr>
            <w:r>
              <w:rPr>
                <w:color w:val="auto"/>
                <w:szCs w:val="21"/>
              </w:rPr>
              <w:t>变化</w:t>
            </w:r>
          </w:p>
        </w:tc>
        <w:tc>
          <w:tcPr>
            <w:tcW w:w="414" w:type="dxa"/>
            <w:shd w:val="clear" w:color="auto" w:fill="auto"/>
            <w:vAlign w:val="center"/>
          </w:tcPr>
          <w:p>
            <w:pPr>
              <w:widowControl/>
              <w:adjustRightInd w:val="0"/>
              <w:snapToGrid w:val="0"/>
              <w:jc w:val="center"/>
              <w:rPr>
                <w:color w:val="auto"/>
                <w:szCs w:val="21"/>
              </w:rPr>
            </w:pPr>
            <w:r>
              <w:rPr>
                <w:color w:val="auto"/>
                <w:szCs w:val="21"/>
              </w:rPr>
              <w:t>草害</w:t>
            </w:r>
          </w:p>
          <w:p>
            <w:pPr>
              <w:widowControl/>
              <w:adjustRightInd w:val="0"/>
              <w:snapToGrid w:val="0"/>
              <w:jc w:val="center"/>
              <w:rPr>
                <w:color w:val="auto"/>
                <w:szCs w:val="21"/>
              </w:rPr>
            </w:pPr>
            <w:r>
              <w:rPr>
                <w:color w:val="auto"/>
                <w:szCs w:val="21"/>
              </w:rPr>
              <w:t>变化</w:t>
            </w:r>
          </w:p>
        </w:tc>
        <w:tc>
          <w:tcPr>
            <w:tcW w:w="858" w:type="dxa"/>
            <w:shd w:val="clear" w:color="auto" w:fill="auto"/>
            <w:vAlign w:val="center"/>
          </w:tcPr>
          <w:p>
            <w:pPr>
              <w:widowControl/>
              <w:adjustRightInd w:val="0"/>
              <w:snapToGrid w:val="0"/>
              <w:jc w:val="center"/>
              <w:rPr>
                <w:color w:val="auto"/>
                <w:szCs w:val="21"/>
              </w:rPr>
            </w:pPr>
            <w:r>
              <w:rPr>
                <w:color w:val="auto"/>
                <w:szCs w:val="21"/>
              </w:rPr>
              <w:t>产量</w:t>
            </w:r>
          </w:p>
          <w:p>
            <w:pPr>
              <w:widowControl/>
              <w:adjustRightInd w:val="0"/>
              <w:snapToGrid w:val="0"/>
              <w:jc w:val="center"/>
              <w:rPr>
                <w:color w:val="auto"/>
                <w:szCs w:val="21"/>
              </w:rPr>
            </w:pPr>
            <w:r>
              <w:rPr>
                <w:color w:val="auto"/>
                <w:szCs w:val="21"/>
              </w:rPr>
              <w:t>变化</w:t>
            </w:r>
          </w:p>
          <w:p>
            <w:pPr>
              <w:widowControl/>
              <w:adjustRightInd w:val="0"/>
              <w:snapToGrid w:val="0"/>
              <w:jc w:val="center"/>
              <w:rPr>
                <w:color w:val="auto"/>
                <w:szCs w:val="21"/>
              </w:rPr>
            </w:pPr>
            <w:r>
              <w:rPr>
                <w:color w:val="auto"/>
                <w:szCs w:val="21"/>
              </w:rPr>
              <w:t>幅度</w:t>
            </w:r>
          </w:p>
          <w:p>
            <w:pPr>
              <w:widowControl/>
              <w:adjustRightInd w:val="0"/>
              <w:snapToGrid w:val="0"/>
              <w:jc w:val="center"/>
              <w:rPr>
                <w:color w:val="auto"/>
                <w:szCs w:val="21"/>
              </w:rPr>
            </w:pPr>
            <w:r>
              <w:rPr>
                <w:color w:val="auto"/>
                <w:szCs w:val="21"/>
              </w:rPr>
              <w:t>（%）</w:t>
            </w:r>
          </w:p>
        </w:tc>
        <w:tc>
          <w:tcPr>
            <w:tcW w:w="867" w:type="dxa"/>
            <w:shd w:val="clear" w:color="auto" w:fill="auto"/>
            <w:vAlign w:val="center"/>
          </w:tcPr>
          <w:p>
            <w:pPr>
              <w:widowControl/>
              <w:adjustRightInd w:val="0"/>
              <w:snapToGrid w:val="0"/>
              <w:jc w:val="center"/>
              <w:rPr>
                <w:color w:val="auto"/>
                <w:szCs w:val="21"/>
              </w:rPr>
            </w:pPr>
            <w:r>
              <w:rPr>
                <w:color w:val="auto"/>
                <w:szCs w:val="21"/>
              </w:rPr>
              <w:t>上茬秸秆腐解情况（%）</w:t>
            </w:r>
          </w:p>
        </w:tc>
        <w:tc>
          <w:tcPr>
            <w:tcW w:w="855" w:type="dxa"/>
            <w:shd w:val="clear" w:color="auto" w:fill="auto"/>
            <w:vAlign w:val="center"/>
          </w:tcPr>
          <w:p>
            <w:pPr>
              <w:widowControl/>
              <w:adjustRightInd w:val="0"/>
              <w:snapToGrid w:val="0"/>
              <w:jc w:val="center"/>
              <w:rPr>
                <w:color w:val="auto"/>
                <w:szCs w:val="21"/>
              </w:rPr>
            </w:pPr>
            <w:r>
              <w:rPr>
                <w:color w:val="auto"/>
                <w:szCs w:val="21"/>
              </w:rPr>
              <w:t>下茬播种变化幅度</w:t>
            </w:r>
          </w:p>
          <w:p>
            <w:pPr>
              <w:widowControl/>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04" w:type="dxa"/>
            <w:vAlign w:val="center"/>
          </w:tcPr>
          <w:p>
            <w:pPr>
              <w:widowControl/>
              <w:adjustRightInd w:val="0"/>
              <w:snapToGrid w:val="0"/>
              <w:jc w:val="center"/>
              <w:rPr>
                <w:color w:val="auto"/>
                <w:szCs w:val="21"/>
              </w:rPr>
            </w:pPr>
            <w:r>
              <w:rPr>
                <w:bCs/>
                <w:color w:val="auto"/>
                <w:szCs w:val="21"/>
              </w:rPr>
              <w:t>1</w:t>
            </w:r>
          </w:p>
        </w:tc>
        <w:tc>
          <w:tcPr>
            <w:tcW w:w="1082" w:type="dxa"/>
            <w:shd w:val="clear" w:color="auto" w:fill="auto"/>
            <w:vAlign w:val="center"/>
          </w:tcPr>
          <w:p>
            <w:pPr>
              <w:widowControl/>
              <w:adjustRightInd w:val="0"/>
              <w:snapToGrid w:val="0"/>
              <w:jc w:val="center"/>
              <w:rPr>
                <w:color w:val="auto"/>
                <w:szCs w:val="21"/>
              </w:rPr>
            </w:pPr>
          </w:p>
        </w:tc>
        <w:tc>
          <w:tcPr>
            <w:tcW w:w="868" w:type="dxa"/>
            <w:vAlign w:val="center"/>
          </w:tcPr>
          <w:p>
            <w:pPr>
              <w:widowControl/>
              <w:adjustRightInd w:val="0"/>
              <w:snapToGrid w:val="0"/>
              <w:jc w:val="center"/>
              <w:rPr>
                <w:color w:val="auto"/>
                <w:szCs w:val="21"/>
              </w:rPr>
            </w:pPr>
          </w:p>
        </w:tc>
        <w:tc>
          <w:tcPr>
            <w:tcW w:w="1379" w:type="dxa"/>
            <w:shd w:val="clear" w:color="auto" w:fill="auto"/>
            <w:vAlign w:val="center"/>
          </w:tcPr>
          <w:p>
            <w:pPr>
              <w:widowControl/>
              <w:adjustRightInd w:val="0"/>
              <w:snapToGrid w:val="0"/>
              <w:jc w:val="center"/>
              <w:rPr>
                <w:color w:val="auto"/>
                <w:szCs w:val="21"/>
              </w:rPr>
            </w:pPr>
          </w:p>
        </w:tc>
        <w:tc>
          <w:tcPr>
            <w:tcW w:w="489" w:type="dxa"/>
            <w:shd w:val="clear" w:color="auto" w:fill="auto"/>
            <w:vAlign w:val="center"/>
          </w:tcPr>
          <w:p>
            <w:pPr>
              <w:widowControl/>
              <w:adjustRightInd w:val="0"/>
              <w:snapToGrid w:val="0"/>
              <w:rPr>
                <w:color w:val="auto"/>
                <w:szCs w:val="21"/>
              </w:rPr>
            </w:pPr>
          </w:p>
        </w:tc>
        <w:tc>
          <w:tcPr>
            <w:tcW w:w="879" w:type="dxa"/>
            <w:shd w:val="clear" w:color="auto" w:fill="auto"/>
            <w:vAlign w:val="center"/>
          </w:tcPr>
          <w:p>
            <w:pPr>
              <w:widowControl/>
              <w:adjustRightInd w:val="0"/>
              <w:snapToGrid w:val="0"/>
              <w:jc w:val="center"/>
              <w:rPr>
                <w:color w:val="auto"/>
                <w:szCs w:val="21"/>
              </w:rPr>
            </w:pPr>
          </w:p>
        </w:tc>
        <w:tc>
          <w:tcPr>
            <w:tcW w:w="743" w:type="dxa"/>
            <w:shd w:val="clear" w:color="auto" w:fill="auto"/>
            <w:vAlign w:val="center"/>
          </w:tcPr>
          <w:p>
            <w:pPr>
              <w:widowControl/>
              <w:adjustRightInd w:val="0"/>
              <w:snapToGrid w:val="0"/>
              <w:jc w:val="center"/>
              <w:rPr>
                <w:color w:val="auto"/>
                <w:szCs w:val="21"/>
              </w:rPr>
            </w:pPr>
          </w:p>
        </w:tc>
        <w:tc>
          <w:tcPr>
            <w:tcW w:w="832" w:type="dxa"/>
            <w:shd w:val="clear" w:color="auto" w:fill="auto"/>
            <w:vAlign w:val="center"/>
          </w:tcPr>
          <w:p>
            <w:pPr>
              <w:widowControl/>
              <w:adjustRightInd w:val="0"/>
              <w:snapToGrid w:val="0"/>
              <w:jc w:val="center"/>
              <w:rPr>
                <w:color w:val="auto"/>
                <w:szCs w:val="21"/>
              </w:rPr>
            </w:pPr>
          </w:p>
        </w:tc>
        <w:tc>
          <w:tcPr>
            <w:tcW w:w="482" w:type="dxa"/>
            <w:shd w:val="clear" w:color="auto" w:fill="auto"/>
            <w:vAlign w:val="center"/>
          </w:tcPr>
          <w:p>
            <w:pPr>
              <w:widowControl/>
              <w:adjustRightInd w:val="0"/>
              <w:snapToGrid w:val="0"/>
              <w:jc w:val="center"/>
              <w:rPr>
                <w:color w:val="auto"/>
                <w:szCs w:val="21"/>
              </w:rPr>
            </w:pPr>
          </w:p>
        </w:tc>
        <w:tc>
          <w:tcPr>
            <w:tcW w:w="873" w:type="dxa"/>
            <w:shd w:val="clear" w:color="auto" w:fill="auto"/>
            <w:vAlign w:val="center"/>
          </w:tcPr>
          <w:p>
            <w:pPr>
              <w:widowControl/>
              <w:adjustRightInd w:val="0"/>
              <w:snapToGrid w:val="0"/>
              <w:jc w:val="center"/>
              <w:rPr>
                <w:color w:val="auto"/>
                <w:szCs w:val="21"/>
              </w:rPr>
            </w:pPr>
          </w:p>
        </w:tc>
        <w:tc>
          <w:tcPr>
            <w:tcW w:w="832" w:type="dxa"/>
            <w:shd w:val="clear" w:color="auto" w:fill="auto"/>
            <w:vAlign w:val="center"/>
          </w:tcPr>
          <w:p>
            <w:pPr>
              <w:widowControl/>
              <w:adjustRightInd w:val="0"/>
              <w:snapToGrid w:val="0"/>
              <w:jc w:val="center"/>
              <w:rPr>
                <w:color w:val="auto"/>
                <w:szCs w:val="21"/>
              </w:rPr>
            </w:pPr>
          </w:p>
        </w:tc>
        <w:tc>
          <w:tcPr>
            <w:tcW w:w="406" w:type="dxa"/>
            <w:vAlign w:val="center"/>
          </w:tcPr>
          <w:p>
            <w:pPr>
              <w:widowControl/>
              <w:adjustRightInd w:val="0"/>
              <w:snapToGrid w:val="0"/>
              <w:jc w:val="left"/>
              <w:rPr>
                <w:color w:val="auto"/>
                <w:szCs w:val="21"/>
              </w:rPr>
            </w:pPr>
          </w:p>
        </w:tc>
        <w:tc>
          <w:tcPr>
            <w:tcW w:w="785" w:type="dxa"/>
            <w:shd w:val="clear" w:color="auto" w:fill="auto"/>
            <w:vAlign w:val="center"/>
          </w:tcPr>
          <w:p>
            <w:pPr>
              <w:widowControl/>
              <w:adjustRightInd w:val="0"/>
              <w:snapToGrid w:val="0"/>
              <w:jc w:val="center"/>
              <w:rPr>
                <w:color w:val="auto"/>
                <w:szCs w:val="21"/>
              </w:rPr>
            </w:pPr>
          </w:p>
        </w:tc>
        <w:tc>
          <w:tcPr>
            <w:tcW w:w="793" w:type="dxa"/>
            <w:shd w:val="clear" w:color="auto" w:fill="auto"/>
            <w:vAlign w:val="center"/>
          </w:tcPr>
          <w:p>
            <w:pPr>
              <w:widowControl/>
              <w:adjustRightInd w:val="0"/>
              <w:snapToGrid w:val="0"/>
              <w:jc w:val="center"/>
              <w:rPr>
                <w:color w:val="auto"/>
                <w:szCs w:val="21"/>
              </w:rPr>
            </w:pPr>
          </w:p>
        </w:tc>
        <w:tc>
          <w:tcPr>
            <w:tcW w:w="397" w:type="dxa"/>
            <w:shd w:val="clear" w:color="auto" w:fill="auto"/>
            <w:vAlign w:val="center"/>
          </w:tcPr>
          <w:p>
            <w:pPr>
              <w:widowControl/>
              <w:adjustRightInd w:val="0"/>
              <w:snapToGrid w:val="0"/>
              <w:jc w:val="center"/>
              <w:rPr>
                <w:color w:val="auto"/>
                <w:szCs w:val="21"/>
              </w:rPr>
            </w:pPr>
          </w:p>
        </w:tc>
        <w:tc>
          <w:tcPr>
            <w:tcW w:w="455" w:type="dxa"/>
            <w:shd w:val="clear" w:color="auto" w:fill="auto"/>
            <w:vAlign w:val="center"/>
          </w:tcPr>
          <w:p>
            <w:pPr>
              <w:widowControl/>
              <w:adjustRightInd w:val="0"/>
              <w:snapToGrid w:val="0"/>
              <w:jc w:val="center"/>
              <w:rPr>
                <w:color w:val="auto"/>
                <w:szCs w:val="21"/>
              </w:rPr>
            </w:pPr>
          </w:p>
        </w:tc>
        <w:tc>
          <w:tcPr>
            <w:tcW w:w="414" w:type="dxa"/>
            <w:shd w:val="clear" w:color="auto" w:fill="auto"/>
            <w:vAlign w:val="center"/>
          </w:tcPr>
          <w:p>
            <w:pPr>
              <w:widowControl/>
              <w:adjustRightInd w:val="0"/>
              <w:snapToGrid w:val="0"/>
              <w:jc w:val="center"/>
              <w:rPr>
                <w:color w:val="auto"/>
                <w:szCs w:val="21"/>
              </w:rPr>
            </w:pPr>
          </w:p>
        </w:tc>
        <w:tc>
          <w:tcPr>
            <w:tcW w:w="858" w:type="dxa"/>
            <w:shd w:val="clear" w:color="auto" w:fill="auto"/>
            <w:vAlign w:val="center"/>
          </w:tcPr>
          <w:p>
            <w:pPr>
              <w:widowControl/>
              <w:adjustRightInd w:val="0"/>
              <w:snapToGrid w:val="0"/>
              <w:jc w:val="center"/>
              <w:rPr>
                <w:color w:val="auto"/>
                <w:szCs w:val="21"/>
              </w:rPr>
            </w:pPr>
          </w:p>
        </w:tc>
        <w:tc>
          <w:tcPr>
            <w:tcW w:w="867" w:type="dxa"/>
            <w:shd w:val="clear" w:color="auto" w:fill="auto"/>
            <w:vAlign w:val="center"/>
          </w:tcPr>
          <w:p>
            <w:pPr>
              <w:widowControl/>
              <w:adjustRightInd w:val="0"/>
              <w:snapToGrid w:val="0"/>
              <w:jc w:val="center"/>
              <w:rPr>
                <w:color w:val="auto"/>
                <w:szCs w:val="21"/>
              </w:rPr>
            </w:pPr>
          </w:p>
        </w:tc>
        <w:tc>
          <w:tcPr>
            <w:tcW w:w="855" w:type="dxa"/>
            <w:shd w:val="clear" w:color="auto" w:fill="auto"/>
            <w:vAlign w:val="center"/>
          </w:tcPr>
          <w:p>
            <w:pPr>
              <w:widowControl/>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404" w:type="dxa"/>
            <w:vAlign w:val="center"/>
          </w:tcPr>
          <w:p>
            <w:pPr>
              <w:widowControl/>
              <w:adjustRightInd w:val="0"/>
              <w:snapToGrid w:val="0"/>
              <w:jc w:val="center"/>
              <w:rPr>
                <w:color w:val="auto"/>
                <w:kern w:val="0"/>
                <w:sz w:val="20"/>
                <w:szCs w:val="20"/>
              </w:rPr>
            </w:pPr>
            <w:r>
              <w:rPr>
                <w:b/>
                <w:bCs/>
                <w:color w:val="auto"/>
                <w:kern w:val="0"/>
                <w:sz w:val="20"/>
                <w:szCs w:val="20"/>
              </w:rPr>
              <w:t>2</w:t>
            </w:r>
          </w:p>
        </w:tc>
        <w:tc>
          <w:tcPr>
            <w:tcW w:w="1082" w:type="dxa"/>
            <w:shd w:val="clear" w:color="auto" w:fill="auto"/>
            <w:vAlign w:val="center"/>
          </w:tcPr>
          <w:p>
            <w:pPr>
              <w:widowControl/>
              <w:adjustRightInd w:val="0"/>
              <w:snapToGrid w:val="0"/>
              <w:jc w:val="center"/>
              <w:rPr>
                <w:color w:val="auto"/>
                <w:kern w:val="0"/>
                <w:sz w:val="20"/>
                <w:szCs w:val="20"/>
              </w:rPr>
            </w:pPr>
          </w:p>
        </w:tc>
        <w:tc>
          <w:tcPr>
            <w:tcW w:w="868" w:type="dxa"/>
            <w:vAlign w:val="center"/>
          </w:tcPr>
          <w:p>
            <w:pPr>
              <w:widowControl/>
              <w:adjustRightInd w:val="0"/>
              <w:snapToGrid w:val="0"/>
              <w:jc w:val="center"/>
              <w:rPr>
                <w:color w:val="auto"/>
                <w:kern w:val="0"/>
                <w:sz w:val="20"/>
                <w:szCs w:val="20"/>
              </w:rPr>
            </w:pPr>
          </w:p>
        </w:tc>
        <w:tc>
          <w:tcPr>
            <w:tcW w:w="1379" w:type="dxa"/>
            <w:shd w:val="clear" w:color="auto" w:fill="auto"/>
            <w:vAlign w:val="center"/>
          </w:tcPr>
          <w:p>
            <w:pPr>
              <w:widowControl/>
              <w:adjustRightInd w:val="0"/>
              <w:snapToGrid w:val="0"/>
              <w:rPr>
                <w:color w:val="auto"/>
                <w:kern w:val="0"/>
                <w:sz w:val="20"/>
                <w:szCs w:val="20"/>
              </w:rPr>
            </w:pPr>
          </w:p>
        </w:tc>
        <w:tc>
          <w:tcPr>
            <w:tcW w:w="489" w:type="dxa"/>
            <w:shd w:val="clear" w:color="auto" w:fill="auto"/>
            <w:vAlign w:val="center"/>
          </w:tcPr>
          <w:p>
            <w:pPr>
              <w:widowControl/>
              <w:adjustRightInd w:val="0"/>
              <w:snapToGrid w:val="0"/>
              <w:rPr>
                <w:color w:val="auto"/>
                <w:kern w:val="0"/>
                <w:sz w:val="20"/>
                <w:szCs w:val="20"/>
              </w:rPr>
            </w:pPr>
          </w:p>
        </w:tc>
        <w:tc>
          <w:tcPr>
            <w:tcW w:w="879" w:type="dxa"/>
            <w:shd w:val="clear" w:color="auto" w:fill="auto"/>
            <w:vAlign w:val="center"/>
          </w:tcPr>
          <w:p>
            <w:pPr>
              <w:widowControl/>
              <w:adjustRightInd w:val="0"/>
              <w:snapToGrid w:val="0"/>
              <w:jc w:val="center"/>
              <w:rPr>
                <w:color w:val="auto"/>
                <w:kern w:val="0"/>
                <w:sz w:val="20"/>
                <w:szCs w:val="20"/>
              </w:rPr>
            </w:pPr>
          </w:p>
        </w:tc>
        <w:tc>
          <w:tcPr>
            <w:tcW w:w="74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82" w:type="dxa"/>
            <w:shd w:val="clear" w:color="auto" w:fill="auto"/>
            <w:vAlign w:val="center"/>
          </w:tcPr>
          <w:p>
            <w:pPr>
              <w:widowControl/>
              <w:adjustRightInd w:val="0"/>
              <w:snapToGrid w:val="0"/>
              <w:jc w:val="center"/>
              <w:rPr>
                <w:color w:val="auto"/>
                <w:kern w:val="0"/>
                <w:sz w:val="20"/>
                <w:szCs w:val="20"/>
              </w:rPr>
            </w:pPr>
          </w:p>
        </w:tc>
        <w:tc>
          <w:tcPr>
            <w:tcW w:w="87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06" w:type="dxa"/>
            <w:vAlign w:val="center"/>
          </w:tcPr>
          <w:p>
            <w:pPr>
              <w:widowControl/>
              <w:adjustRightInd w:val="0"/>
              <w:snapToGrid w:val="0"/>
              <w:jc w:val="left"/>
              <w:rPr>
                <w:color w:val="auto"/>
                <w:kern w:val="0"/>
                <w:sz w:val="20"/>
                <w:szCs w:val="20"/>
              </w:rPr>
            </w:pPr>
          </w:p>
        </w:tc>
        <w:tc>
          <w:tcPr>
            <w:tcW w:w="785" w:type="dxa"/>
            <w:shd w:val="clear" w:color="auto" w:fill="auto"/>
            <w:vAlign w:val="center"/>
          </w:tcPr>
          <w:p>
            <w:pPr>
              <w:widowControl/>
              <w:adjustRightInd w:val="0"/>
              <w:snapToGrid w:val="0"/>
              <w:jc w:val="center"/>
              <w:rPr>
                <w:color w:val="auto"/>
                <w:kern w:val="0"/>
                <w:sz w:val="20"/>
                <w:szCs w:val="20"/>
              </w:rPr>
            </w:pPr>
          </w:p>
        </w:tc>
        <w:tc>
          <w:tcPr>
            <w:tcW w:w="793" w:type="dxa"/>
            <w:shd w:val="clear" w:color="auto" w:fill="auto"/>
            <w:vAlign w:val="center"/>
          </w:tcPr>
          <w:p>
            <w:pPr>
              <w:widowControl/>
              <w:adjustRightInd w:val="0"/>
              <w:snapToGrid w:val="0"/>
              <w:jc w:val="center"/>
              <w:rPr>
                <w:color w:val="auto"/>
                <w:kern w:val="0"/>
                <w:sz w:val="20"/>
                <w:szCs w:val="20"/>
              </w:rPr>
            </w:pPr>
          </w:p>
        </w:tc>
        <w:tc>
          <w:tcPr>
            <w:tcW w:w="397" w:type="dxa"/>
            <w:shd w:val="clear" w:color="auto" w:fill="auto"/>
            <w:vAlign w:val="center"/>
          </w:tcPr>
          <w:p>
            <w:pPr>
              <w:widowControl/>
              <w:adjustRightInd w:val="0"/>
              <w:snapToGrid w:val="0"/>
              <w:jc w:val="center"/>
              <w:rPr>
                <w:color w:val="auto"/>
                <w:kern w:val="0"/>
                <w:sz w:val="20"/>
                <w:szCs w:val="20"/>
              </w:rPr>
            </w:pPr>
          </w:p>
        </w:tc>
        <w:tc>
          <w:tcPr>
            <w:tcW w:w="455" w:type="dxa"/>
            <w:shd w:val="clear" w:color="auto" w:fill="auto"/>
            <w:vAlign w:val="center"/>
          </w:tcPr>
          <w:p>
            <w:pPr>
              <w:widowControl/>
              <w:adjustRightInd w:val="0"/>
              <w:snapToGrid w:val="0"/>
              <w:jc w:val="center"/>
              <w:rPr>
                <w:color w:val="auto"/>
                <w:kern w:val="0"/>
                <w:sz w:val="20"/>
                <w:szCs w:val="20"/>
              </w:rPr>
            </w:pPr>
          </w:p>
        </w:tc>
        <w:tc>
          <w:tcPr>
            <w:tcW w:w="414" w:type="dxa"/>
            <w:shd w:val="clear" w:color="auto" w:fill="auto"/>
            <w:vAlign w:val="center"/>
          </w:tcPr>
          <w:p>
            <w:pPr>
              <w:widowControl/>
              <w:adjustRightInd w:val="0"/>
              <w:snapToGrid w:val="0"/>
              <w:jc w:val="center"/>
              <w:rPr>
                <w:color w:val="auto"/>
                <w:kern w:val="0"/>
                <w:sz w:val="20"/>
                <w:szCs w:val="20"/>
              </w:rPr>
            </w:pPr>
          </w:p>
        </w:tc>
        <w:tc>
          <w:tcPr>
            <w:tcW w:w="858" w:type="dxa"/>
            <w:shd w:val="clear" w:color="auto" w:fill="auto"/>
            <w:vAlign w:val="center"/>
          </w:tcPr>
          <w:p>
            <w:pPr>
              <w:widowControl/>
              <w:adjustRightInd w:val="0"/>
              <w:snapToGrid w:val="0"/>
              <w:jc w:val="center"/>
              <w:rPr>
                <w:color w:val="auto"/>
                <w:kern w:val="0"/>
                <w:sz w:val="20"/>
                <w:szCs w:val="20"/>
              </w:rPr>
            </w:pPr>
          </w:p>
        </w:tc>
        <w:tc>
          <w:tcPr>
            <w:tcW w:w="867" w:type="dxa"/>
            <w:shd w:val="clear" w:color="auto" w:fill="auto"/>
            <w:vAlign w:val="center"/>
          </w:tcPr>
          <w:p>
            <w:pPr>
              <w:widowControl/>
              <w:adjustRightInd w:val="0"/>
              <w:snapToGrid w:val="0"/>
              <w:jc w:val="center"/>
              <w:rPr>
                <w:color w:val="auto"/>
                <w:kern w:val="0"/>
                <w:sz w:val="20"/>
                <w:szCs w:val="20"/>
              </w:rPr>
            </w:pPr>
          </w:p>
        </w:tc>
        <w:tc>
          <w:tcPr>
            <w:tcW w:w="855" w:type="dxa"/>
            <w:shd w:val="clear" w:color="auto" w:fill="auto"/>
            <w:vAlign w:val="center"/>
          </w:tcPr>
          <w:p>
            <w:pPr>
              <w:widowControl/>
              <w:adjustRightInd w:val="0"/>
              <w:snapToGrid w:val="0"/>
              <w:jc w:val="center"/>
              <w:rPr>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404" w:type="dxa"/>
            <w:vAlign w:val="center"/>
          </w:tcPr>
          <w:p>
            <w:pPr>
              <w:widowControl/>
              <w:adjustRightInd w:val="0"/>
              <w:snapToGrid w:val="0"/>
              <w:jc w:val="center"/>
              <w:rPr>
                <w:color w:val="auto"/>
                <w:kern w:val="0"/>
                <w:sz w:val="20"/>
                <w:szCs w:val="20"/>
              </w:rPr>
            </w:pPr>
            <w:r>
              <w:rPr>
                <w:b/>
                <w:bCs/>
                <w:color w:val="auto"/>
                <w:kern w:val="0"/>
                <w:sz w:val="20"/>
                <w:szCs w:val="20"/>
              </w:rPr>
              <w:t>3</w:t>
            </w:r>
          </w:p>
        </w:tc>
        <w:tc>
          <w:tcPr>
            <w:tcW w:w="1082" w:type="dxa"/>
            <w:shd w:val="clear" w:color="auto" w:fill="auto"/>
            <w:vAlign w:val="center"/>
          </w:tcPr>
          <w:p>
            <w:pPr>
              <w:rPr>
                <w:color w:val="auto"/>
                <w:kern w:val="0"/>
                <w:sz w:val="20"/>
                <w:szCs w:val="20"/>
              </w:rPr>
            </w:pPr>
          </w:p>
        </w:tc>
        <w:tc>
          <w:tcPr>
            <w:tcW w:w="868" w:type="dxa"/>
            <w:vAlign w:val="center"/>
          </w:tcPr>
          <w:p>
            <w:pPr>
              <w:rPr>
                <w:color w:val="auto"/>
                <w:kern w:val="0"/>
                <w:sz w:val="20"/>
                <w:szCs w:val="20"/>
              </w:rPr>
            </w:pPr>
          </w:p>
        </w:tc>
        <w:tc>
          <w:tcPr>
            <w:tcW w:w="1379" w:type="dxa"/>
            <w:shd w:val="clear" w:color="auto" w:fill="auto"/>
            <w:vAlign w:val="center"/>
          </w:tcPr>
          <w:p>
            <w:pPr>
              <w:rPr>
                <w:color w:val="auto"/>
                <w:kern w:val="0"/>
                <w:sz w:val="20"/>
                <w:szCs w:val="20"/>
              </w:rPr>
            </w:pPr>
          </w:p>
        </w:tc>
        <w:tc>
          <w:tcPr>
            <w:tcW w:w="489" w:type="dxa"/>
            <w:shd w:val="clear" w:color="auto" w:fill="auto"/>
            <w:vAlign w:val="center"/>
          </w:tcPr>
          <w:p>
            <w:pPr>
              <w:rPr>
                <w:color w:val="auto"/>
                <w:kern w:val="0"/>
                <w:sz w:val="20"/>
                <w:szCs w:val="20"/>
              </w:rPr>
            </w:pPr>
          </w:p>
        </w:tc>
        <w:tc>
          <w:tcPr>
            <w:tcW w:w="879" w:type="dxa"/>
            <w:shd w:val="clear" w:color="auto" w:fill="auto"/>
            <w:vAlign w:val="center"/>
          </w:tcPr>
          <w:p>
            <w:pPr>
              <w:widowControl/>
              <w:adjustRightInd w:val="0"/>
              <w:snapToGrid w:val="0"/>
              <w:jc w:val="center"/>
              <w:rPr>
                <w:color w:val="auto"/>
                <w:kern w:val="0"/>
                <w:sz w:val="20"/>
                <w:szCs w:val="20"/>
              </w:rPr>
            </w:pPr>
          </w:p>
        </w:tc>
        <w:tc>
          <w:tcPr>
            <w:tcW w:w="74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82" w:type="dxa"/>
            <w:shd w:val="clear" w:color="auto" w:fill="auto"/>
            <w:vAlign w:val="center"/>
          </w:tcPr>
          <w:p>
            <w:pPr>
              <w:widowControl/>
              <w:adjustRightInd w:val="0"/>
              <w:snapToGrid w:val="0"/>
              <w:jc w:val="center"/>
              <w:rPr>
                <w:color w:val="auto"/>
                <w:kern w:val="0"/>
                <w:sz w:val="20"/>
                <w:szCs w:val="20"/>
              </w:rPr>
            </w:pPr>
          </w:p>
        </w:tc>
        <w:tc>
          <w:tcPr>
            <w:tcW w:w="873" w:type="dxa"/>
            <w:shd w:val="clear" w:color="auto" w:fill="auto"/>
            <w:vAlign w:val="center"/>
          </w:tcPr>
          <w:p>
            <w:pPr>
              <w:widowControl/>
              <w:adjustRightInd w:val="0"/>
              <w:snapToGrid w:val="0"/>
              <w:jc w:val="center"/>
              <w:rPr>
                <w:color w:val="auto"/>
                <w:kern w:val="0"/>
                <w:sz w:val="20"/>
                <w:szCs w:val="20"/>
              </w:rPr>
            </w:pPr>
          </w:p>
        </w:tc>
        <w:tc>
          <w:tcPr>
            <w:tcW w:w="832" w:type="dxa"/>
            <w:shd w:val="clear" w:color="auto" w:fill="auto"/>
            <w:vAlign w:val="center"/>
          </w:tcPr>
          <w:p>
            <w:pPr>
              <w:widowControl/>
              <w:adjustRightInd w:val="0"/>
              <w:snapToGrid w:val="0"/>
              <w:jc w:val="center"/>
              <w:rPr>
                <w:color w:val="auto"/>
                <w:kern w:val="0"/>
                <w:sz w:val="20"/>
                <w:szCs w:val="20"/>
              </w:rPr>
            </w:pPr>
          </w:p>
        </w:tc>
        <w:tc>
          <w:tcPr>
            <w:tcW w:w="406" w:type="dxa"/>
            <w:vAlign w:val="center"/>
          </w:tcPr>
          <w:p>
            <w:pPr>
              <w:rPr>
                <w:color w:val="auto"/>
                <w:kern w:val="0"/>
                <w:sz w:val="20"/>
                <w:szCs w:val="20"/>
              </w:rPr>
            </w:pPr>
          </w:p>
        </w:tc>
        <w:tc>
          <w:tcPr>
            <w:tcW w:w="785" w:type="dxa"/>
            <w:shd w:val="clear" w:color="auto" w:fill="auto"/>
            <w:vAlign w:val="center"/>
          </w:tcPr>
          <w:p>
            <w:pPr>
              <w:widowControl/>
              <w:adjustRightInd w:val="0"/>
              <w:snapToGrid w:val="0"/>
              <w:jc w:val="center"/>
              <w:rPr>
                <w:color w:val="auto"/>
                <w:kern w:val="0"/>
                <w:sz w:val="20"/>
                <w:szCs w:val="20"/>
              </w:rPr>
            </w:pPr>
          </w:p>
        </w:tc>
        <w:tc>
          <w:tcPr>
            <w:tcW w:w="793" w:type="dxa"/>
            <w:shd w:val="clear" w:color="auto" w:fill="auto"/>
            <w:vAlign w:val="center"/>
          </w:tcPr>
          <w:p>
            <w:pPr>
              <w:widowControl/>
              <w:adjustRightInd w:val="0"/>
              <w:snapToGrid w:val="0"/>
              <w:jc w:val="center"/>
              <w:rPr>
                <w:color w:val="auto"/>
                <w:kern w:val="0"/>
                <w:sz w:val="20"/>
                <w:szCs w:val="20"/>
              </w:rPr>
            </w:pPr>
          </w:p>
        </w:tc>
        <w:tc>
          <w:tcPr>
            <w:tcW w:w="397" w:type="dxa"/>
            <w:shd w:val="clear" w:color="auto" w:fill="auto"/>
            <w:vAlign w:val="center"/>
          </w:tcPr>
          <w:p>
            <w:pPr>
              <w:widowControl/>
              <w:adjustRightInd w:val="0"/>
              <w:snapToGrid w:val="0"/>
              <w:jc w:val="center"/>
              <w:rPr>
                <w:color w:val="auto"/>
                <w:kern w:val="0"/>
                <w:sz w:val="20"/>
                <w:szCs w:val="20"/>
              </w:rPr>
            </w:pPr>
          </w:p>
        </w:tc>
        <w:tc>
          <w:tcPr>
            <w:tcW w:w="455" w:type="dxa"/>
            <w:shd w:val="clear" w:color="auto" w:fill="auto"/>
            <w:vAlign w:val="center"/>
          </w:tcPr>
          <w:p>
            <w:pPr>
              <w:widowControl/>
              <w:adjustRightInd w:val="0"/>
              <w:snapToGrid w:val="0"/>
              <w:jc w:val="center"/>
              <w:rPr>
                <w:color w:val="auto"/>
                <w:kern w:val="0"/>
                <w:sz w:val="20"/>
                <w:szCs w:val="20"/>
              </w:rPr>
            </w:pPr>
          </w:p>
        </w:tc>
        <w:tc>
          <w:tcPr>
            <w:tcW w:w="414" w:type="dxa"/>
            <w:shd w:val="clear" w:color="auto" w:fill="auto"/>
            <w:vAlign w:val="center"/>
          </w:tcPr>
          <w:p>
            <w:pPr>
              <w:widowControl/>
              <w:adjustRightInd w:val="0"/>
              <w:snapToGrid w:val="0"/>
              <w:jc w:val="center"/>
              <w:rPr>
                <w:color w:val="auto"/>
                <w:kern w:val="0"/>
                <w:sz w:val="20"/>
                <w:szCs w:val="20"/>
              </w:rPr>
            </w:pPr>
          </w:p>
        </w:tc>
        <w:tc>
          <w:tcPr>
            <w:tcW w:w="858" w:type="dxa"/>
            <w:shd w:val="clear" w:color="auto" w:fill="auto"/>
            <w:vAlign w:val="center"/>
          </w:tcPr>
          <w:p>
            <w:pPr>
              <w:widowControl/>
              <w:adjustRightInd w:val="0"/>
              <w:snapToGrid w:val="0"/>
              <w:jc w:val="center"/>
              <w:rPr>
                <w:color w:val="auto"/>
                <w:kern w:val="0"/>
                <w:sz w:val="20"/>
                <w:szCs w:val="20"/>
              </w:rPr>
            </w:pPr>
          </w:p>
        </w:tc>
        <w:tc>
          <w:tcPr>
            <w:tcW w:w="867" w:type="dxa"/>
            <w:shd w:val="clear" w:color="auto" w:fill="auto"/>
            <w:vAlign w:val="center"/>
          </w:tcPr>
          <w:p>
            <w:pPr>
              <w:widowControl/>
              <w:adjustRightInd w:val="0"/>
              <w:snapToGrid w:val="0"/>
              <w:jc w:val="center"/>
              <w:rPr>
                <w:color w:val="auto"/>
                <w:kern w:val="0"/>
                <w:sz w:val="20"/>
                <w:szCs w:val="20"/>
              </w:rPr>
            </w:pPr>
          </w:p>
        </w:tc>
        <w:tc>
          <w:tcPr>
            <w:tcW w:w="855" w:type="dxa"/>
            <w:shd w:val="clear" w:color="auto" w:fill="auto"/>
            <w:vAlign w:val="center"/>
          </w:tcPr>
          <w:p>
            <w:pPr>
              <w:widowControl/>
              <w:adjustRightInd w:val="0"/>
              <w:snapToGrid w:val="0"/>
              <w:jc w:val="center"/>
              <w:rPr>
                <w:color w:val="auto"/>
                <w:kern w:val="0"/>
                <w:sz w:val="20"/>
                <w:szCs w:val="20"/>
              </w:rPr>
            </w:pPr>
          </w:p>
        </w:tc>
      </w:tr>
    </w:tbl>
    <w:p>
      <w:pPr>
        <w:widowControl/>
        <w:adjustRightInd w:val="0"/>
        <w:snapToGrid w:val="0"/>
        <w:jc w:val="center"/>
        <w:rPr>
          <w:color w:val="auto"/>
          <w:kern w:val="0"/>
          <w:sz w:val="18"/>
          <w:szCs w:val="18"/>
        </w:rPr>
      </w:pPr>
    </w:p>
    <w:p>
      <w:pPr>
        <w:rPr>
          <w:color w:val="auto"/>
          <w:sz w:val="18"/>
          <w:szCs w:val="18"/>
        </w:rPr>
      </w:pPr>
    </w:p>
    <w:p>
      <w:pPr>
        <w:widowControl/>
        <w:jc w:val="left"/>
        <w:rPr>
          <w:color w:val="auto"/>
          <w:kern w:val="0"/>
          <w:sz w:val="18"/>
          <w:szCs w:val="18"/>
        </w:rPr>
        <w:sectPr>
          <w:pgSz w:w="16840" w:h="11907"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bookmarkStart w:id="638" w:name="_Hlk108361043"/>
      <w:r>
        <w:rPr>
          <w:color w:val="auto"/>
          <w:kern w:val="0"/>
          <w:sz w:val="18"/>
          <w:szCs w:val="18"/>
        </w:rPr>
        <w:t>注：变化幅度用正负百分号表示，如增加10%，填+10%；减少10%，填-10%；不变</w:t>
      </w:r>
      <w:bookmarkEnd w:id="637"/>
      <w:bookmarkEnd w:id="638"/>
      <w:r>
        <w:rPr>
          <w:color w:val="auto"/>
          <w:kern w:val="0"/>
          <w:sz w:val="18"/>
          <w:szCs w:val="18"/>
        </w:rPr>
        <w:t>。</w:t>
      </w:r>
    </w:p>
    <w:bookmarkEnd w:id="635"/>
    <w:p>
      <w:pPr>
        <w:rPr>
          <w:color w:val="auto"/>
          <w:sz w:val="32"/>
          <w:szCs w:val="32"/>
        </w:rPr>
      </w:pPr>
      <w:bookmarkStart w:id="639" w:name="_Toc39871133"/>
      <w:bookmarkStart w:id="640" w:name="_Toc32520"/>
      <w:bookmarkStart w:id="641" w:name="_Toc14276"/>
      <w:bookmarkStart w:id="642" w:name="_Toc3967"/>
      <w:bookmarkStart w:id="643" w:name="_Toc117259266"/>
      <w:bookmarkStart w:id="644" w:name="_Toc105489775"/>
      <w:bookmarkStart w:id="645" w:name="_Toc27936"/>
      <w:bookmarkStart w:id="646" w:name="_Toc39871135"/>
      <w:bookmarkStart w:id="647" w:name="_Toc15481651"/>
      <w:bookmarkStart w:id="648" w:name="_Toc15481617"/>
      <w:bookmarkStart w:id="649" w:name="_Toc15482461"/>
      <w:r>
        <w:rPr>
          <w:b/>
          <w:color w:val="auto"/>
          <w:kern w:val="44"/>
          <w:sz w:val="32"/>
          <w:szCs w:val="32"/>
        </w:rPr>
        <w:t>附件4-3</w:t>
      </w:r>
    </w:p>
    <w:p>
      <w:pPr>
        <w:tabs>
          <w:tab w:val="left" w:pos="0"/>
          <w:tab w:val="left" w:pos="6237"/>
        </w:tabs>
        <w:jc w:val="center"/>
        <w:rPr>
          <w:b/>
          <w:color w:val="auto"/>
          <w:kern w:val="0"/>
          <w:sz w:val="28"/>
        </w:rPr>
      </w:pPr>
    </w:p>
    <w:p>
      <w:pPr>
        <w:tabs>
          <w:tab w:val="left" w:pos="0"/>
          <w:tab w:val="left" w:pos="6237"/>
        </w:tabs>
        <w:jc w:val="center"/>
        <w:rPr>
          <w:rFonts w:eastAsia="华文中宋"/>
          <w:b/>
          <w:color w:val="auto"/>
          <w:sz w:val="36"/>
          <w:szCs w:val="40"/>
        </w:rPr>
      </w:pPr>
      <w:r>
        <w:rPr>
          <w:rFonts w:eastAsia="华文中宋"/>
          <w:b/>
          <w:color w:val="auto"/>
          <w:sz w:val="36"/>
          <w:szCs w:val="40"/>
        </w:rPr>
        <w:t>还田地块调查表</w:t>
      </w:r>
    </w:p>
    <w:p>
      <w:pPr>
        <w:tabs>
          <w:tab w:val="left" w:pos="0"/>
          <w:tab w:val="left" w:pos="6237"/>
        </w:tabs>
        <w:jc w:val="center"/>
        <w:rPr>
          <w:rFonts w:eastAsia="华文中宋"/>
          <w:b/>
          <w:color w:val="auto"/>
          <w:sz w:val="36"/>
          <w:szCs w:val="40"/>
        </w:rPr>
      </w:pPr>
    </w:p>
    <w:p>
      <w:pPr>
        <w:rPr>
          <w:color w:val="auto"/>
          <w:kern w:val="0"/>
          <w:sz w:val="18"/>
          <w:u w:val="single"/>
        </w:rPr>
      </w:pPr>
      <w:r>
        <w:rPr>
          <w:color w:val="auto"/>
          <w:kern w:val="0"/>
          <w:sz w:val="18"/>
          <w:u w:val="single"/>
        </w:rPr>
        <w:t xml:space="preserve">       </w:t>
      </w:r>
      <w:r>
        <w:rPr>
          <w:color w:val="auto"/>
          <w:kern w:val="0"/>
          <w:sz w:val="18"/>
        </w:rPr>
        <w:t>县(市/区/旗)</w:t>
      </w:r>
      <w:r>
        <w:rPr>
          <w:color w:val="auto"/>
          <w:kern w:val="0"/>
          <w:sz w:val="18"/>
          <w:u w:val="single"/>
        </w:rPr>
        <w:t xml:space="preserve">      </w:t>
      </w:r>
      <w:r>
        <w:rPr>
          <w:color w:val="auto"/>
          <w:kern w:val="0"/>
          <w:sz w:val="18"/>
        </w:rPr>
        <w:t>乡(镇)</w:t>
      </w:r>
      <w:r>
        <w:rPr>
          <w:color w:val="auto"/>
          <w:kern w:val="0"/>
          <w:sz w:val="18"/>
          <w:u w:val="single"/>
        </w:rPr>
        <w:t xml:space="preserve">         </w:t>
      </w:r>
      <w:r>
        <w:rPr>
          <w:color w:val="auto"/>
          <w:kern w:val="0"/>
          <w:sz w:val="18"/>
        </w:rPr>
        <w:t>村      ２０</w:t>
      </w:r>
      <w:r>
        <w:rPr>
          <w:color w:val="auto"/>
          <w:kern w:val="0"/>
          <w:sz w:val="18"/>
          <w:u w:val="single"/>
        </w:rPr>
        <w:t xml:space="preserve">    </w:t>
      </w:r>
      <w:r>
        <w:rPr>
          <w:color w:val="auto"/>
          <w:kern w:val="0"/>
          <w:sz w:val="18"/>
        </w:rPr>
        <w:t>年      农作物种类及品种：</w:t>
      </w:r>
      <w:r>
        <w:rPr>
          <w:color w:val="auto"/>
          <w:kern w:val="0"/>
          <w:sz w:val="18"/>
          <w:u w:val="single"/>
        </w:rPr>
        <w:t xml:space="preserve">.           </w:t>
      </w:r>
    </w:p>
    <w:p>
      <w:pPr>
        <w:rPr>
          <w:color w:val="auto"/>
        </w:rPr>
      </w:pPr>
    </w:p>
    <w:tbl>
      <w:tblPr>
        <w:tblStyle w:val="10"/>
        <w:tblW w:w="8296" w:type="dxa"/>
        <w:tblInd w:w="0" w:type="dxa"/>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3094"/>
        <w:gridCol w:w="2472"/>
      </w:tblGrid>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trPr>
        <w:tc>
          <w:tcPr>
            <w:tcW w:w="8296" w:type="dxa"/>
            <w:gridSpan w:val="3"/>
          </w:tcPr>
          <w:p>
            <w:pPr>
              <w:rPr>
                <w:color w:val="auto"/>
                <w:sz w:val="18"/>
              </w:rPr>
            </w:pPr>
          </w:p>
          <w:p>
            <w:pPr>
              <w:rPr>
                <w:color w:val="auto"/>
                <w:sz w:val="18"/>
              </w:rPr>
            </w:pPr>
            <w:r>
              <w:rPr>
                <w:color w:val="auto"/>
                <w:sz w:val="18"/>
              </w:rPr>
              <w:t>地块编号：</w:t>
            </w:r>
            <w:r>
              <w:rPr>
                <w:color w:val="auto"/>
                <w:sz w:val="18"/>
                <w:u w:val="single"/>
              </w:rPr>
              <w:t xml:space="preserve">           </w:t>
            </w:r>
            <w:r>
              <w:rPr>
                <w:color w:val="auto"/>
                <w:kern w:val="0"/>
                <w:sz w:val="18"/>
              </w:rPr>
              <w:t xml:space="preserve">  </w:t>
            </w:r>
            <w:r>
              <w:rPr>
                <w:color w:val="auto"/>
                <w:sz w:val="18"/>
              </w:rPr>
              <w:t>地块名称：</w:t>
            </w:r>
            <w:r>
              <w:rPr>
                <w:color w:val="auto"/>
                <w:sz w:val="18"/>
                <w:u w:val="single"/>
              </w:rPr>
              <w:t xml:space="preserve">            </w:t>
            </w:r>
            <w:r>
              <w:rPr>
                <w:color w:val="auto"/>
                <w:sz w:val="18"/>
              </w:rPr>
              <w:t xml:space="preserve">  地块面积（亩）：</w:t>
            </w:r>
            <w:r>
              <w:rPr>
                <w:color w:val="auto"/>
                <w:sz w:val="18"/>
                <w:u w:val="single"/>
              </w:rPr>
              <w:t xml:space="preserve">          </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5824" w:type="dxa"/>
            <w:gridSpan w:val="2"/>
          </w:tcPr>
          <w:p>
            <w:pPr>
              <w:jc w:val="center"/>
              <w:rPr>
                <w:color w:val="auto"/>
                <w:sz w:val="18"/>
              </w:rPr>
            </w:pPr>
            <w:r>
              <w:rPr>
                <w:bCs/>
                <w:color w:val="auto"/>
                <w:sz w:val="18"/>
              </w:rPr>
              <w:t>GPS测量定位点</w:t>
            </w:r>
          </w:p>
        </w:tc>
        <w:tc>
          <w:tcPr>
            <w:tcW w:w="2472" w:type="dxa"/>
            <w:vMerge w:val="restart"/>
            <w:vAlign w:val="center"/>
          </w:tcPr>
          <w:p>
            <w:pPr>
              <w:jc w:val="center"/>
              <w:rPr>
                <w:color w:val="auto"/>
                <w:sz w:val="18"/>
                <w:szCs w:val="18"/>
                <w:lang w:val="zh-CN"/>
              </w:rPr>
            </w:pPr>
            <w:r>
              <w:rPr>
                <w:color w:val="auto"/>
                <w:sz w:val="18"/>
                <w:szCs w:val="18"/>
                <w:lang w:val="zh-CN"/>
              </w:rPr>
              <w:t>标志名称</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2730" w:type="dxa"/>
          </w:tcPr>
          <w:p>
            <w:pPr>
              <w:jc w:val="center"/>
              <w:rPr>
                <w:color w:val="auto"/>
                <w:sz w:val="18"/>
              </w:rPr>
            </w:pPr>
            <w:r>
              <w:rPr>
                <w:bCs/>
                <w:color w:val="auto"/>
                <w:sz w:val="18"/>
              </w:rPr>
              <w:t>定位点编号</w:t>
            </w:r>
          </w:p>
        </w:tc>
        <w:tc>
          <w:tcPr>
            <w:tcW w:w="3094" w:type="dxa"/>
          </w:tcPr>
          <w:p>
            <w:pPr>
              <w:jc w:val="center"/>
              <w:rPr>
                <w:color w:val="auto"/>
                <w:sz w:val="18"/>
                <w:szCs w:val="18"/>
                <w:lang w:val="zh-CN"/>
              </w:rPr>
            </w:pPr>
            <w:r>
              <w:rPr>
                <w:color w:val="auto"/>
                <w:sz w:val="18"/>
                <w:szCs w:val="18"/>
                <w:lang w:val="zh-CN"/>
              </w:rPr>
              <w:t>测量结果</w:t>
            </w:r>
          </w:p>
        </w:tc>
        <w:tc>
          <w:tcPr>
            <w:tcW w:w="2472" w:type="dxa"/>
            <w:vMerge w:val="continue"/>
          </w:tcPr>
          <w:p>
            <w:pP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szCs w:val="18"/>
                <w:lang w:val="zh-CN"/>
              </w:rPr>
            </w:pPr>
            <w:r>
              <w:rPr>
                <w:color w:val="auto"/>
                <w:sz w:val="18"/>
                <w:szCs w:val="18"/>
                <w:lang w:val="zh-CN"/>
              </w:rPr>
              <w:t>01</w:t>
            </w:r>
          </w:p>
        </w:tc>
        <w:tc>
          <w:tcPr>
            <w:tcW w:w="3094" w:type="dxa"/>
          </w:tcPr>
          <w:p>
            <w:pPr>
              <w:jc w:val="left"/>
              <w:rPr>
                <w:color w:val="auto"/>
                <w:sz w:val="18"/>
                <w:szCs w:val="18"/>
                <w:lang w:val="zh-CN"/>
              </w:rPr>
            </w:pPr>
          </w:p>
        </w:tc>
        <w:tc>
          <w:tcPr>
            <w:tcW w:w="2472" w:type="dxa"/>
          </w:tcPr>
          <w:p>
            <w:pPr>
              <w:jc w:val="left"/>
              <w:rPr>
                <w:color w:val="auto"/>
                <w:sz w:val="18"/>
                <w:szCs w:val="18"/>
                <w:lang w:val="zh-CN"/>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02</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03</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 w:hRule="atLeast"/>
        </w:trPr>
        <w:tc>
          <w:tcPr>
            <w:tcW w:w="2730" w:type="dxa"/>
          </w:tcPr>
          <w:p>
            <w:pPr>
              <w:jc w:val="center"/>
              <w:rPr>
                <w:color w:val="auto"/>
                <w:sz w:val="18"/>
              </w:rPr>
            </w:pPr>
            <w:r>
              <w:rPr>
                <w:color w:val="auto"/>
                <w:sz w:val="18"/>
              </w:rPr>
              <w:t>04</w:t>
            </w:r>
          </w:p>
        </w:tc>
        <w:tc>
          <w:tcPr>
            <w:tcW w:w="3094" w:type="dxa"/>
          </w:tcPr>
          <w:p>
            <w:pPr>
              <w:jc w:val="left"/>
              <w:rPr>
                <w:color w:val="auto"/>
                <w:sz w:val="18"/>
                <w:szCs w:val="18"/>
                <w:lang w:val="zh-CN"/>
              </w:rPr>
            </w:pPr>
          </w:p>
        </w:tc>
        <w:tc>
          <w:tcPr>
            <w:tcW w:w="2472" w:type="dxa"/>
          </w:tcPr>
          <w:p>
            <w:pPr>
              <w:jc w:val="center"/>
              <w:rPr>
                <w:color w:val="auto"/>
                <w:sz w:val="18"/>
              </w:rPr>
            </w:pP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730" w:type="dxa"/>
          </w:tcPr>
          <w:p>
            <w:pPr>
              <w:jc w:val="center"/>
              <w:rPr>
                <w:color w:val="auto"/>
                <w:sz w:val="18"/>
              </w:rPr>
            </w:pPr>
            <w:r>
              <w:rPr>
                <w:color w:val="auto"/>
                <w:sz w:val="18"/>
              </w:rPr>
              <w:t>…</w:t>
            </w:r>
          </w:p>
        </w:tc>
        <w:tc>
          <w:tcPr>
            <w:tcW w:w="3094" w:type="dxa"/>
          </w:tcPr>
          <w:p>
            <w:pPr>
              <w:jc w:val="left"/>
              <w:rPr>
                <w:color w:val="auto"/>
                <w:sz w:val="18"/>
                <w:szCs w:val="18"/>
                <w:lang w:val="zh-CN"/>
              </w:rPr>
            </w:pPr>
          </w:p>
        </w:tc>
        <w:tc>
          <w:tcPr>
            <w:tcW w:w="2472" w:type="dxa"/>
          </w:tcPr>
          <w:p>
            <w:pPr>
              <w:jc w:val="center"/>
              <w:rPr>
                <w:color w:val="auto"/>
                <w:sz w:val="18"/>
              </w:rPr>
            </w:pPr>
            <w:r>
              <w:rPr>
                <w:color w:val="auto"/>
                <w:sz w:val="18"/>
              </w:rPr>
              <w:t>…</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9" w:hRule="atLeast"/>
        </w:trPr>
        <w:tc>
          <w:tcPr>
            <w:tcW w:w="8296" w:type="dxa"/>
            <w:gridSpan w:val="3"/>
          </w:tcPr>
          <w:p>
            <w:pPr>
              <w:jc w:val="left"/>
              <w:rPr>
                <w:color w:val="auto"/>
                <w:kern w:val="0"/>
                <w:sz w:val="18"/>
              </w:rPr>
            </w:pPr>
            <w:r>
              <w:rPr>
                <w:b/>
                <w:color w:val="auto"/>
                <w:kern w:val="0"/>
                <w:sz w:val="18"/>
              </w:rPr>
              <w:t>注：</w:t>
            </w:r>
            <w:r>
              <w:rPr>
                <w:color w:val="auto"/>
                <w:kern w:val="0"/>
                <w:sz w:val="18"/>
              </w:rPr>
              <w:t>1.</w:t>
            </w:r>
            <w:r>
              <w:rPr>
                <w:bCs/>
                <w:color w:val="auto"/>
                <w:sz w:val="18"/>
              </w:rPr>
              <w:t xml:space="preserve"> 用GPS对抽样地块主要拐点处的坐标位置定位，将定位点编号，并把测量结果填入表中</w:t>
            </w:r>
            <w:r>
              <w:rPr>
                <w:bCs/>
                <w:color w:val="auto"/>
              </w:rPr>
              <w:t>。</w:t>
            </w:r>
          </w:p>
          <w:p>
            <w:pPr>
              <w:jc w:val="left"/>
              <w:rPr>
                <w:color w:val="auto"/>
                <w:sz w:val="18"/>
              </w:rPr>
            </w:pPr>
            <w:r>
              <w:rPr>
                <w:color w:val="auto"/>
                <w:kern w:val="0"/>
                <w:sz w:val="18"/>
              </w:rPr>
              <w:t>2.</w:t>
            </w:r>
            <w:r>
              <w:rPr>
                <w:bCs/>
                <w:color w:val="auto"/>
                <w:sz w:val="18"/>
              </w:rPr>
              <w:t xml:space="preserve"> 写明抽样地块各个定位点的明显标志，如河流、道路、大树、电线秆等。</w:t>
            </w:r>
          </w:p>
        </w:tc>
      </w:tr>
    </w:tbl>
    <w:p>
      <w:pPr>
        <w:widowControl/>
        <w:jc w:val="left"/>
        <w:rPr>
          <w:rFonts w:eastAsia="Times New Roman"/>
          <w:color w:val="auto"/>
          <w:kern w:val="0"/>
          <w:sz w:val="24"/>
        </w:rPr>
      </w:pPr>
      <w:r>
        <w:rPr>
          <w:color w:val="auto"/>
          <w:kern w:val="0"/>
          <w:sz w:val="18"/>
          <w:szCs w:val="18"/>
          <w:shd w:val="clear" w:color="auto" w:fill="FFFFFF"/>
        </w:rPr>
        <w:t>调查人：                  核验人：                                调查日期：20  年  月  日</w:t>
      </w:r>
    </w:p>
    <w:p>
      <w:pPr>
        <w:rPr>
          <w:color w:val="auto"/>
          <w:sz w:val="32"/>
          <w:szCs w:val="32"/>
        </w:rPr>
      </w:pPr>
      <w:r>
        <w:rPr>
          <w:color w:val="auto"/>
          <w:sz w:val="32"/>
          <w:szCs w:val="32"/>
        </w:rPr>
        <w:br w:type="page"/>
      </w:r>
    </w:p>
    <w:p>
      <w:pPr>
        <w:rPr>
          <w:b/>
          <w:color w:val="auto"/>
          <w:kern w:val="44"/>
          <w:sz w:val="32"/>
          <w:szCs w:val="32"/>
        </w:rPr>
      </w:pPr>
      <w:r>
        <w:rPr>
          <w:b/>
          <w:color w:val="auto"/>
          <w:kern w:val="44"/>
          <w:sz w:val="32"/>
          <w:szCs w:val="32"/>
        </w:rPr>
        <w:t>附件</w:t>
      </w:r>
      <w:bookmarkEnd w:id="639"/>
      <w:bookmarkEnd w:id="640"/>
      <w:bookmarkEnd w:id="641"/>
      <w:bookmarkEnd w:id="642"/>
      <w:bookmarkEnd w:id="643"/>
      <w:bookmarkEnd w:id="644"/>
      <w:bookmarkEnd w:id="645"/>
      <w:r>
        <w:rPr>
          <w:b/>
          <w:color w:val="auto"/>
          <w:kern w:val="44"/>
          <w:sz w:val="32"/>
          <w:szCs w:val="32"/>
        </w:rPr>
        <w:t>4-4</w:t>
      </w:r>
    </w:p>
    <w:bookmarkEnd w:id="646"/>
    <w:p>
      <w:pPr>
        <w:jc w:val="center"/>
        <w:rPr>
          <w:rFonts w:eastAsia="华文中宋"/>
          <w:b/>
          <w:bCs/>
          <w:color w:val="auto"/>
          <w:sz w:val="36"/>
          <w:szCs w:val="40"/>
        </w:rPr>
      </w:pPr>
      <w:bookmarkStart w:id="650" w:name="_Toc13947"/>
      <w:bookmarkStart w:id="651" w:name="_Toc39871136"/>
      <w:r>
        <w:rPr>
          <w:rFonts w:eastAsia="华文中宋"/>
          <w:color w:val="auto"/>
          <w:sz w:val="36"/>
          <w:szCs w:val="40"/>
        </w:rPr>
        <w:t>监测指标调查表</w:t>
      </w:r>
      <w:bookmarkEnd w:id="650"/>
      <w:bookmarkEnd w:id="651"/>
    </w:p>
    <w:p>
      <w:pPr>
        <w:jc w:val="center"/>
        <w:rPr>
          <w:color w:val="auto"/>
        </w:rPr>
      </w:pPr>
    </w:p>
    <w:p>
      <w:pPr>
        <w:jc w:val="center"/>
        <w:rPr>
          <w:color w:val="auto"/>
        </w:rPr>
      </w:pPr>
      <w:r>
        <w:rPr>
          <w:color w:val="auto"/>
        </w:rPr>
        <w:t>调查表1  气象条件和栽培措施相关信息</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2"/>
        <w:gridCol w:w="1073"/>
        <w:gridCol w:w="807"/>
        <w:gridCol w:w="1435"/>
        <w:gridCol w:w="1435"/>
        <w:gridCol w:w="659"/>
        <w:gridCol w:w="775"/>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755"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监测点名称</w:t>
            </w:r>
          </w:p>
        </w:tc>
        <w:tc>
          <w:tcPr>
            <w:tcW w:w="2242"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2094"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监测人员</w:t>
            </w:r>
          </w:p>
        </w:tc>
        <w:tc>
          <w:tcPr>
            <w:tcW w:w="2211" w:type="dxa"/>
            <w:gridSpan w:val="2"/>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755"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平均日照时数</w:t>
            </w:r>
          </w:p>
        </w:tc>
        <w:tc>
          <w:tcPr>
            <w:tcW w:w="2242"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2094"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日平均光照度</w:t>
            </w:r>
          </w:p>
        </w:tc>
        <w:tc>
          <w:tcPr>
            <w:tcW w:w="2211" w:type="dxa"/>
            <w:gridSpan w:val="2"/>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755"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日平均气温</w:t>
            </w:r>
          </w:p>
        </w:tc>
        <w:tc>
          <w:tcPr>
            <w:tcW w:w="2242"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2094"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活动积温</w:t>
            </w:r>
          </w:p>
        </w:tc>
        <w:tc>
          <w:tcPr>
            <w:tcW w:w="2211" w:type="dxa"/>
            <w:gridSpan w:val="2"/>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755"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有效积温</w:t>
            </w:r>
          </w:p>
        </w:tc>
        <w:tc>
          <w:tcPr>
            <w:tcW w:w="2242"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2094" w:type="dxa"/>
            <w:gridSpan w:val="2"/>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年降水量</w:t>
            </w:r>
          </w:p>
        </w:tc>
        <w:tc>
          <w:tcPr>
            <w:tcW w:w="2211" w:type="dxa"/>
            <w:gridSpan w:val="2"/>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2562" w:type="dxa"/>
            <w:gridSpan w:val="3"/>
            <w:shd w:val="clear" w:color="auto" w:fill="auto"/>
            <w:tcMar>
              <w:top w:w="15" w:type="dxa"/>
              <w:left w:w="15" w:type="dxa"/>
              <w:right w:w="15" w:type="dxa"/>
            </w:tcMar>
            <w:vAlign w:val="center"/>
          </w:tcPr>
          <w:p>
            <w:pPr>
              <w:widowControl/>
              <w:jc w:val="left"/>
              <w:textAlignment w:val="center"/>
              <w:rPr>
                <w:color w:val="auto"/>
                <w:kern w:val="0"/>
                <w:szCs w:val="21"/>
                <w:lang w:bidi="ar"/>
              </w:rPr>
            </w:pPr>
            <w:r>
              <w:rPr>
                <w:color w:val="auto"/>
                <w:kern w:val="0"/>
                <w:szCs w:val="21"/>
                <w:lang w:bidi="ar"/>
              </w:rPr>
              <w:t>还田处理</w:t>
            </w:r>
          </w:p>
        </w:tc>
        <w:tc>
          <w:tcPr>
            <w:tcW w:w="1435"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r>
              <w:rPr>
                <w:i/>
                <w:iCs/>
                <w:color w:val="auto"/>
                <w:kern w:val="0"/>
                <w:szCs w:val="21"/>
                <w:lang w:bidi="ar"/>
              </w:rPr>
              <w:t>无还田对照</w:t>
            </w:r>
          </w:p>
        </w:tc>
        <w:tc>
          <w:tcPr>
            <w:tcW w:w="1435"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r>
              <w:rPr>
                <w:i/>
                <w:iCs/>
                <w:color w:val="auto"/>
                <w:kern w:val="0"/>
                <w:szCs w:val="21"/>
                <w:lang w:bidi="ar"/>
              </w:rPr>
              <w:t>还田处理1</w:t>
            </w:r>
          </w:p>
        </w:tc>
        <w:tc>
          <w:tcPr>
            <w:tcW w:w="1434" w:type="dxa"/>
            <w:gridSpan w:val="2"/>
          </w:tcPr>
          <w:p>
            <w:pPr>
              <w:widowControl/>
              <w:jc w:val="center"/>
              <w:textAlignment w:val="center"/>
              <w:rPr>
                <w:b/>
                <w:bCs/>
                <w:i/>
                <w:iCs/>
                <w:color w:val="auto"/>
                <w:kern w:val="0"/>
                <w:szCs w:val="21"/>
                <w:lang w:bidi="ar"/>
              </w:rPr>
            </w:pPr>
            <w:r>
              <w:rPr>
                <w:i/>
                <w:iCs/>
                <w:color w:val="auto"/>
                <w:kern w:val="0"/>
                <w:szCs w:val="21"/>
                <w:lang w:bidi="ar"/>
              </w:rPr>
              <w:t>还田处理2</w:t>
            </w:r>
          </w:p>
        </w:tc>
        <w:tc>
          <w:tcPr>
            <w:tcW w:w="1436"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r>
              <w:rPr>
                <w:i/>
                <w:iCs/>
                <w:color w:val="auto"/>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restart"/>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整地</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日期</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方法</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深度</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次数</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r>
              <w:rPr>
                <w:i/>
                <w:iCs/>
                <w:color w:val="auto"/>
                <w:kern w:val="0"/>
                <w:szCs w:val="21"/>
                <w:lang w:bidi="ar"/>
              </w:rPr>
              <w:t>…</w:t>
            </w:r>
          </w:p>
        </w:tc>
        <w:tc>
          <w:tcPr>
            <w:tcW w:w="1880" w:type="dxa"/>
            <w:gridSpan w:val="2"/>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p>
        </w:tc>
        <w:tc>
          <w:tcPr>
            <w:tcW w:w="1434" w:type="dxa"/>
            <w:gridSpan w:val="2"/>
          </w:tcPr>
          <w:p>
            <w:pPr>
              <w:widowControl/>
              <w:jc w:val="center"/>
              <w:textAlignment w:val="center"/>
              <w:rPr>
                <w:b/>
                <w:bCs/>
                <w:i/>
                <w:iCs/>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restart"/>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施肥</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日期</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种类</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用量</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方式</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i/>
                <w:iCs/>
                <w:color w:val="auto"/>
                <w:kern w:val="0"/>
                <w:szCs w:val="21"/>
                <w:lang w:bidi="ar"/>
              </w:rPr>
              <w:t>…</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restart"/>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病虫草害防治</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农药/农膜/除草剂</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日期</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用量</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方式</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i/>
                <w:iCs/>
                <w:color w:val="auto"/>
                <w:kern w:val="0"/>
                <w:szCs w:val="21"/>
                <w:lang w:bidi="ar"/>
              </w:rPr>
              <w:t>…</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restart"/>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灌溉</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旱田灌溉方式</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vMerge w:val="continue"/>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稻田淹水深度</w:t>
            </w: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682"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i/>
                <w:iCs/>
                <w:color w:val="auto"/>
                <w:kern w:val="0"/>
                <w:szCs w:val="21"/>
                <w:lang w:bidi="ar"/>
              </w:rPr>
              <w:t>…</w:t>
            </w:r>
          </w:p>
        </w:tc>
        <w:tc>
          <w:tcPr>
            <w:tcW w:w="1880"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5"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434" w:type="dxa"/>
            <w:gridSpan w:val="2"/>
          </w:tcPr>
          <w:p>
            <w:pPr>
              <w:widowControl/>
              <w:jc w:val="center"/>
              <w:textAlignment w:val="center"/>
              <w:rPr>
                <w:color w:val="auto"/>
                <w:kern w:val="0"/>
                <w:szCs w:val="21"/>
                <w:lang w:bidi="ar"/>
              </w:rPr>
            </w:pPr>
          </w:p>
        </w:tc>
        <w:tc>
          <w:tcPr>
            <w:tcW w:w="1436" w:type="dxa"/>
            <w:shd w:val="clear" w:color="auto" w:fill="auto"/>
            <w:tcMar>
              <w:top w:w="15" w:type="dxa"/>
              <w:left w:w="15" w:type="dxa"/>
              <w:right w:w="15" w:type="dxa"/>
            </w:tcMar>
            <w:vAlign w:val="center"/>
          </w:tcPr>
          <w:p>
            <w:pPr>
              <w:widowControl/>
              <w:jc w:val="center"/>
              <w:textAlignment w:val="center"/>
              <w:rPr>
                <w:color w:val="auto"/>
                <w:kern w:val="0"/>
                <w:szCs w:val="21"/>
                <w:lang w:bidi="ar"/>
              </w:rPr>
            </w:pPr>
          </w:p>
        </w:tc>
      </w:tr>
    </w:tbl>
    <w:p>
      <w:pPr>
        <w:rPr>
          <w:b/>
          <w:bCs/>
          <w:color w:val="auto"/>
          <w:sz w:val="24"/>
        </w:rPr>
      </w:pPr>
      <w:r>
        <w:rPr>
          <w:color w:val="auto"/>
          <w:sz w:val="24"/>
        </w:rPr>
        <w:t>注：存在多次整地、施肥、病虫草防治等操作过程据实增加记录条目。</w:t>
      </w:r>
    </w:p>
    <w:p>
      <w:pPr>
        <w:jc w:val="center"/>
        <w:rPr>
          <w:color w:val="auto"/>
        </w:rPr>
      </w:pPr>
    </w:p>
    <w:p>
      <w:pPr>
        <w:widowControl/>
        <w:jc w:val="left"/>
        <w:rPr>
          <w:color w:val="auto"/>
        </w:rPr>
      </w:pPr>
      <w:r>
        <w:rPr>
          <w:color w:val="auto"/>
        </w:rPr>
        <w:br w:type="page"/>
      </w:r>
    </w:p>
    <w:p>
      <w:pPr>
        <w:jc w:val="center"/>
        <w:rPr>
          <w:color w:val="auto"/>
        </w:rPr>
      </w:pPr>
      <w:r>
        <w:rPr>
          <w:color w:val="auto"/>
        </w:rPr>
        <w:t>调查表2  作物田间病虫草害情况</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8"/>
        <w:gridCol w:w="818"/>
        <w:gridCol w:w="814"/>
        <w:gridCol w:w="814"/>
        <w:gridCol w:w="806"/>
        <w:gridCol w:w="804"/>
        <w:gridCol w:w="806"/>
        <w:gridCol w:w="804"/>
        <w:gridCol w:w="80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846"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监测点名称</w:t>
            </w:r>
          </w:p>
        </w:tc>
        <w:tc>
          <w:tcPr>
            <w:tcW w:w="2434" w:type="dxa"/>
            <w:gridSpan w:val="3"/>
            <w:shd w:val="clear" w:color="auto" w:fill="auto"/>
            <w:tcMar>
              <w:top w:w="15" w:type="dxa"/>
              <w:left w:w="15" w:type="dxa"/>
              <w:right w:w="15" w:type="dxa"/>
            </w:tcMar>
            <w:vAlign w:val="center"/>
          </w:tcPr>
          <w:p>
            <w:pPr>
              <w:widowControl/>
              <w:jc w:val="center"/>
              <w:textAlignment w:val="center"/>
              <w:rPr>
                <w:color w:val="auto"/>
                <w:szCs w:val="21"/>
              </w:rPr>
            </w:pPr>
          </w:p>
        </w:tc>
        <w:tc>
          <w:tcPr>
            <w:tcW w:w="1610" w:type="dxa"/>
            <w:gridSpan w:val="2"/>
            <w:vAlign w:val="center"/>
          </w:tcPr>
          <w:p>
            <w:pPr>
              <w:widowControl/>
              <w:jc w:val="center"/>
              <w:textAlignment w:val="center"/>
              <w:rPr>
                <w:color w:val="auto"/>
                <w:szCs w:val="21"/>
              </w:rPr>
            </w:pPr>
            <w:r>
              <w:rPr>
                <w:color w:val="auto"/>
                <w:kern w:val="0"/>
                <w:szCs w:val="21"/>
                <w:lang w:bidi="ar"/>
              </w:rPr>
              <w:t>调查面积</w:t>
            </w:r>
          </w:p>
        </w:tc>
        <w:tc>
          <w:tcPr>
            <w:tcW w:w="2412" w:type="dxa"/>
            <w:gridSpan w:val="3"/>
            <w:vAlign w:val="center"/>
          </w:tcPr>
          <w:p>
            <w:pPr>
              <w:widowControl/>
              <w:textAlignment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846" w:type="dxa"/>
            <w:gridSpan w:val="2"/>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调查时间</w:t>
            </w:r>
          </w:p>
        </w:tc>
        <w:tc>
          <w:tcPr>
            <w:tcW w:w="2434" w:type="dxa"/>
            <w:gridSpan w:val="3"/>
            <w:shd w:val="clear" w:color="auto" w:fill="auto"/>
            <w:tcMar>
              <w:top w:w="15" w:type="dxa"/>
              <w:left w:w="15" w:type="dxa"/>
              <w:right w:w="15" w:type="dxa"/>
            </w:tcMar>
            <w:vAlign w:val="center"/>
          </w:tcPr>
          <w:p>
            <w:pPr>
              <w:widowControl/>
              <w:jc w:val="center"/>
              <w:textAlignment w:val="center"/>
              <w:rPr>
                <w:color w:val="auto"/>
                <w:kern w:val="0"/>
                <w:szCs w:val="21"/>
                <w:lang w:bidi="ar"/>
              </w:rPr>
            </w:pPr>
          </w:p>
        </w:tc>
        <w:tc>
          <w:tcPr>
            <w:tcW w:w="1610" w:type="dxa"/>
            <w:gridSpan w:val="2"/>
            <w:vAlign w:val="center"/>
          </w:tcPr>
          <w:p>
            <w:pPr>
              <w:widowControl/>
              <w:jc w:val="center"/>
              <w:textAlignment w:val="center"/>
              <w:rPr>
                <w:color w:val="auto"/>
                <w:kern w:val="0"/>
                <w:szCs w:val="21"/>
                <w:lang w:bidi="ar"/>
              </w:rPr>
            </w:pPr>
            <w:r>
              <w:rPr>
                <w:color w:val="auto"/>
                <w:kern w:val="0"/>
                <w:szCs w:val="21"/>
                <w:lang w:bidi="ar"/>
              </w:rPr>
              <w:t>调查人员</w:t>
            </w:r>
          </w:p>
        </w:tc>
        <w:tc>
          <w:tcPr>
            <w:tcW w:w="2412" w:type="dxa"/>
            <w:gridSpan w:val="3"/>
            <w:vAlign w:val="center"/>
          </w:tcPr>
          <w:p>
            <w:pPr>
              <w:widowControl/>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shd w:val="clear" w:color="auto" w:fill="auto"/>
            <w:tcMar>
              <w:top w:w="15" w:type="dxa"/>
              <w:left w:w="15" w:type="dxa"/>
              <w:right w:w="15" w:type="dxa"/>
            </w:tcMar>
            <w:vAlign w:val="center"/>
          </w:tcPr>
          <w:p>
            <w:pPr>
              <w:jc w:val="center"/>
              <w:rPr>
                <w:color w:val="auto"/>
                <w:kern w:val="0"/>
                <w:szCs w:val="21"/>
                <w:lang w:bidi="ar"/>
              </w:rPr>
            </w:pPr>
            <w:r>
              <w:rPr>
                <w:color w:val="auto"/>
                <w:kern w:val="0"/>
                <w:szCs w:val="21"/>
                <w:lang w:bidi="ar"/>
              </w:rPr>
              <w:t>还田</w:t>
            </w:r>
          </w:p>
          <w:p>
            <w:pPr>
              <w:jc w:val="center"/>
              <w:rPr>
                <w:color w:val="auto"/>
                <w:szCs w:val="21"/>
              </w:rPr>
            </w:pPr>
            <w:r>
              <w:rPr>
                <w:color w:val="auto"/>
                <w:kern w:val="0"/>
                <w:szCs w:val="21"/>
                <w:lang w:bidi="ar"/>
              </w:rPr>
              <w:t>处理</w:t>
            </w:r>
          </w:p>
        </w:tc>
        <w:tc>
          <w:tcPr>
            <w:tcW w:w="818"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病害</w:t>
            </w:r>
          </w:p>
          <w:p>
            <w:pPr>
              <w:widowControl/>
              <w:jc w:val="center"/>
              <w:textAlignment w:val="center"/>
              <w:rPr>
                <w:color w:val="auto"/>
                <w:szCs w:val="21"/>
              </w:rPr>
            </w:pPr>
            <w:r>
              <w:rPr>
                <w:color w:val="auto"/>
                <w:kern w:val="0"/>
                <w:szCs w:val="21"/>
                <w:lang w:bidi="ar"/>
              </w:rPr>
              <w:t>种类</w:t>
            </w:r>
          </w:p>
        </w:tc>
        <w:tc>
          <w:tcPr>
            <w:tcW w:w="814" w:type="dxa"/>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发病率</w:t>
            </w:r>
          </w:p>
        </w:tc>
        <w:tc>
          <w:tcPr>
            <w:tcW w:w="814"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病情</w:t>
            </w:r>
          </w:p>
          <w:p>
            <w:pPr>
              <w:widowControl/>
              <w:jc w:val="center"/>
              <w:textAlignment w:val="center"/>
              <w:rPr>
                <w:color w:val="auto"/>
                <w:szCs w:val="21"/>
              </w:rPr>
            </w:pPr>
            <w:r>
              <w:rPr>
                <w:color w:val="auto"/>
                <w:kern w:val="0"/>
                <w:szCs w:val="21"/>
                <w:lang w:bidi="ar"/>
              </w:rPr>
              <w:t>指数</w:t>
            </w:r>
          </w:p>
        </w:tc>
        <w:tc>
          <w:tcPr>
            <w:tcW w:w="806" w:type="dxa"/>
            <w:vAlign w:val="center"/>
          </w:tcPr>
          <w:p>
            <w:pPr>
              <w:widowControl/>
              <w:jc w:val="center"/>
              <w:textAlignment w:val="center"/>
              <w:rPr>
                <w:color w:val="auto"/>
                <w:kern w:val="0"/>
                <w:szCs w:val="21"/>
                <w:lang w:bidi="ar"/>
              </w:rPr>
            </w:pPr>
            <w:r>
              <w:rPr>
                <w:color w:val="auto"/>
                <w:kern w:val="0"/>
                <w:szCs w:val="21"/>
                <w:lang w:bidi="ar"/>
              </w:rPr>
              <w:t>害虫</w:t>
            </w:r>
          </w:p>
          <w:p>
            <w:pPr>
              <w:widowControl/>
              <w:jc w:val="center"/>
              <w:textAlignment w:val="center"/>
              <w:rPr>
                <w:color w:val="auto"/>
                <w:kern w:val="0"/>
                <w:szCs w:val="21"/>
                <w:lang w:bidi="ar"/>
              </w:rPr>
            </w:pPr>
            <w:r>
              <w:rPr>
                <w:color w:val="auto"/>
                <w:kern w:val="0"/>
                <w:szCs w:val="21"/>
                <w:lang w:bidi="ar"/>
              </w:rPr>
              <w:t>种类</w:t>
            </w:r>
          </w:p>
        </w:tc>
        <w:tc>
          <w:tcPr>
            <w:tcW w:w="804" w:type="dxa"/>
            <w:vAlign w:val="center"/>
          </w:tcPr>
          <w:p>
            <w:pPr>
              <w:widowControl/>
              <w:jc w:val="center"/>
              <w:textAlignment w:val="center"/>
              <w:rPr>
                <w:color w:val="auto"/>
                <w:kern w:val="0"/>
                <w:szCs w:val="21"/>
                <w:lang w:bidi="ar"/>
              </w:rPr>
            </w:pPr>
            <w:r>
              <w:rPr>
                <w:color w:val="auto"/>
                <w:kern w:val="0"/>
                <w:szCs w:val="21"/>
                <w:lang w:bidi="ar"/>
              </w:rPr>
              <w:t>虫口</w:t>
            </w:r>
          </w:p>
          <w:p>
            <w:pPr>
              <w:widowControl/>
              <w:jc w:val="center"/>
              <w:textAlignment w:val="center"/>
              <w:rPr>
                <w:color w:val="auto"/>
                <w:kern w:val="0"/>
                <w:szCs w:val="21"/>
                <w:lang w:bidi="ar"/>
              </w:rPr>
            </w:pPr>
            <w:r>
              <w:rPr>
                <w:color w:val="auto"/>
                <w:kern w:val="0"/>
                <w:szCs w:val="21"/>
                <w:lang w:bidi="ar"/>
              </w:rPr>
              <w:t>密度</w:t>
            </w:r>
          </w:p>
        </w:tc>
        <w:tc>
          <w:tcPr>
            <w:tcW w:w="806" w:type="dxa"/>
            <w:vAlign w:val="center"/>
          </w:tcPr>
          <w:p>
            <w:pPr>
              <w:widowControl/>
              <w:jc w:val="center"/>
              <w:textAlignment w:val="center"/>
              <w:rPr>
                <w:color w:val="auto"/>
                <w:kern w:val="0"/>
                <w:szCs w:val="21"/>
                <w:lang w:bidi="ar"/>
              </w:rPr>
            </w:pPr>
            <w:r>
              <w:rPr>
                <w:color w:val="auto"/>
                <w:kern w:val="0"/>
                <w:szCs w:val="21"/>
                <w:lang w:bidi="ar"/>
              </w:rPr>
              <w:t>为害率</w:t>
            </w:r>
          </w:p>
        </w:tc>
        <w:tc>
          <w:tcPr>
            <w:tcW w:w="804" w:type="dxa"/>
            <w:vAlign w:val="center"/>
          </w:tcPr>
          <w:p>
            <w:pPr>
              <w:widowControl/>
              <w:jc w:val="center"/>
              <w:textAlignment w:val="center"/>
              <w:rPr>
                <w:color w:val="auto"/>
                <w:kern w:val="0"/>
                <w:szCs w:val="21"/>
                <w:lang w:bidi="ar"/>
              </w:rPr>
            </w:pPr>
            <w:r>
              <w:rPr>
                <w:color w:val="auto"/>
                <w:kern w:val="0"/>
                <w:szCs w:val="21"/>
                <w:lang w:bidi="ar"/>
              </w:rPr>
              <w:t>杂草</w:t>
            </w:r>
          </w:p>
          <w:p>
            <w:pPr>
              <w:widowControl/>
              <w:jc w:val="center"/>
              <w:textAlignment w:val="center"/>
              <w:rPr>
                <w:color w:val="auto"/>
                <w:kern w:val="0"/>
                <w:szCs w:val="21"/>
                <w:lang w:bidi="ar"/>
              </w:rPr>
            </w:pPr>
            <w:r>
              <w:rPr>
                <w:color w:val="auto"/>
                <w:kern w:val="0"/>
                <w:szCs w:val="21"/>
                <w:lang w:bidi="ar"/>
              </w:rPr>
              <w:t>种类</w:t>
            </w:r>
          </w:p>
        </w:tc>
        <w:tc>
          <w:tcPr>
            <w:tcW w:w="804" w:type="dxa"/>
            <w:vAlign w:val="center"/>
          </w:tcPr>
          <w:p>
            <w:pPr>
              <w:widowControl/>
              <w:jc w:val="center"/>
              <w:textAlignment w:val="center"/>
              <w:rPr>
                <w:color w:val="auto"/>
                <w:kern w:val="0"/>
                <w:szCs w:val="21"/>
                <w:lang w:bidi="ar"/>
              </w:rPr>
            </w:pPr>
            <w:r>
              <w:rPr>
                <w:color w:val="auto"/>
                <w:kern w:val="0"/>
                <w:szCs w:val="21"/>
                <w:lang w:bidi="ar"/>
              </w:rPr>
              <w:t>株 数</w:t>
            </w:r>
          </w:p>
        </w:tc>
        <w:tc>
          <w:tcPr>
            <w:tcW w:w="804" w:type="dxa"/>
            <w:vAlign w:val="center"/>
          </w:tcPr>
          <w:p>
            <w:pPr>
              <w:widowControl/>
              <w:jc w:val="center"/>
              <w:textAlignment w:val="center"/>
              <w:rPr>
                <w:color w:val="auto"/>
                <w:kern w:val="0"/>
                <w:szCs w:val="21"/>
                <w:lang w:bidi="ar"/>
              </w:rPr>
            </w:pPr>
            <w:r>
              <w:rPr>
                <w:color w:val="auto"/>
                <w:kern w:val="0"/>
                <w:szCs w:val="21"/>
                <w:lang w:bidi="ar"/>
              </w:rPr>
              <w:t>覆盖度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restart"/>
            <w:shd w:val="clear" w:color="auto" w:fill="auto"/>
            <w:tcMar>
              <w:top w:w="15" w:type="dxa"/>
              <w:left w:w="15" w:type="dxa"/>
              <w:right w:w="15" w:type="dxa"/>
            </w:tcMar>
            <w:vAlign w:val="center"/>
          </w:tcPr>
          <w:p>
            <w:pPr>
              <w:widowControl/>
              <w:jc w:val="center"/>
              <w:textAlignment w:val="center"/>
              <w:rPr>
                <w:b/>
                <w:bCs/>
                <w:i/>
                <w:iCs/>
                <w:color w:val="auto"/>
                <w:kern w:val="0"/>
                <w:szCs w:val="21"/>
                <w:lang w:bidi="ar"/>
              </w:rPr>
            </w:pPr>
            <w:r>
              <w:rPr>
                <w:i/>
                <w:iCs/>
                <w:color w:val="auto"/>
                <w:kern w:val="0"/>
                <w:szCs w:val="21"/>
                <w:lang w:bidi="ar"/>
              </w:rPr>
              <w:t>无还田</w:t>
            </w:r>
          </w:p>
          <w:p>
            <w:pPr>
              <w:widowControl/>
              <w:jc w:val="center"/>
              <w:textAlignment w:val="center"/>
              <w:rPr>
                <w:i/>
                <w:iCs/>
                <w:color w:val="auto"/>
                <w:szCs w:val="21"/>
              </w:rPr>
            </w:pPr>
            <w:r>
              <w:rPr>
                <w:i/>
                <w:iCs/>
                <w:color w:val="auto"/>
                <w:kern w:val="0"/>
                <w:szCs w:val="21"/>
                <w:lang w:bidi="ar"/>
              </w:rPr>
              <w:t>对照</w:t>
            </w: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病害1</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虫害1</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草害1</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病害2</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虫害2</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草害2</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病害3</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虫害3</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草害3</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restart"/>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还田处理1</w:t>
            </w: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病害1</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虫害1</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草害1</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病害2</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虫害2</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草害2</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病害3</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虫害3</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草害3</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restart"/>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还田处理2</w:t>
            </w: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病害1</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虫害1</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草害1</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病害2</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虫害2</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草害2</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病害3</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虫害3</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草害3</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vMerge w:val="continue"/>
            <w:shd w:val="clear" w:color="auto" w:fill="auto"/>
            <w:tcMar>
              <w:top w:w="15" w:type="dxa"/>
              <w:left w:w="15" w:type="dxa"/>
              <w:right w:w="15" w:type="dxa"/>
            </w:tcMar>
            <w:vAlign w:val="center"/>
          </w:tcPr>
          <w:p>
            <w:pPr>
              <w:jc w:val="center"/>
              <w:rPr>
                <w:i/>
                <w:iCs/>
                <w:color w:val="auto"/>
                <w:szCs w:val="21"/>
              </w:rPr>
            </w:pPr>
          </w:p>
        </w:tc>
        <w:tc>
          <w:tcPr>
            <w:tcW w:w="81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w:t>
            </w: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r>
              <w:rPr>
                <w:i/>
                <w:iCs/>
                <w:color w:val="auto"/>
                <w:kern w:val="0"/>
                <w:szCs w:val="21"/>
                <w:lang w:bidi="ar"/>
              </w:rPr>
              <w:t>……</w:t>
            </w: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b/>
                <w:bCs/>
                <w:i/>
                <w:iCs/>
                <w:color w:val="auto"/>
                <w:kern w:val="0"/>
                <w:szCs w:val="21"/>
                <w:lang w:bidi="ar"/>
              </w:rPr>
            </w:pPr>
            <w:r>
              <w:rPr>
                <w:i/>
                <w:iCs/>
                <w:color w:val="auto"/>
                <w:kern w:val="0"/>
                <w:szCs w:val="21"/>
                <w:lang w:bidi="ar"/>
              </w:rPr>
              <w:t>……</w:t>
            </w:r>
          </w:p>
        </w:tc>
        <w:tc>
          <w:tcPr>
            <w:tcW w:w="804" w:type="dxa"/>
            <w:vAlign w:val="center"/>
          </w:tcPr>
          <w:p>
            <w:pPr>
              <w:jc w:val="center"/>
              <w:rPr>
                <w:color w:val="auto"/>
                <w:szCs w:val="21"/>
              </w:rPr>
            </w:pPr>
          </w:p>
        </w:tc>
        <w:tc>
          <w:tcPr>
            <w:tcW w:w="804"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028" w:type="dxa"/>
            <w:shd w:val="clear" w:color="auto" w:fill="auto"/>
            <w:tcMar>
              <w:top w:w="15" w:type="dxa"/>
              <w:left w:w="15" w:type="dxa"/>
              <w:right w:w="15" w:type="dxa"/>
            </w:tcMar>
            <w:vAlign w:val="center"/>
          </w:tcPr>
          <w:p>
            <w:pPr>
              <w:widowControl/>
              <w:jc w:val="center"/>
              <w:textAlignment w:val="center"/>
              <w:rPr>
                <w:i/>
                <w:iCs/>
                <w:color w:val="auto"/>
                <w:szCs w:val="21"/>
              </w:rPr>
            </w:pPr>
            <w:r>
              <w:rPr>
                <w:i/>
                <w:iCs/>
                <w:color w:val="auto"/>
                <w:kern w:val="0"/>
                <w:szCs w:val="21"/>
                <w:lang w:bidi="ar"/>
              </w:rPr>
              <w:t>……</w:t>
            </w:r>
          </w:p>
        </w:tc>
        <w:tc>
          <w:tcPr>
            <w:tcW w:w="818" w:type="dxa"/>
            <w:shd w:val="clear" w:color="auto" w:fill="auto"/>
            <w:tcMar>
              <w:top w:w="15" w:type="dxa"/>
              <w:left w:w="15" w:type="dxa"/>
              <w:right w:w="15" w:type="dxa"/>
            </w:tcMar>
            <w:vAlign w:val="center"/>
          </w:tcPr>
          <w:p>
            <w:pPr>
              <w:jc w:val="center"/>
              <w:rPr>
                <w:i/>
                <w:iCs/>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14" w:type="dxa"/>
            <w:shd w:val="clear" w:color="auto" w:fill="auto"/>
            <w:tcMar>
              <w:top w:w="15" w:type="dxa"/>
              <w:left w:w="15" w:type="dxa"/>
              <w:right w:w="15" w:type="dxa"/>
            </w:tcMar>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color w:val="auto"/>
                <w:szCs w:val="21"/>
              </w:rPr>
            </w:pPr>
          </w:p>
        </w:tc>
        <w:tc>
          <w:tcPr>
            <w:tcW w:w="806" w:type="dxa"/>
            <w:vAlign w:val="center"/>
          </w:tcPr>
          <w:p>
            <w:pPr>
              <w:jc w:val="center"/>
              <w:rPr>
                <w:color w:val="auto"/>
                <w:szCs w:val="21"/>
              </w:rPr>
            </w:pPr>
          </w:p>
        </w:tc>
        <w:tc>
          <w:tcPr>
            <w:tcW w:w="804" w:type="dxa"/>
            <w:vAlign w:val="center"/>
          </w:tcPr>
          <w:p>
            <w:pPr>
              <w:jc w:val="center"/>
              <w:rPr>
                <w:color w:val="auto"/>
                <w:szCs w:val="21"/>
              </w:rPr>
            </w:pPr>
          </w:p>
        </w:tc>
        <w:tc>
          <w:tcPr>
            <w:tcW w:w="804" w:type="dxa"/>
            <w:vAlign w:val="center"/>
          </w:tcPr>
          <w:p>
            <w:pPr>
              <w:jc w:val="center"/>
              <w:rPr>
                <w:color w:val="auto"/>
                <w:szCs w:val="21"/>
              </w:rPr>
            </w:pPr>
          </w:p>
        </w:tc>
        <w:tc>
          <w:tcPr>
            <w:tcW w:w="804" w:type="dxa"/>
            <w:vAlign w:val="center"/>
          </w:tcPr>
          <w:p>
            <w:pPr>
              <w:jc w:val="center"/>
              <w:rPr>
                <w:color w:val="auto"/>
                <w:szCs w:val="21"/>
              </w:rPr>
            </w:pPr>
          </w:p>
        </w:tc>
      </w:tr>
    </w:tbl>
    <w:p>
      <w:pPr>
        <w:ind w:firstLine="643"/>
        <w:rPr>
          <w:color w:val="auto"/>
        </w:rPr>
      </w:pPr>
      <w:r>
        <w:rPr>
          <w:color w:val="auto"/>
        </w:rPr>
        <w:br w:type="page"/>
      </w:r>
    </w:p>
    <w:p>
      <w:pPr>
        <w:jc w:val="center"/>
        <w:rPr>
          <w:color w:val="auto"/>
        </w:rPr>
      </w:pPr>
    </w:p>
    <w:p>
      <w:pPr>
        <w:jc w:val="center"/>
        <w:rPr>
          <w:color w:val="auto"/>
        </w:rPr>
      </w:pPr>
      <w:r>
        <w:rPr>
          <w:color w:val="auto"/>
        </w:rPr>
        <w:t>调查表3  作物生产情况</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1470"/>
        <w:gridCol w:w="251"/>
        <w:gridCol w:w="1217"/>
        <w:gridCol w:w="858"/>
        <w:gridCol w:w="609"/>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监测点名称</w:t>
            </w:r>
          </w:p>
        </w:tc>
        <w:tc>
          <w:tcPr>
            <w:tcW w:w="1721" w:type="dxa"/>
            <w:gridSpan w:val="2"/>
            <w:shd w:val="clear" w:color="auto" w:fill="auto"/>
            <w:tcMar>
              <w:top w:w="15" w:type="dxa"/>
              <w:left w:w="15" w:type="dxa"/>
              <w:right w:w="15" w:type="dxa"/>
            </w:tcMar>
            <w:vAlign w:val="center"/>
          </w:tcPr>
          <w:p>
            <w:pPr>
              <w:jc w:val="center"/>
              <w:rPr>
                <w:color w:val="auto"/>
                <w:szCs w:val="21"/>
              </w:rPr>
            </w:pPr>
          </w:p>
        </w:tc>
        <w:tc>
          <w:tcPr>
            <w:tcW w:w="2075"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调查时间</w:t>
            </w:r>
          </w:p>
        </w:tc>
        <w:tc>
          <w:tcPr>
            <w:tcW w:w="2073" w:type="dxa"/>
            <w:gridSpan w:val="2"/>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调查面积</w:t>
            </w:r>
          </w:p>
        </w:tc>
        <w:tc>
          <w:tcPr>
            <w:tcW w:w="1721" w:type="dxa"/>
            <w:gridSpan w:val="2"/>
            <w:shd w:val="clear" w:color="auto" w:fill="auto"/>
            <w:tcMar>
              <w:top w:w="15" w:type="dxa"/>
              <w:left w:w="15" w:type="dxa"/>
              <w:right w:w="15" w:type="dxa"/>
            </w:tcMar>
            <w:vAlign w:val="center"/>
          </w:tcPr>
          <w:p>
            <w:pPr>
              <w:jc w:val="center"/>
              <w:rPr>
                <w:color w:val="auto"/>
                <w:szCs w:val="21"/>
              </w:rPr>
            </w:pPr>
          </w:p>
        </w:tc>
        <w:tc>
          <w:tcPr>
            <w:tcW w:w="2075"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调查人员</w:t>
            </w:r>
          </w:p>
        </w:tc>
        <w:tc>
          <w:tcPr>
            <w:tcW w:w="2073" w:type="dxa"/>
            <w:gridSpan w:val="2"/>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还田处理</w:t>
            </w:r>
          </w:p>
        </w:tc>
        <w:tc>
          <w:tcPr>
            <w:tcW w:w="1470" w:type="dxa"/>
            <w:shd w:val="clear" w:color="auto" w:fill="auto"/>
            <w:tcMar>
              <w:top w:w="15" w:type="dxa"/>
              <w:left w:w="15" w:type="dxa"/>
              <w:right w:w="15" w:type="dxa"/>
            </w:tcMar>
            <w:vAlign w:val="center"/>
          </w:tcPr>
          <w:p>
            <w:pPr>
              <w:jc w:val="center"/>
              <w:rPr>
                <w:b/>
                <w:bCs/>
                <w:i/>
                <w:iCs/>
                <w:color w:val="auto"/>
                <w:szCs w:val="21"/>
              </w:rPr>
            </w:pPr>
            <w:r>
              <w:rPr>
                <w:i/>
                <w:iCs/>
                <w:color w:val="auto"/>
                <w:szCs w:val="21"/>
              </w:rPr>
              <w:t>无还田对照</w:t>
            </w:r>
          </w:p>
        </w:tc>
        <w:tc>
          <w:tcPr>
            <w:tcW w:w="1468" w:type="dxa"/>
            <w:gridSpan w:val="2"/>
            <w:shd w:val="clear" w:color="auto" w:fill="auto"/>
            <w:tcMar>
              <w:top w:w="15" w:type="dxa"/>
              <w:left w:w="15" w:type="dxa"/>
              <w:right w:w="15" w:type="dxa"/>
            </w:tcMar>
            <w:vAlign w:val="center"/>
          </w:tcPr>
          <w:p>
            <w:pPr>
              <w:jc w:val="center"/>
              <w:rPr>
                <w:b/>
                <w:bCs/>
                <w:i/>
                <w:iCs/>
                <w:color w:val="auto"/>
                <w:szCs w:val="21"/>
              </w:rPr>
            </w:pPr>
            <w:r>
              <w:rPr>
                <w:i/>
                <w:iCs/>
                <w:color w:val="auto"/>
                <w:szCs w:val="21"/>
              </w:rPr>
              <w:t>还田处理1</w:t>
            </w:r>
          </w:p>
        </w:tc>
        <w:tc>
          <w:tcPr>
            <w:tcW w:w="1467" w:type="dxa"/>
            <w:gridSpan w:val="2"/>
            <w:shd w:val="clear" w:color="auto" w:fill="auto"/>
            <w:tcMar>
              <w:top w:w="15" w:type="dxa"/>
              <w:left w:w="15" w:type="dxa"/>
              <w:right w:w="15" w:type="dxa"/>
            </w:tcMar>
            <w:vAlign w:val="center"/>
          </w:tcPr>
          <w:p>
            <w:pPr>
              <w:jc w:val="center"/>
              <w:rPr>
                <w:b/>
                <w:bCs/>
                <w:i/>
                <w:iCs/>
                <w:color w:val="auto"/>
                <w:szCs w:val="21"/>
              </w:rPr>
            </w:pPr>
            <w:r>
              <w:rPr>
                <w:i/>
                <w:iCs/>
                <w:color w:val="auto"/>
                <w:szCs w:val="21"/>
              </w:rPr>
              <w:t>还田处理2</w:t>
            </w:r>
          </w:p>
        </w:tc>
        <w:tc>
          <w:tcPr>
            <w:tcW w:w="1464" w:type="dxa"/>
            <w:shd w:val="clear" w:color="auto" w:fill="auto"/>
            <w:tcMar>
              <w:top w:w="15" w:type="dxa"/>
              <w:left w:w="15" w:type="dxa"/>
              <w:right w:w="15" w:type="dxa"/>
            </w:tcMar>
            <w:vAlign w:val="center"/>
          </w:tcPr>
          <w:p>
            <w:pPr>
              <w:jc w:val="center"/>
              <w:rPr>
                <w:b/>
                <w:bCs/>
                <w:i/>
                <w:iCs/>
                <w:color w:val="auto"/>
                <w:szCs w:val="21"/>
              </w:rPr>
            </w:pPr>
            <w:r>
              <w:rPr>
                <w:i/>
                <w:i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作物种类</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品种名称</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种植(育苗、移栽)日期</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收获日期</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粮食实际产量</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秸秆腐解率</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33" w:type="dxa"/>
            <w:shd w:val="clear" w:color="auto" w:fill="auto"/>
            <w:tcMar>
              <w:top w:w="15" w:type="dxa"/>
              <w:left w:w="15" w:type="dxa"/>
              <w:right w:w="15" w:type="dxa"/>
            </w:tcMar>
            <w:vAlign w:val="center"/>
          </w:tcPr>
          <w:p>
            <w:pPr>
              <w:widowControl/>
              <w:jc w:val="center"/>
              <w:textAlignment w:val="center"/>
              <w:rPr>
                <w:color w:val="auto"/>
                <w:kern w:val="0"/>
                <w:szCs w:val="21"/>
                <w:lang w:bidi="ar"/>
              </w:rPr>
            </w:pPr>
            <w:r>
              <w:rPr>
                <w:color w:val="auto"/>
                <w:kern w:val="0"/>
                <w:szCs w:val="21"/>
                <w:lang w:bidi="ar"/>
              </w:rPr>
              <w:t>秸秆碳氮磷钾含量</w:t>
            </w:r>
          </w:p>
        </w:tc>
        <w:tc>
          <w:tcPr>
            <w:tcW w:w="1470" w:type="dxa"/>
            <w:shd w:val="clear" w:color="auto" w:fill="auto"/>
            <w:tcMar>
              <w:top w:w="15" w:type="dxa"/>
              <w:left w:w="15" w:type="dxa"/>
              <w:right w:w="15" w:type="dxa"/>
            </w:tcMar>
            <w:vAlign w:val="center"/>
          </w:tcPr>
          <w:p>
            <w:pPr>
              <w:jc w:val="center"/>
              <w:rPr>
                <w:color w:val="auto"/>
                <w:szCs w:val="21"/>
              </w:rPr>
            </w:pPr>
          </w:p>
        </w:tc>
        <w:tc>
          <w:tcPr>
            <w:tcW w:w="1468" w:type="dxa"/>
            <w:gridSpan w:val="2"/>
            <w:shd w:val="clear" w:color="auto" w:fill="auto"/>
            <w:tcMar>
              <w:top w:w="15" w:type="dxa"/>
              <w:left w:w="15" w:type="dxa"/>
              <w:right w:w="15" w:type="dxa"/>
            </w:tcMar>
            <w:vAlign w:val="center"/>
          </w:tcPr>
          <w:p>
            <w:pPr>
              <w:jc w:val="center"/>
              <w:rPr>
                <w:color w:val="auto"/>
                <w:szCs w:val="21"/>
              </w:rPr>
            </w:pPr>
          </w:p>
        </w:tc>
        <w:tc>
          <w:tcPr>
            <w:tcW w:w="1467" w:type="dxa"/>
            <w:gridSpan w:val="2"/>
            <w:shd w:val="clear" w:color="auto" w:fill="auto"/>
            <w:tcMar>
              <w:top w:w="15" w:type="dxa"/>
              <w:left w:w="15" w:type="dxa"/>
              <w:right w:w="15" w:type="dxa"/>
            </w:tcMar>
            <w:vAlign w:val="center"/>
          </w:tcPr>
          <w:p>
            <w:pPr>
              <w:jc w:val="center"/>
              <w:rPr>
                <w:color w:val="auto"/>
                <w:szCs w:val="21"/>
              </w:rPr>
            </w:pPr>
          </w:p>
        </w:tc>
        <w:tc>
          <w:tcPr>
            <w:tcW w:w="1464" w:type="dxa"/>
            <w:shd w:val="clear" w:color="auto" w:fill="auto"/>
            <w:tcMar>
              <w:top w:w="15" w:type="dxa"/>
              <w:left w:w="15" w:type="dxa"/>
              <w:right w:w="15" w:type="dxa"/>
            </w:tcMar>
            <w:vAlign w:val="center"/>
          </w:tcPr>
          <w:p>
            <w:pPr>
              <w:jc w:val="center"/>
              <w:rPr>
                <w:color w:val="auto"/>
                <w:szCs w:val="21"/>
              </w:rPr>
            </w:pPr>
          </w:p>
        </w:tc>
      </w:tr>
    </w:tbl>
    <w:p>
      <w:pPr>
        <w:ind w:firstLine="643"/>
        <w:rPr>
          <w:color w:val="auto"/>
        </w:rPr>
      </w:pPr>
      <w:r>
        <w:rPr>
          <w:color w:val="auto"/>
        </w:rPr>
        <w:br w:type="page"/>
      </w:r>
    </w:p>
    <w:p>
      <w:pPr>
        <w:jc w:val="center"/>
        <w:rPr>
          <w:color w:val="auto"/>
        </w:rPr>
      </w:pPr>
    </w:p>
    <w:p>
      <w:pPr>
        <w:jc w:val="center"/>
        <w:rPr>
          <w:color w:val="auto"/>
        </w:rPr>
      </w:pPr>
      <w:r>
        <w:rPr>
          <w:color w:val="auto"/>
        </w:rPr>
        <w:t>调查表4  土壤情况</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5"/>
        <w:gridCol w:w="1275"/>
        <w:gridCol w:w="732"/>
        <w:gridCol w:w="1358"/>
        <w:gridCol w:w="1357"/>
        <w:gridCol w:w="654"/>
        <w:gridCol w:w="68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150"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监测点名称</w:t>
            </w:r>
          </w:p>
        </w:tc>
        <w:tc>
          <w:tcPr>
            <w:tcW w:w="2090" w:type="dxa"/>
            <w:gridSpan w:val="2"/>
            <w:shd w:val="clear" w:color="auto" w:fill="auto"/>
            <w:tcMar>
              <w:top w:w="15" w:type="dxa"/>
              <w:left w:w="15" w:type="dxa"/>
              <w:right w:w="15" w:type="dxa"/>
            </w:tcMar>
            <w:vAlign w:val="center"/>
          </w:tcPr>
          <w:p>
            <w:pPr>
              <w:widowControl/>
              <w:jc w:val="center"/>
              <w:rPr>
                <w:color w:val="auto"/>
                <w:szCs w:val="21"/>
              </w:rPr>
            </w:pPr>
          </w:p>
        </w:tc>
        <w:tc>
          <w:tcPr>
            <w:tcW w:w="2011"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调查时间</w:t>
            </w:r>
          </w:p>
        </w:tc>
        <w:tc>
          <w:tcPr>
            <w:tcW w:w="2051" w:type="dxa"/>
            <w:gridSpan w:val="2"/>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150"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调查面积</w:t>
            </w:r>
          </w:p>
        </w:tc>
        <w:tc>
          <w:tcPr>
            <w:tcW w:w="2090" w:type="dxa"/>
            <w:gridSpan w:val="2"/>
            <w:shd w:val="clear" w:color="auto" w:fill="auto"/>
            <w:tcMar>
              <w:top w:w="15" w:type="dxa"/>
              <w:left w:w="15" w:type="dxa"/>
              <w:right w:w="15" w:type="dxa"/>
            </w:tcMar>
            <w:vAlign w:val="center"/>
          </w:tcPr>
          <w:p>
            <w:pPr>
              <w:widowControl/>
              <w:jc w:val="center"/>
              <w:rPr>
                <w:color w:val="auto"/>
                <w:szCs w:val="21"/>
              </w:rPr>
            </w:pPr>
          </w:p>
        </w:tc>
        <w:tc>
          <w:tcPr>
            <w:tcW w:w="2011"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调查人员</w:t>
            </w:r>
          </w:p>
        </w:tc>
        <w:tc>
          <w:tcPr>
            <w:tcW w:w="2051" w:type="dxa"/>
            <w:gridSpan w:val="2"/>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882" w:type="dxa"/>
            <w:gridSpan w:val="3"/>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还田处理</w:t>
            </w:r>
          </w:p>
        </w:tc>
        <w:tc>
          <w:tcPr>
            <w:tcW w:w="1358" w:type="dxa"/>
            <w:shd w:val="clear" w:color="auto" w:fill="auto"/>
            <w:tcMar>
              <w:top w:w="15" w:type="dxa"/>
              <w:left w:w="15" w:type="dxa"/>
              <w:right w:w="15" w:type="dxa"/>
            </w:tcMar>
            <w:vAlign w:val="center"/>
          </w:tcPr>
          <w:p>
            <w:pPr>
              <w:widowControl/>
              <w:jc w:val="center"/>
              <w:textAlignment w:val="center"/>
              <w:rPr>
                <w:b/>
                <w:bCs/>
                <w:i/>
                <w:color w:val="auto"/>
                <w:szCs w:val="21"/>
              </w:rPr>
            </w:pPr>
            <w:r>
              <w:rPr>
                <w:i/>
                <w:color w:val="auto"/>
                <w:kern w:val="0"/>
                <w:szCs w:val="21"/>
                <w:lang w:bidi="ar"/>
              </w:rPr>
              <w:t>无还田对照</w:t>
            </w:r>
          </w:p>
        </w:tc>
        <w:tc>
          <w:tcPr>
            <w:tcW w:w="1357" w:type="dxa"/>
            <w:shd w:val="clear" w:color="auto" w:fill="auto"/>
            <w:tcMar>
              <w:top w:w="15" w:type="dxa"/>
              <w:left w:w="15" w:type="dxa"/>
              <w:right w:w="15" w:type="dxa"/>
            </w:tcMar>
            <w:vAlign w:val="center"/>
          </w:tcPr>
          <w:p>
            <w:pPr>
              <w:widowControl/>
              <w:jc w:val="center"/>
              <w:textAlignment w:val="center"/>
              <w:rPr>
                <w:b/>
                <w:bCs/>
                <w:i/>
                <w:color w:val="auto"/>
                <w:szCs w:val="21"/>
              </w:rPr>
            </w:pPr>
            <w:r>
              <w:rPr>
                <w:i/>
                <w:color w:val="auto"/>
                <w:kern w:val="0"/>
                <w:szCs w:val="21"/>
                <w:lang w:bidi="ar"/>
              </w:rPr>
              <w:t>还田处理1</w:t>
            </w:r>
          </w:p>
        </w:tc>
        <w:tc>
          <w:tcPr>
            <w:tcW w:w="1343" w:type="dxa"/>
            <w:gridSpan w:val="2"/>
            <w:shd w:val="clear" w:color="auto" w:fill="auto"/>
            <w:tcMar>
              <w:top w:w="15" w:type="dxa"/>
              <w:left w:w="15" w:type="dxa"/>
              <w:right w:w="15" w:type="dxa"/>
            </w:tcMar>
            <w:vAlign w:val="center"/>
          </w:tcPr>
          <w:p>
            <w:pPr>
              <w:widowControl/>
              <w:jc w:val="center"/>
              <w:textAlignment w:val="center"/>
              <w:rPr>
                <w:b/>
                <w:bCs/>
                <w:i/>
                <w:color w:val="auto"/>
                <w:szCs w:val="21"/>
              </w:rPr>
            </w:pPr>
            <w:r>
              <w:rPr>
                <w:i/>
                <w:color w:val="auto"/>
                <w:kern w:val="0"/>
                <w:szCs w:val="21"/>
                <w:lang w:bidi="ar"/>
              </w:rPr>
              <w:t>还田处理2</w:t>
            </w:r>
          </w:p>
        </w:tc>
        <w:tc>
          <w:tcPr>
            <w:tcW w:w="1362" w:type="dxa"/>
            <w:shd w:val="clear" w:color="auto" w:fill="auto"/>
            <w:tcMar>
              <w:top w:w="15" w:type="dxa"/>
              <w:left w:w="15" w:type="dxa"/>
              <w:right w:w="15" w:type="dxa"/>
            </w:tcMar>
            <w:vAlign w:val="center"/>
          </w:tcPr>
          <w:p>
            <w:pPr>
              <w:widowControl/>
              <w:jc w:val="center"/>
              <w:textAlignment w:val="center"/>
              <w:rPr>
                <w:b/>
                <w:bCs/>
                <w:i/>
                <w:color w:val="auto"/>
                <w:szCs w:val="21"/>
              </w:rPr>
            </w:pPr>
            <w:r>
              <w:rPr>
                <w:i/>
                <w:color w:val="auto"/>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restart"/>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功能参数</w:t>
            </w: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pH</w:t>
            </w:r>
          </w:p>
        </w:tc>
        <w:tc>
          <w:tcPr>
            <w:tcW w:w="1358" w:type="dxa"/>
            <w:shd w:val="clear" w:color="auto" w:fill="auto"/>
            <w:tcMar>
              <w:top w:w="15" w:type="dxa"/>
              <w:left w:w="15" w:type="dxa"/>
              <w:right w:w="15" w:type="dxa"/>
            </w:tcMar>
            <w:vAlign w:val="center"/>
          </w:tcPr>
          <w:p>
            <w:pPr>
              <w:widowControl/>
              <w:jc w:val="center"/>
              <w:rPr>
                <w:i/>
                <w:color w:val="auto"/>
                <w:szCs w:val="21"/>
              </w:rPr>
            </w:pPr>
          </w:p>
        </w:tc>
        <w:tc>
          <w:tcPr>
            <w:tcW w:w="1357" w:type="dxa"/>
            <w:shd w:val="clear" w:color="auto" w:fill="auto"/>
            <w:tcMar>
              <w:top w:w="15" w:type="dxa"/>
              <w:left w:w="15" w:type="dxa"/>
              <w:right w:w="15" w:type="dxa"/>
            </w:tcMar>
            <w:vAlign w:val="center"/>
          </w:tcPr>
          <w:p>
            <w:pPr>
              <w:widowControl/>
              <w:jc w:val="center"/>
              <w:rPr>
                <w:i/>
                <w:color w:val="auto"/>
                <w:szCs w:val="21"/>
              </w:rPr>
            </w:pPr>
          </w:p>
        </w:tc>
        <w:tc>
          <w:tcPr>
            <w:tcW w:w="1343" w:type="dxa"/>
            <w:gridSpan w:val="2"/>
            <w:shd w:val="clear" w:color="auto" w:fill="auto"/>
            <w:tcMar>
              <w:top w:w="15" w:type="dxa"/>
              <w:left w:w="15" w:type="dxa"/>
              <w:right w:w="15" w:type="dxa"/>
            </w:tcMar>
            <w:vAlign w:val="center"/>
          </w:tcPr>
          <w:p>
            <w:pPr>
              <w:widowControl/>
              <w:jc w:val="center"/>
              <w:rPr>
                <w:i/>
                <w:color w:val="auto"/>
                <w:szCs w:val="21"/>
              </w:rPr>
            </w:pPr>
          </w:p>
        </w:tc>
        <w:tc>
          <w:tcPr>
            <w:tcW w:w="1362" w:type="dxa"/>
            <w:shd w:val="clear" w:color="auto" w:fill="auto"/>
            <w:tcMar>
              <w:top w:w="15" w:type="dxa"/>
              <w:left w:w="15" w:type="dxa"/>
              <w:right w:w="15" w:type="dxa"/>
            </w:tcMar>
            <w:vAlign w:val="center"/>
          </w:tcPr>
          <w:p>
            <w:pPr>
              <w:widowControl/>
              <w:jc w:val="center"/>
              <w:rPr>
                <w:i/>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有机质</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团聚体组成</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容重</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体积含水量</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地温</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速效N</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速效P</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速效K</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875" w:type="dxa"/>
            <w:vMerge w:val="continue"/>
            <w:shd w:val="clear" w:color="auto" w:fill="auto"/>
            <w:tcMar>
              <w:top w:w="15" w:type="dxa"/>
              <w:left w:w="15" w:type="dxa"/>
              <w:right w:w="15" w:type="dxa"/>
            </w:tcMar>
            <w:vAlign w:val="center"/>
          </w:tcPr>
          <w:p>
            <w:pPr>
              <w:widowControl/>
              <w:jc w:val="center"/>
              <w:rPr>
                <w:color w:val="auto"/>
                <w:szCs w:val="21"/>
              </w:rPr>
            </w:pPr>
          </w:p>
        </w:tc>
        <w:tc>
          <w:tcPr>
            <w:tcW w:w="2007" w:type="dxa"/>
            <w:gridSpan w:val="2"/>
            <w:shd w:val="clear" w:color="auto" w:fill="auto"/>
            <w:tcMar>
              <w:top w:w="15" w:type="dxa"/>
              <w:left w:w="15" w:type="dxa"/>
              <w:right w:w="15" w:type="dxa"/>
            </w:tcMar>
            <w:vAlign w:val="center"/>
          </w:tcPr>
          <w:p>
            <w:pPr>
              <w:widowControl/>
              <w:jc w:val="center"/>
              <w:textAlignment w:val="center"/>
              <w:rPr>
                <w:color w:val="auto"/>
                <w:szCs w:val="21"/>
              </w:rPr>
            </w:pPr>
            <w:r>
              <w:rPr>
                <w:color w:val="auto"/>
                <w:kern w:val="0"/>
                <w:szCs w:val="21"/>
                <w:lang w:bidi="ar"/>
              </w:rPr>
              <w:t>全量N</w:t>
            </w:r>
          </w:p>
        </w:tc>
        <w:tc>
          <w:tcPr>
            <w:tcW w:w="1358" w:type="dxa"/>
            <w:shd w:val="clear" w:color="auto" w:fill="auto"/>
            <w:tcMar>
              <w:top w:w="15" w:type="dxa"/>
              <w:left w:w="15" w:type="dxa"/>
              <w:right w:w="15" w:type="dxa"/>
            </w:tcMar>
            <w:vAlign w:val="center"/>
          </w:tcPr>
          <w:p>
            <w:pPr>
              <w:widowControl/>
              <w:jc w:val="center"/>
              <w:rPr>
                <w:color w:val="auto"/>
                <w:szCs w:val="21"/>
              </w:rPr>
            </w:pPr>
          </w:p>
        </w:tc>
        <w:tc>
          <w:tcPr>
            <w:tcW w:w="1357" w:type="dxa"/>
            <w:shd w:val="clear" w:color="auto" w:fill="auto"/>
            <w:tcMar>
              <w:top w:w="15" w:type="dxa"/>
              <w:left w:w="15" w:type="dxa"/>
              <w:right w:w="15" w:type="dxa"/>
            </w:tcMar>
            <w:vAlign w:val="center"/>
          </w:tcPr>
          <w:p>
            <w:pPr>
              <w:widowControl/>
              <w:jc w:val="center"/>
              <w:rPr>
                <w:color w:val="auto"/>
                <w:szCs w:val="21"/>
              </w:rPr>
            </w:pPr>
          </w:p>
        </w:tc>
        <w:tc>
          <w:tcPr>
            <w:tcW w:w="1343" w:type="dxa"/>
            <w:gridSpan w:val="2"/>
            <w:shd w:val="clear" w:color="auto" w:fill="auto"/>
            <w:tcMar>
              <w:top w:w="15" w:type="dxa"/>
              <w:left w:w="15" w:type="dxa"/>
              <w:right w:w="15" w:type="dxa"/>
            </w:tcMar>
            <w:vAlign w:val="center"/>
          </w:tcPr>
          <w:p>
            <w:pPr>
              <w:widowControl/>
              <w:jc w:val="center"/>
              <w:rPr>
                <w:color w:val="auto"/>
                <w:szCs w:val="21"/>
              </w:rPr>
            </w:pPr>
          </w:p>
        </w:tc>
        <w:tc>
          <w:tcPr>
            <w:tcW w:w="1362" w:type="dxa"/>
            <w:shd w:val="clear" w:color="auto" w:fill="auto"/>
            <w:tcMar>
              <w:top w:w="15" w:type="dxa"/>
              <w:left w:w="15" w:type="dxa"/>
              <w:right w:w="15" w:type="dxa"/>
            </w:tcMar>
            <w:vAlign w:val="center"/>
          </w:tcPr>
          <w:p>
            <w:pPr>
              <w:widowControl/>
              <w:jc w:val="center"/>
              <w:rPr>
                <w:color w:val="auto"/>
                <w:szCs w:val="21"/>
              </w:rPr>
            </w:pPr>
          </w:p>
        </w:tc>
      </w:tr>
      <w:bookmarkEnd w:id="647"/>
      <w:bookmarkEnd w:id="648"/>
      <w:bookmarkEnd w:id="649"/>
    </w:tbl>
    <w:p>
      <w:pPr>
        <w:rPr>
          <w:color w:val="auto"/>
        </w:rPr>
        <w:sectPr>
          <w:footerReference r:id="rId11" w:type="default"/>
          <w:pgSz w:w="11907" w:h="16840"/>
          <w:pgMar w:top="1440" w:right="1797" w:bottom="1644" w:left="1797" w:header="851" w:footer="992" w:gutter="0"/>
          <w:pgBorders>
            <w:top w:val="none" w:sz="0" w:space="0"/>
            <w:left w:val="none" w:sz="0" w:space="0"/>
            <w:bottom w:val="none" w:sz="0" w:space="0"/>
            <w:right w:val="none" w:sz="0" w:space="0"/>
          </w:pgBorders>
          <w:cols w:space="425" w:num="1"/>
          <w:docGrid w:linePitch="437" w:charSpace="0"/>
        </w:sectPr>
      </w:pPr>
    </w:p>
    <w:p>
      <w:pPr>
        <w:rPr>
          <w:b/>
          <w:color w:val="auto"/>
          <w:kern w:val="44"/>
          <w:sz w:val="32"/>
          <w:szCs w:val="32"/>
        </w:rPr>
      </w:pPr>
      <w:bookmarkStart w:id="652" w:name="_Toc8811"/>
      <w:bookmarkStart w:id="653" w:name="_Toc14798"/>
      <w:bookmarkStart w:id="654" w:name="_Toc17834"/>
      <w:bookmarkStart w:id="655" w:name="_Toc105489776"/>
      <w:bookmarkStart w:id="656" w:name="_Toc117259267"/>
      <w:bookmarkStart w:id="657" w:name="_Toc10319"/>
      <w:r>
        <w:rPr>
          <w:b/>
          <w:color w:val="auto"/>
          <w:kern w:val="44"/>
          <w:sz w:val="32"/>
          <w:szCs w:val="32"/>
        </w:rPr>
        <w:t>附件</w:t>
      </w:r>
      <w:bookmarkEnd w:id="652"/>
      <w:bookmarkEnd w:id="653"/>
      <w:bookmarkEnd w:id="654"/>
      <w:bookmarkEnd w:id="655"/>
      <w:bookmarkEnd w:id="656"/>
      <w:bookmarkEnd w:id="657"/>
      <w:r>
        <w:rPr>
          <w:b/>
          <w:color w:val="auto"/>
          <w:kern w:val="44"/>
          <w:sz w:val="32"/>
          <w:szCs w:val="32"/>
        </w:rPr>
        <w:t>4-5</w:t>
      </w:r>
    </w:p>
    <w:p>
      <w:pPr>
        <w:jc w:val="center"/>
        <w:rPr>
          <w:rFonts w:eastAsia="华文中宋"/>
          <w:b/>
          <w:bCs/>
          <w:color w:val="auto"/>
          <w:sz w:val="36"/>
          <w:szCs w:val="40"/>
        </w:rPr>
      </w:pPr>
      <w:r>
        <w:rPr>
          <w:rFonts w:eastAsia="华文中宋"/>
          <w:color w:val="auto"/>
          <w:sz w:val="36"/>
          <w:szCs w:val="40"/>
        </w:rPr>
        <w:t>2023年度_____县秸秆还田监测总结报告</w:t>
      </w:r>
    </w:p>
    <w:p>
      <w:pPr>
        <w:jc w:val="center"/>
        <w:rPr>
          <w:rFonts w:eastAsia="华文中宋"/>
          <w:b/>
          <w:bCs/>
          <w:color w:val="auto"/>
          <w:sz w:val="36"/>
          <w:szCs w:val="40"/>
        </w:rPr>
      </w:pPr>
      <w:r>
        <w:rPr>
          <w:rFonts w:eastAsia="华文中宋"/>
          <w:color w:val="auto"/>
          <w:sz w:val="36"/>
          <w:szCs w:val="40"/>
        </w:rPr>
        <w:t>（样式）</w:t>
      </w:r>
    </w:p>
    <w:p>
      <w:pPr>
        <w:ind w:firstLine="643"/>
        <w:rPr>
          <w:rFonts w:eastAsia="黑体"/>
          <w:b/>
          <w:color w:val="auto"/>
          <w:sz w:val="28"/>
          <w:szCs w:val="36"/>
        </w:rPr>
      </w:pPr>
      <w:r>
        <w:rPr>
          <w:rFonts w:eastAsia="黑体"/>
          <w:color w:val="auto"/>
          <w:sz w:val="28"/>
          <w:szCs w:val="36"/>
        </w:rPr>
        <w:t>一、区域现状</w:t>
      </w:r>
    </w:p>
    <w:p>
      <w:pPr>
        <w:ind w:firstLine="640"/>
        <w:rPr>
          <w:b/>
          <w:color w:val="auto"/>
          <w:sz w:val="28"/>
          <w:szCs w:val="36"/>
        </w:rPr>
      </w:pPr>
      <w:r>
        <w:rPr>
          <w:color w:val="auto"/>
          <w:sz w:val="28"/>
          <w:szCs w:val="36"/>
        </w:rPr>
        <w:t>介绍该区域地理、气候条件、作物种类、耕作措施、秸秆还田方式等情况。</w:t>
      </w:r>
    </w:p>
    <w:p>
      <w:pPr>
        <w:ind w:firstLine="643"/>
        <w:rPr>
          <w:rFonts w:eastAsia="黑体"/>
          <w:b/>
          <w:color w:val="auto"/>
          <w:sz w:val="28"/>
          <w:szCs w:val="36"/>
        </w:rPr>
      </w:pPr>
      <w:r>
        <w:rPr>
          <w:rFonts w:eastAsia="黑体"/>
          <w:color w:val="auto"/>
          <w:sz w:val="28"/>
          <w:szCs w:val="36"/>
        </w:rPr>
        <w:t>二、还田监测实施步骤</w:t>
      </w:r>
    </w:p>
    <w:p>
      <w:pPr>
        <w:ind w:firstLine="640"/>
        <w:rPr>
          <w:b/>
          <w:color w:val="auto"/>
          <w:sz w:val="28"/>
          <w:szCs w:val="36"/>
        </w:rPr>
      </w:pPr>
      <w:r>
        <w:rPr>
          <w:color w:val="auto"/>
          <w:sz w:val="28"/>
          <w:szCs w:val="36"/>
        </w:rPr>
        <w:t>秸秆还田监测位点布设、监测方法、实施步骤等内容。</w:t>
      </w:r>
    </w:p>
    <w:p>
      <w:pPr>
        <w:ind w:firstLine="643"/>
        <w:rPr>
          <w:rFonts w:eastAsia="黑体"/>
          <w:b/>
          <w:color w:val="auto"/>
          <w:sz w:val="28"/>
          <w:szCs w:val="36"/>
        </w:rPr>
      </w:pPr>
      <w:r>
        <w:rPr>
          <w:rFonts w:eastAsia="黑体"/>
          <w:color w:val="auto"/>
          <w:sz w:val="28"/>
          <w:szCs w:val="36"/>
        </w:rPr>
        <w:t>三、还田效果分析</w:t>
      </w:r>
    </w:p>
    <w:p>
      <w:pPr>
        <w:ind w:firstLine="640"/>
        <w:rPr>
          <w:b/>
          <w:color w:val="auto"/>
          <w:sz w:val="28"/>
          <w:szCs w:val="36"/>
        </w:rPr>
      </w:pPr>
      <w:r>
        <w:rPr>
          <w:color w:val="auto"/>
          <w:sz w:val="28"/>
          <w:szCs w:val="36"/>
        </w:rPr>
        <w:t>分析秸秆还田后在病虫害、作物生产、土壤状况等方面监测指标变化情况，并附相关图表、进行分析研究，总结本区域不同秸秆还田技术类型的优缺点。</w:t>
      </w:r>
    </w:p>
    <w:p>
      <w:pPr>
        <w:ind w:firstLine="640"/>
        <w:rPr>
          <w:rFonts w:eastAsia="黑体"/>
          <w:b/>
          <w:color w:val="auto"/>
          <w:sz w:val="28"/>
          <w:szCs w:val="36"/>
        </w:rPr>
      </w:pPr>
      <w:r>
        <w:rPr>
          <w:rFonts w:eastAsia="黑体"/>
          <w:color w:val="auto"/>
          <w:sz w:val="28"/>
          <w:szCs w:val="36"/>
        </w:rPr>
        <w:t>四、存在的问题及建议</w:t>
      </w:r>
    </w:p>
    <w:p>
      <w:pPr>
        <w:ind w:firstLine="640"/>
        <w:rPr>
          <w:b/>
          <w:color w:val="auto"/>
          <w:sz w:val="28"/>
          <w:szCs w:val="36"/>
        </w:rPr>
      </w:pPr>
      <w:r>
        <w:rPr>
          <w:color w:val="auto"/>
          <w:sz w:val="28"/>
          <w:szCs w:val="36"/>
        </w:rPr>
        <w:t>目前监测工作中存在的问题，提出可行性建议。</w:t>
      </w:r>
    </w:p>
    <w:p>
      <w:pPr>
        <w:widowControl/>
        <w:jc w:val="left"/>
        <w:rPr>
          <w:rFonts w:eastAsia="方正小标宋_GBK"/>
          <w:color w:val="auto"/>
          <w:sz w:val="48"/>
          <w:szCs w:val="56"/>
        </w:rPr>
      </w:pPr>
      <w:r>
        <w:rPr>
          <w:color w:val="auto"/>
          <w:sz w:val="28"/>
          <w:szCs w:val="36"/>
        </w:rPr>
        <w:br w:type="page"/>
      </w:r>
      <w:bookmarkStart w:id="658" w:name="_Toc16784"/>
      <w:bookmarkStart w:id="659" w:name="_Toc27336"/>
      <w:bookmarkStart w:id="660" w:name="_Toc117259268"/>
      <w:bookmarkStart w:id="661" w:name="_Toc22451"/>
      <w:bookmarkStart w:id="662" w:name="_Toc23697"/>
      <w:r>
        <w:rPr>
          <w:rFonts w:eastAsia="方正小标宋_GBK"/>
          <w:color w:val="auto"/>
          <w:sz w:val="40"/>
          <w:szCs w:val="48"/>
        </w:rPr>
        <w:t>附件5：</w:t>
      </w:r>
      <w:bookmarkEnd w:id="658"/>
      <w:bookmarkEnd w:id="659"/>
      <w:bookmarkEnd w:id="660"/>
      <w:bookmarkEnd w:id="661"/>
      <w:bookmarkEnd w:id="662"/>
    </w:p>
    <w:p>
      <w:pPr>
        <w:jc w:val="left"/>
        <w:rPr>
          <w:rFonts w:eastAsia="方正小标宋_GBK"/>
          <w:color w:val="auto"/>
          <w:sz w:val="48"/>
          <w:szCs w:val="56"/>
        </w:rPr>
      </w:pPr>
    </w:p>
    <w:p>
      <w:pPr>
        <w:jc w:val="center"/>
        <w:rPr>
          <w:rFonts w:eastAsia="方正小标宋_GBK"/>
          <w:color w:val="auto"/>
          <w:spacing w:val="-20"/>
          <w:sz w:val="48"/>
          <w:szCs w:val="56"/>
        </w:rPr>
      </w:pPr>
      <w:r>
        <w:rPr>
          <w:rFonts w:eastAsia="方正小标宋_GBK"/>
          <w:color w:val="auto"/>
          <w:spacing w:val="-20"/>
          <w:sz w:val="48"/>
          <w:szCs w:val="56"/>
        </w:rPr>
        <w:t>玉溪市红塔区2023年农作物秸秆综合利用</w:t>
      </w:r>
    </w:p>
    <w:p>
      <w:pPr>
        <w:jc w:val="center"/>
        <w:rPr>
          <w:rFonts w:eastAsia="方正小标宋_GBK"/>
          <w:color w:val="auto"/>
          <w:sz w:val="48"/>
          <w:szCs w:val="56"/>
        </w:rPr>
      </w:pPr>
      <w:r>
        <w:rPr>
          <w:rFonts w:eastAsia="方正小标宋_GBK"/>
          <w:color w:val="auto"/>
          <w:sz w:val="48"/>
          <w:szCs w:val="56"/>
        </w:rPr>
        <w:t>重点县建设项目</w:t>
      </w:r>
    </w:p>
    <w:p>
      <w:pPr>
        <w:jc w:val="center"/>
        <w:rPr>
          <w:rFonts w:eastAsia="方正小标宋_GBK"/>
          <w:color w:val="auto"/>
          <w:spacing w:val="-17"/>
          <w:kern w:val="0"/>
          <w:sz w:val="96"/>
          <w:szCs w:val="96"/>
        </w:rPr>
      </w:pPr>
    </w:p>
    <w:p>
      <w:pPr>
        <w:jc w:val="center"/>
        <w:rPr>
          <w:rFonts w:eastAsia="方正小标宋_GBK"/>
          <w:color w:val="auto"/>
          <w:spacing w:val="-17"/>
          <w:kern w:val="0"/>
          <w:sz w:val="96"/>
          <w:szCs w:val="96"/>
        </w:rPr>
      </w:pPr>
    </w:p>
    <w:p>
      <w:pPr>
        <w:jc w:val="center"/>
        <w:outlineLvl w:val="0"/>
        <w:rPr>
          <w:rFonts w:eastAsia="方正小标宋_GBK"/>
          <w:color w:val="auto"/>
          <w:w w:val="66"/>
          <w:sz w:val="72"/>
          <w:szCs w:val="72"/>
        </w:rPr>
      </w:pPr>
      <w:bookmarkStart w:id="663" w:name="_Toc18082"/>
      <w:r>
        <w:rPr>
          <w:rFonts w:eastAsia="方正小标宋_GBK"/>
          <w:color w:val="auto"/>
          <w:w w:val="66"/>
          <w:sz w:val="72"/>
          <w:szCs w:val="72"/>
        </w:rPr>
        <w:t>烟秆高值化利用研究及技术支持子方案</w:t>
      </w:r>
      <w:bookmarkEnd w:id="663"/>
    </w:p>
    <w:p>
      <w:pPr>
        <w:jc w:val="center"/>
        <w:rPr>
          <w:rFonts w:eastAsia="方正小标宋_GBK"/>
          <w:color w:val="auto"/>
          <w:sz w:val="48"/>
          <w:szCs w:val="52"/>
        </w:rPr>
      </w:pPr>
    </w:p>
    <w:p>
      <w:pPr>
        <w:jc w:val="center"/>
        <w:rPr>
          <w:rFonts w:eastAsia="方正小标宋_GBK"/>
          <w:color w:val="auto"/>
          <w:sz w:val="48"/>
          <w:szCs w:val="52"/>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rPr>
          <w:rFonts w:eastAsia="方正小标宋_GBK"/>
          <w:color w:val="auto"/>
          <w:sz w:val="48"/>
          <w:szCs w:val="52"/>
        </w:rPr>
      </w:pPr>
    </w:p>
    <w:p>
      <w:pPr>
        <w:widowControl/>
        <w:spacing w:line="780" w:lineRule="exact"/>
        <w:ind w:firstLine="320" w:firstLineChars="100"/>
        <w:jc w:val="center"/>
        <w:rPr>
          <w:rFonts w:eastAsia="方正仿宋_GB2312"/>
          <w:color w:val="auto"/>
          <w:kern w:val="0"/>
          <w:sz w:val="32"/>
          <w:szCs w:val="32"/>
        </w:rPr>
      </w:pPr>
      <w:r>
        <w:rPr>
          <w:rFonts w:eastAsia="方正仿宋_GB2312"/>
          <w:color w:val="auto"/>
          <w:kern w:val="0"/>
          <w:sz w:val="32"/>
          <w:szCs w:val="32"/>
        </w:rPr>
        <w:t>玉溪市红塔区农业农村局</w:t>
      </w:r>
    </w:p>
    <w:p>
      <w:pPr>
        <w:widowControl/>
        <w:spacing w:line="780" w:lineRule="exact"/>
        <w:ind w:firstLine="320" w:firstLineChars="100"/>
        <w:jc w:val="center"/>
        <w:rPr>
          <w:rFonts w:eastAsia="方正仿宋_GB2312"/>
          <w:color w:val="auto"/>
          <w:kern w:val="0"/>
          <w:sz w:val="32"/>
          <w:szCs w:val="32"/>
        </w:rPr>
      </w:pPr>
      <w:r>
        <w:rPr>
          <w:rFonts w:eastAsia="方正仿宋_GB2312"/>
          <w:color w:val="auto"/>
          <w:kern w:val="0"/>
          <w:sz w:val="32"/>
          <w:szCs w:val="32"/>
        </w:rPr>
        <w:t>2023年5月</w:t>
      </w:r>
    </w:p>
    <w:p>
      <w:pPr>
        <w:widowControl/>
        <w:jc w:val="left"/>
        <w:rPr>
          <w:rFonts w:eastAsia="方正仿宋_GB2312"/>
          <w:color w:val="auto"/>
          <w:kern w:val="0"/>
          <w:sz w:val="32"/>
          <w:szCs w:val="32"/>
        </w:rPr>
      </w:pPr>
      <w:r>
        <w:rPr>
          <w:rFonts w:eastAsia="方正仿宋_GB2312"/>
          <w:color w:val="auto"/>
          <w:kern w:val="0"/>
          <w:sz w:val="32"/>
          <w:szCs w:val="32"/>
        </w:rPr>
        <w:br w:type="page"/>
      </w:r>
    </w:p>
    <w:p>
      <w:pPr>
        <w:jc w:val="left"/>
        <w:rPr>
          <w:rFonts w:eastAsia="方正楷体_GBK"/>
          <w:b/>
          <w:color w:val="auto"/>
          <w:sz w:val="32"/>
          <w:szCs w:val="32"/>
        </w:rPr>
      </w:pPr>
      <w:r>
        <w:rPr>
          <w:rFonts w:eastAsia="方正楷体_GBK"/>
          <w:b/>
          <w:color w:val="auto"/>
          <w:sz w:val="32"/>
          <w:szCs w:val="32"/>
        </w:rPr>
        <w:t>一、项目概况</w:t>
      </w:r>
    </w:p>
    <w:p>
      <w:pPr>
        <w:ind w:firstLine="643" w:firstLineChars="200"/>
        <w:jc w:val="left"/>
        <w:rPr>
          <w:rFonts w:eastAsia="方正仿宋_GBK"/>
          <w:color w:val="auto"/>
          <w:kern w:val="0"/>
          <w:sz w:val="32"/>
          <w:szCs w:val="32"/>
        </w:rPr>
      </w:pPr>
      <w:bookmarkStart w:id="664" w:name="_Toc117259269"/>
      <w:bookmarkStart w:id="665" w:name="_Toc21932"/>
      <w:bookmarkStart w:id="666" w:name="_Toc2573"/>
      <w:bookmarkStart w:id="667" w:name="_Toc833"/>
      <w:bookmarkStart w:id="668" w:name="_Toc20775"/>
      <w:r>
        <w:rPr>
          <w:rFonts w:eastAsia="方正公文黑体"/>
          <w:b/>
          <w:bCs/>
          <w:color w:val="auto"/>
          <w:sz w:val="32"/>
          <w:szCs w:val="40"/>
        </w:rPr>
        <w:t>项目名称</w:t>
      </w:r>
      <w:r>
        <w:rPr>
          <w:rFonts w:eastAsia="方正公文黑体"/>
          <w:color w:val="auto"/>
          <w:sz w:val="32"/>
          <w:szCs w:val="40"/>
        </w:rPr>
        <w:t>：</w:t>
      </w:r>
      <w:r>
        <w:rPr>
          <w:rFonts w:eastAsia="方正仿宋_GBK"/>
          <w:color w:val="auto"/>
          <w:kern w:val="0"/>
          <w:sz w:val="32"/>
          <w:szCs w:val="32"/>
        </w:rPr>
        <w:t>玉溪市红塔区2023年农作物秸秆综合利用重点县建设项目-</w:t>
      </w:r>
      <w:bookmarkEnd w:id="664"/>
      <w:bookmarkEnd w:id="665"/>
      <w:bookmarkEnd w:id="666"/>
      <w:bookmarkEnd w:id="667"/>
      <w:bookmarkEnd w:id="668"/>
      <w:r>
        <w:rPr>
          <w:rFonts w:eastAsia="方正仿宋_GBK"/>
          <w:color w:val="auto"/>
          <w:kern w:val="0"/>
          <w:sz w:val="32"/>
          <w:szCs w:val="32"/>
        </w:rPr>
        <w:t>烟秆高值化利用研究与技术支持子方案</w:t>
      </w:r>
    </w:p>
    <w:p>
      <w:pPr>
        <w:ind w:firstLine="643" w:firstLineChars="200"/>
        <w:jc w:val="left"/>
        <w:rPr>
          <w:rFonts w:eastAsia="方正仿宋_GBK"/>
          <w:color w:val="auto"/>
          <w:sz w:val="32"/>
          <w:szCs w:val="40"/>
        </w:rPr>
      </w:pPr>
      <w:bookmarkStart w:id="669" w:name="_Toc2672"/>
      <w:bookmarkStart w:id="670" w:name="_Toc124"/>
      <w:bookmarkStart w:id="671" w:name="_Toc1434"/>
      <w:bookmarkStart w:id="672" w:name="_Toc28602"/>
      <w:bookmarkStart w:id="673" w:name="_Toc117259270"/>
      <w:r>
        <w:rPr>
          <w:rFonts w:eastAsia="方正公文黑体"/>
          <w:b/>
          <w:bCs/>
          <w:color w:val="auto"/>
          <w:sz w:val="32"/>
          <w:szCs w:val="40"/>
        </w:rPr>
        <w:t>项目主管单位：</w:t>
      </w:r>
      <w:r>
        <w:rPr>
          <w:rFonts w:eastAsia="方正仿宋_GBK"/>
          <w:color w:val="auto"/>
          <w:sz w:val="32"/>
          <w:szCs w:val="40"/>
        </w:rPr>
        <w:t>玉溪市红塔区</w:t>
      </w:r>
      <w:bookmarkEnd w:id="669"/>
      <w:bookmarkEnd w:id="670"/>
      <w:bookmarkEnd w:id="671"/>
      <w:bookmarkEnd w:id="672"/>
      <w:bookmarkEnd w:id="673"/>
      <w:r>
        <w:rPr>
          <w:rFonts w:eastAsia="方正仿宋_GBK"/>
          <w:color w:val="auto"/>
          <w:sz w:val="32"/>
          <w:szCs w:val="40"/>
        </w:rPr>
        <w:t>农业农村局</w:t>
      </w:r>
    </w:p>
    <w:p>
      <w:pPr>
        <w:adjustRightInd w:val="0"/>
        <w:snapToGrid w:val="0"/>
        <w:spacing w:line="550" w:lineRule="exact"/>
        <w:ind w:firstLine="643" w:firstLineChars="200"/>
        <w:jc w:val="left"/>
        <w:rPr>
          <w:rFonts w:eastAsia="方正仿宋_GBK"/>
          <w:color w:val="auto"/>
          <w:kern w:val="0"/>
          <w:sz w:val="32"/>
          <w:szCs w:val="32"/>
        </w:rPr>
      </w:pPr>
      <w:r>
        <w:rPr>
          <w:rFonts w:eastAsia="方正公文黑体"/>
          <w:b/>
          <w:bCs/>
          <w:color w:val="auto"/>
          <w:sz w:val="32"/>
          <w:szCs w:val="40"/>
        </w:rPr>
        <w:t>项目建设地点：</w:t>
      </w:r>
      <w:r>
        <w:rPr>
          <w:rFonts w:eastAsia="方正仿宋_GBK"/>
          <w:color w:val="auto"/>
          <w:sz w:val="32"/>
          <w:szCs w:val="40"/>
        </w:rPr>
        <w:t>玉溪市红塔区</w:t>
      </w:r>
      <w:r>
        <w:rPr>
          <w:rFonts w:eastAsia="方正仿宋_GBK"/>
          <w:color w:val="auto"/>
          <w:kern w:val="0"/>
          <w:sz w:val="32"/>
          <w:szCs w:val="32"/>
        </w:rPr>
        <w:t>研和街道</w:t>
      </w:r>
    </w:p>
    <w:p>
      <w:pPr>
        <w:jc w:val="left"/>
        <w:rPr>
          <w:rFonts w:eastAsia="方正楷体_GBK"/>
          <w:b/>
          <w:color w:val="auto"/>
          <w:sz w:val="32"/>
          <w:szCs w:val="32"/>
        </w:rPr>
      </w:pPr>
      <w:r>
        <w:rPr>
          <w:rFonts w:eastAsia="方正楷体_GBK"/>
          <w:b/>
          <w:color w:val="auto"/>
          <w:sz w:val="32"/>
          <w:szCs w:val="32"/>
        </w:rPr>
        <w:t>二、项目背景意义</w:t>
      </w:r>
    </w:p>
    <w:p>
      <w:pPr>
        <w:pStyle w:val="2"/>
        <w:ind w:firstLine="640" w:firstLineChars="200"/>
        <w:rPr>
          <w:rFonts w:eastAsia="方正仿宋_GBK"/>
          <w:color w:val="auto"/>
          <w:kern w:val="0"/>
          <w:sz w:val="32"/>
          <w:szCs w:val="32"/>
        </w:rPr>
      </w:pPr>
      <w:r>
        <w:rPr>
          <w:rFonts w:hint="eastAsia" w:eastAsia="方正仿宋_GBK"/>
          <w:color w:val="auto"/>
          <w:kern w:val="0"/>
          <w:sz w:val="32"/>
          <w:szCs w:val="32"/>
          <w:lang w:val="en-US" w:eastAsia="zh-CN"/>
        </w:rPr>
        <w:t>经调查，</w:t>
      </w:r>
      <w:r>
        <w:rPr>
          <w:rFonts w:eastAsia="方正仿宋_GBK"/>
          <w:color w:val="auto"/>
          <w:kern w:val="0"/>
          <w:sz w:val="32"/>
          <w:szCs w:val="32"/>
        </w:rPr>
        <w:t>红塔区烤烟种植面积40421亩，每年产生约30000吨以上烟秆</w:t>
      </w:r>
      <w:r>
        <w:rPr>
          <w:rFonts w:hint="eastAsia" w:eastAsia="方正仿宋_GBK"/>
          <w:color w:val="auto"/>
          <w:kern w:val="0"/>
          <w:sz w:val="32"/>
          <w:szCs w:val="32"/>
          <w:lang w:eastAsia="zh-CN"/>
        </w:rPr>
        <w:t>。</w:t>
      </w:r>
      <w:r>
        <w:rPr>
          <w:rFonts w:eastAsia="方正仿宋_GBK"/>
          <w:color w:val="auto"/>
          <w:kern w:val="0"/>
          <w:sz w:val="32"/>
          <w:szCs w:val="32"/>
        </w:rPr>
        <w:t>烟秆中含有一定的烟碱，导致烟秆无法实现高效的资源化利用，因此，非常有必要开展烟秆高值化利用研究。</w:t>
      </w:r>
    </w:p>
    <w:p>
      <w:pPr>
        <w:pStyle w:val="2"/>
        <w:ind w:firstLine="640" w:firstLineChars="200"/>
        <w:rPr>
          <w:color w:val="auto"/>
          <w:sz w:val="24"/>
        </w:rPr>
      </w:pPr>
      <w:r>
        <w:rPr>
          <w:rFonts w:eastAsia="方正仿宋_GBK"/>
          <w:color w:val="auto"/>
          <w:kern w:val="0"/>
          <w:sz w:val="32"/>
          <w:szCs w:val="32"/>
        </w:rPr>
        <w:t>项目针对上述问题，采用低温碳化、新型粘合、微生物驯化及土壤检测等技术手段，研究烟秆制备颗粒燃料和有机肥等高值化利用过程中关键科学和核心技术问题，形成烟秆燃料化利用新技术和制备生物有机肥新技术，并实现工业化利用，为红塔区烟秆高效规模化利用提供技术支撑，为云南省乃至全国烟秆的资源化利用提供工程示范。</w:t>
      </w:r>
    </w:p>
    <w:p>
      <w:pPr>
        <w:jc w:val="left"/>
        <w:rPr>
          <w:rFonts w:eastAsia="方正楷体_GBK"/>
          <w:b/>
          <w:color w:val="auto"/>
          <w:sz w:val="32"/>
          <w:szCs w:val="32"/>
        </w:rPr>
      </w:pPr>
      <w:r>
        <w:rPr>
          <w:rFonts w:eastAsia="方正楷体_GBK"/>
          <w:b/>
          <w:color w:val="auto"/>
          <w:sz w:val="32"/>
          <w:szCs w:val="32"/>
        </w:rPr>
        <w:t>三、实施内容</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（一）烟秆高值燃料化利用关键技术研发及工业化应用</w:t>
      </w:r>
    </w:p>
    <w:p>
      <w:pPr>
        <w:pStyle w:val="2"/>
        <w:ind w:firstLine="640" w:firstLineChars="200"/>
        <w:rPr>
          <w:rFonts w:eastAsia="方正仿宋_GBK"/>
          <w:color w:val="auto"/>
          <w:kern w:val="0"/>
          <w:sz w:val="32"/>
          <w:szCs w:val="32"/>
        </w:rPr>
      </w:pPr>
      <w:r>
        <w:rPr>
          <w:rFonts w:eastAsia="方正仿宋_GBK"/>
          <w:color w:val="auto"/>
          <w:kern w:val="0"/>
          <w:sz w:val="32"/>
          <w:szCs w:val="32"/>
        </w:rPr>
        <w:t>针对用户普遍反映的烟秆颗粒燃料发热量低、烟碱量大、易粉碎等问题，以烟秆为研究对象，采用现代分析检测技术、低温碳化技术、新型粘合技术等技术手段，研究红塔片区烟秆的物质组成，尤其是氮、磷、钾、危重金属的分布，指导农户精准施肥；研究烟秆压制压力、压制温度、压制时间及碳化温度等因素与颗粒燃料性能间的相互影响作用关系，尤其是烟碱的分布走向和影响，获得烟秆燃料化利用最佳工艺技术参数；开发新型粘结剂，解决烟秆颗粒燃料易粉碎的难题，形成烟秆制备高值燃料的关键核心技术，为万德生物质燃料技术优化升级提供支持，解决烟秆规模化、高值化制备颗料燃料的难题。</w:t>
      </w:r>
    </w:p>
    <w:p>
      <w:pPr>
        <w:pStyle w:val="13"/>
        <w:ind w:firstLine="640"/>
        <w:rPr>
          <w:rFonts w:eastAsia="方正仿宋_GBK"/>
          <w:color w:val="auto"/>
          <w:kern w:val="0"/>
          <w:sz w:val="32"/>
          <w:szCs w:val="32"/>
        </w:rPr>
      </w:pPr>
      <w:r>
        <w:rPr>
          <w:rFonts w:eastAsia="方正仿宋_GBK"/>
          <w:color w:val="auto"/>
          <w:kern w:val="0"/>
          <w:sz w:val="32"/>
          <w:szCs w:val="32"/>
        </w:rPr>
        <w:t>（二）烟秆制备生物有机肥关键技术</w:t>
      </w:r>
      <w:r>
        <w:rPr>
          <w:rFonts w:hint="eastAsia" w:eastAsia="方正仿宋_GBK"/>
          <w:color w:val="auto"/>
          <w:kern w:val="0"/>
          <w:sz w:val="32"/>
          <w:szCs w:val="32"/>
        </w:rPr>
        <w:t>支持</w:t>
      </w:r>
    </w:p>
    <w:p>
      <w:pPr>
        <w:pStyle w:val="13"/>
        <w:ind w:firstLine="640"/>
        <w:rPr>
          <w:rFonts w:eastAsia="方正仿宋_GBK"/>
          <w:color w:val="auto"/>
          <w:kern w:val="0"/>
          <w:sz w:val="32"/>
          <w:szCs w:val="32"/>
        </w:rPr>
      </w:pPr>
      <w:r>
        <w:rPr>
          <w:rFonts w:eastAsia="方正仿宋_GBK"/>
          <w:color w:val="auto"/>
          <w:kern w:val="0"/>
          <w:sz w:val="32"/>
          <w:szCs w:val="32"/>
        </w:rPr>
        <w:t>烟秆中的烟碱可有效抑制灭杀秸秆中的虫卵等病虫害，是制作有机肥的良好原料，主要研究高效降解木质纤维素生物微生物的筛选、鉴定及驯化，优化研究菌群（腐熟菌剂）的配伍、发酵条件等，重点研究腐熟菌剂在堆肥中的应用以及烟秆生物有机肥施用对烟草农艺性状、烟田理化性质与微生物区系的影响，开发烟草秸秆堆肥的高效腐熟菌剂，获得肥效好、安全绿色的烟秆生物有机肥，并实现在太疆生物科技公司的成果转化，对于烟秆的规模化、资源化利用具有重要的指导意义。</w:t>
      </w:r>
    </w:p>
    <w:p>
      <w:pPr>
        <w:jc w:val="left"/>
        <w:rPr>
          <w:rFonts w:eastAsia="方正楷体_GBK"/>
          <w:b/>
          <w:color w:val="auto"/>
          <w:sz w:val="32"/>
          <w:szCs w:val="32"/>
        </w:rPr>
      </w:pPr>
      <w:r>
        <w:rPr>
          <w:rFonts w:eastAsia="方正楷体_GBK"/>
          <w:b/>
          <w:color w:val="auto"/>
          <w:sz w:val="32"/>
          <w:szCs w:val="32"/>
        </w:rPr>
        <w:t>四、实施目标及考核指标</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eastAsia="方正仿宋_GBK"/>
          <w:color w:val="auto"/>
          <w:kern w:val="0"/>
          <w:sz w:val="32"/>
          <w:szCs w:val="32"/>
        </w:rPr>
      </w:pPr>
      <w:r>
        <w:rPr>
          <w:rFonts w:eastAsia="方正仿宋_GBK"/>
          <w:color w:val="auto"/>
          <w:kern w:val="0"/>
          <w:sz w:val="32"/>
          <w:szCs w:val="32"/>
        </w:rPr>
        <w:t>（一）实施目标</w:t>
      </w:r>
    </w:p>
    <w:p>
      <w:pPr>
        <w:pStyle w:val="2"/>
        <w:ind w:firstLine="640" w:firstLineChars="200"/>
        <w:rPr>
          <w:rFonts w:eastAsia="方正仿宋_GBK"/>
          <w:color w:val="auto"/>
          <w:kern w:val="0"/>
          <w:sz w:val="32"/>
          <w:szCs w:val="32"/>
        </w:rPr>
      </w:pPr>
      <w:r>
        <w:rPr>
          <w:rFonts w:eastAsia="方正仿宋_GBK"/>
          <w:color w:val="auto"/>
          <w:kern w:val="0"/>
          <w:sz w:val="32"/>
          <w:szCs w:val="32"/>
        </w:rPr>
        <w:t>针对红塔区烟秆利用率低、烟碱影响大等区域共性难题，项目采用低温碳化、新型粘合、微生物驯化及土壤检测等技术手段，研究烟秆制备颗粒燃料和有机肥等高值化利用过程中关键科学和核心技术问题，探明红塔地区烟秆中有价元素的分布情况，研发出新型粘结剂，形成烟秆燃料化利用新技术；驯化适宜降解木质纤维素和烟碱菌种，揭示烟秆生物有机肥对烟草农艺性状、烟田理化性质与微生物区系的影响变化，开发出烟草秸秆堆肥的高效腐熟菌剂，并实现工业化利用，为红塔区烟秆高效规模化利用提供技术支撑。</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（二）考核指标</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1.形成烟秆高值燃料化利用关键技术和烟秆制备生物有机肥关键技术2套技术体系，并实现2条生产线应用；</w:t>
      </w:r>
    </w:p>
    <w:p>
      <w:pPr>
        <w:pStyle w:val="2"/>
        <w:spacing w:after="0"/>
        <w:ind w:firstLine="640" w:firstLineChars="200"/>
        <w:rPr>
          <w:rFonts w:hint="eastAsia" w:eastAsia="方正仿宋_GBK"/>
          <w:color w:val="auto"/>
          <w:kern w:val="0"/>
          <w:sz w:val="32"/>
          <w:szCs w:val="32"/>
          <w:lang w:eastAsia="zh-CN"/>
        </w:rPr>
      </w:pPr>
      <w:r>
        <w:rPr>
          <w:rFonts w:eastAsia="方正仿宋_GBK"/>
          <w:color w:val="auto"/>
          <w:kern w:val="0"/>
          <w:sz w:val="32"/>
          <w:szCs w:val="32"/>
        </w:rPr>
        <w:t>2.研发出1-2种新型粘结剂，驯化1-2种降解木质纤维素和烟碱菌种，开发1种烟草秸秆堆肥的高效腐熟菌剂</w:t>
      </w:r>
      <w:r>
        <w:rPr>
          <w:rFonts w:hint="eastAsia" w:eastAsia="方正仿宋_GBK"/>
          <w:color w:val="auto"/>
          <w:kern w:val="0"/>
          <w:sz w:val="32"/>
          <w:szCs w:val="32"/>
          <w:lang w:eastAsia="zh-CN"/>
        </w:rPr>
        <w:t>；</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3.培养专业技术人员10-15名，技术专家服务5人次以上。</w:t>
      </w:r>
    </w:p>
    <w:p>
      <w:pPr>
        <w:jc w:val="left"/>
        <w:rPr>
          <w:rFonts w:eastAsia="方正楷体_GBK"/>
          <w:b/>
          <w:color w:val="auto"/>
          <w:sz w:val="32"/>
          <w:szCs w:val="32"/>
        </w:rPr>
      </w:pPr>
      <w:r>
        <w:rPr>
          <w:rFonts w:eastAsia="方正楷体_GBK"/>
          <w:b/>
          <w:color w:val="auto"/>
          <w:sz w:val="32"/>
          <w:szCs w:val="32"/>
        </w:rPr>
        <w:t>五、预期经济社会效益</w:t>
      </w:r>
    </w:p>
    <w:p>
      <w:pPr>
        <w:pStyle w:val="2"/>
        <w:spacing w:after="0"/>
        <w:ind w:firstLine="640" w:firstLineChars="200"/>
        <w:rPr>
          <w:rFonts w:eastAsia="方正仿宋_GBK"/>
          <w:color w:val="auto"/>
          <w:kern w:val="0"/>
          <w:sz w:val="32"/>
          <w:szCs w:val="32"/>
        </w:rPr>
      </w:pPr>
      <w:r>
        <w:rPr>
          <w:rFonts w:eastAsia="方正仿宋_GBK"/>
          <w:color w:val="auto"/>
          <w:kern w:val="0"/>
          <w:sz w:val="32"/>
          <w:szCs w:val="32"/>
        </w:rPr>
        <w:t>项目针对红塔区烟秆综合利用存在的共性难题，开展产学研合作，解决烟秆利用率低、烟碱影响大等关键难题，形成形成烟秆高值燃料化利用关键技术和烟秆制备生物有机肥关键技术2套技术体系，并获得关键菌剂等新产品。技术体系实现2条生产线应用，预计烟秆生物质颗粒燃料的配比，利用率可提高10%，烟秆制备生物有机肥利用率提高20%，可多利用烟秆量1000吨，多产生有机肥约1500吨，颗粒燃料10000吨，新增产值超200万元，经济社会效益显著。</w:t>
      </w:r>
    </w:p>
    <w:p>
      <w:pPr>
        <w:rPr>
          <w:rFonts w:eastAsia="方正仿宋_GBK"/>
          <w:color w:val="auto"/>
          <w:kern w:val="0"/>
          <w:sz w:val="32"/>
          <w:szCs w:val="32"/>
        </w:rPr>
      </w:pPr>
      <w:r>
        <w:rPr>
          <w:rFonts w:eastAsia="方正仿宋_GBK"/>
          <w:color w:val="auto"/>
          <w:kern w:val="0"/>
          <w:sz w:val="32"/>
          <w:szCs w:val="32"/>
        </w:rPr>
        <w:br w:type="page"/>
      </w:r>
    </w:p>
    <w:p>
      <w:pPr>
        <w:widowControl/>
        <w:jc w:val="left"/>
        <w:rPr>
          <w:rFonts w:eastAsia="方正小标宋_GBK"/>
          <w:color w:val="auto"/>
          <w:sz w:val="48"/>
          <w:szCs w:val="56"/>
        </w:rPr>
      </w:pPr>
      <w:r>
        <w:rPr>
          <w:rFonts w:eastAsia="方正小标宋_GBK"/>
          <w:color w:val="auto"/>
          <w:sz w:val="40"/>
          <w:szCs w:val="48"/>
        </w:rPr>
        <w:t>附件6：</w:t>
      </w:r>
    </w:p>
    <w:p>
      <w:pPr>
        <w:jc w:val="left"/>
        <w:rPr>
          <w:rFonts w:eastAsia="方正小标宋_GBK"/>
          <w:color w:val="auto"/>
          <w:sz w:val="48"/>
          <w:szCs w:val="56"/>
        </w:rPr>
      </w:pPr>
    </w:p>
    <w:p>
      <w:pPr>
        <w:jc w:val="center"/>
        <w:rPr>
          <w:rFonts w:eastAsia="方正小标宋_GBK"/>
          <w:color w:val="auto"/>
          <w:spacing w:val="-20"/>
          <w:sz w:val="48"/>
          <w:szCs w:val="56"/>
        </w:rPr>
      </w:pPr>
      <w:r>
        <w:rPr>
          <w:rFonts w:eastAsia="方正小标宋_GBK"/>
          <w:color w:val="auto"/>
          <w:spacing w:val="-20"/>
          <w:sz w:val="48"/>
          <w:szCs w:val="56"/>
        </w:rPr>
        <w:t>玉溪市红塔区2023年农作物秸秆综合利用</w:t>
      </w:r>
    </w:p>
    <w:p>
      <w:pPr>
        <w:jc w:val="center"/>
        <w:rPr>
          <w:rFonts w:eastAsia="方正小标宋_GBK"/>
          <w:color w:val="auto"/>
          <w:sz w:val="48"/>
          <w:szCs w:val="56"/>
        </w:rPr>
      </w:pPr>
      <w:r>
        <w:rPr>
          <w:rFonts w:eastAsia="方正小标宋_GBK"/>
          <w:color w:val="auto"/>
          <w:sz w:val="48"/>
          <w:szCs w:val="56"/>
        </w:rPr>
        <w:t>重点县建设项目</w:t>
      </w:r>
    </w:p>
    <w:p>
      <w:pPr>
        <w:jc w:val="center"/>
        <w:rPr>
          <w:rFonts w:eastAsia="方正小标宋_GBK"/>
          <w:color w:val="auto"/>
          <w:spacing w:val="-17"/>
          <w:kern w:val="0"/>
          <w:sz w:val="96"/>
          <w:szCs w:val="96"/>
        </w:rPr>
      </w:pPr>
    </w:p>
    <w:p>
      <w:pPr>
        <w:jc w:val="center"/>
        <w:rPr>
          <w:rFonts w:eastAsia="方正小标宋_GBK"/>
          <w:color w:val="auto"/>
          <w:spacing w:val="-17"/>
          <w:kern w:val="0"/>
          <w:sz w:val="96"/>
          <w:szCs w:val="96"/>
        </w:rPr>
      </w:pPr>
    </w:p>
    <w:p>
      <w:pPr>
        <w:jc w:val="center"/>
        <w:rPr>
          <w:rFonts w:eastAsia="方正小标宋_GBK"/>
          <w:color w:val="auto"/>
          <w:sz w:val="52"/>
          <w:szCs w:val="52"/>
        </w:rPr>
      </w:pPr>
      <w:r>
        <w:rPr>
          <w:rFonts w:eastAsia="方正小标宋_GBK"/>
          <w:color w:val="auto"/>
          <w:w w:val="66"/>
          <w:sz w:val="52"/>
          <w:szCs w:val="52"/>
        </w:rPr>
        <w:t>秸秆综合利用经纪人、主体企业遴选标准</w:t>
      </w:r>
    </w:p>
    <w:p>
      <w:pPr>
        <w:jc w:val="center"/>
        <w:rPr>
          <w:rFonts w:eastAsia="方正小标宋_GBK"/>
          <w:color w:val="auto"/>
          <w:sz w:val="48"/>
          <w:szCs w:val="52"/>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pStyle w:val="5"/>
        <w:ind w:firstLine="420"/>
        <w:rPr>
          <w:color w:val="auto"/>
        </w:rPr>
      </w:pPr>
    </w:p>
    <w:p>
      <w:pPr>
        <w:rPr>
          <w:rFonts w:eastAsia="方正小标宋_GBK"/>
          <w:color w:val="auto"/>
          <w:sz w:val="48"/>
          <w:szCs w:val="52"/>
        </w:rPr>
      </w:pPr>
    </w:p>
    <w:p>
      <w:pPr>
        <w:widowControl/>
        <w:spacing w:line="780" w:lineRule="exact"/>
        <w:ind w:firstLine="320" w:firstLineChars="100"/>
        <w:jc w:val="center"/>
        <w:rPr>
          <w:rFonts w:eastAsia="方正仿宋_GB2312"/>
          <w:color w:val="auto"/>
          <w:kern w:val="0"/>
          <w:sz w:val="32"/>
          <w:szCs w:val="32"/>
        </w:rPr>
      </w:pPr>
      <w:r>
        <w:rPr>
          <w:rFonts w:eastAsia="方正仿宋_GB2312"/>
          <w:color w:val="auto"/>
          <w:kern w:val="0"/>
          <w:sz w:val="32"/>
          <w:szCs w:val="32"/>
        </w:rPr>
        <w:t>玉溪市红塔区农业农村局</w:t>
      </w:r>
    </w:p>
    <w:p>
      <w:pPr>
        <w:widowControl/>
        <w:spacing w:line="780" w:lineRule="exact"/>
        <w:ind w:firstLine="320" w:firstLineChars="100"/>
        <w:jc w:val="center"/>
        <w:rPr>
          <w:rFonts w:eastAsia="方正仿宋_GB2312"/>
          <w:color w:val="auto"/>
          <w:kern w:val="0"/>
          <w:sz w:val="32"/>
          <w:szCs w:val="32"/>
        </w:rPr>
      </w:pPr>
      <w:r>
        <w:rPr>
          <w:rFonts w:eastAsia="方正仿宋_GB2312"/>
          <w:color w:val="auto"/>
          <w:kern w:val="0"/>
          <w:sz w:val="32"/>
          <w:szCs w:val="32"/>
        </w:rPr>
        <w:t>2023年5月</w:t>
      </w:r>
    </w:p>
    <w:p>
      <w:pPr>
        <w:rPr>
          <w:rFonts w:eastAsia="方正仿宋_GBK"/>
          <w:color w:val="auto"/>
          <w:kern w:val="0"/>
          <w:sz w:val="32"/>
          <w:szCs w:val="32"/>
        </w:rPr>
      </w:pPr>
      <w:r>
        <w:rPr>
          <w:rFonts w:eastAsia="方正仿宋_GBK"/>
          <w:color w:val="auto"/>
          <w:kern w:val="0"/>
          <w:sz w:val="32"/>
          <w:szCs w:val="32"/>
        </w:rPr>
        <w:br w:type="page"/>
      </w:r>
    </w:p>
    <w:p>
      <w:pPr>
        <w:jc w:val="left"/>
        <w:rPr>
          <w:rFonts w:eastAsia="方正楷体_GBK"/>
          <w:b/>
          <w:color w:val="auto"/>
          <w:sz w:val="32"/>
          <w:szCs w:val="32"/>
        </w:rPr>
      </w:pPr>
      <w:r>
        <w:rPr>
          <w:rFonts w:eastAsia="方正楷体_GBK"/>
          <w:b/>
          <w:color w:val="auto"/>
          <w:sz w:val="32"/>
          <w:szCs w:val="32"/>
        </w:rPr>
        <w:t>一、项目概况</w:t>
      </w:r>
    </w:p>
    <w:p>
      <w:pPr>
        <w:ind w:firstLine="643" w:firstLineChars="200"/>
        <w:jc w:val="left"/>
        <w:rPr>
          <w:rFonts w:eastAsia="方正仿宋_GBK"/>
          <w:color w:val="auto"/>
          <w:kern w:val="0"/>
          <w:sz w:val="32"/>
          <w:szCs w:val="32"/>
        </w:rPr>
      </w:pPr>
      <w:r>
        <w:rPr>
          <w:rFonts w:eastAsia="方正公文黑体"/>
          <w:b/>
          <w:bCs/>
          <w:color w:val="auto"/>
          <w:sz w:val="32"/>
          <w:szCs w:val="40"/>
        </w:rPr>
        <w:t>项目名称</w:t>
      </w:r>
      <w:r>
        <w:rPr>
          <w:rFonts w:eastAsia="方正公文黑体"/>
          <w:color w:val="auto"/>
          <w:sz w:val="32"/>
          <w:szCs w:val="40"/>
        </w:rPr>
        <w:t>：</w:t>
      </w:r>
      <w:r>
        <w:rPr>
          <w:rFonts w:eastAsia="方正仿宋_GBK"/>
          <w:color w:val="auto"/>
          <w:kern w:val="0"/>
          <w:sz w:val="32"/>
          <w:szCs w:val="32"/>
        </w:rPr>
        <w:t>玉溪市红塔区2023年农作物秸秆综合利用重点县建设项目-秸秆综合利用经纪人、主体企业遴选标准</w:t>
      </w:r>
    </w:p>
    <w:p>
      <w:pPr>
        <w:ind w:firstLine="643" w:firstLineChars="200"/>
        <w:jc w:val="left"/>
        <w:rPr>
          <w:rFonts w:eastAsia="方正仿宋_GBK"/>
          <w:color w:val="auto"/>
          <w:sz w:val="32"/>
          <w:szCs w:val="40"/>
        </w:rPr>
      </w:pPr>
      <w:r>
        <w:rPr>
          <w:rFonts w:eastAsia="方正公文黑体"/>
          <w:b/>
          <w:bCs/>
          <w:color w:val="auto"/>
          <w:sz w:val="32"/>
          <w:szCs w:val="40"/>
        </w:rPr>
        <w:t>项目主管单位：</w:t>
      </w:r>
      <w:r>
        <w:rPr>
          <w:rFonts w:eastAsia="方正仿宋_GBK"/>
          <w:color w:val="auto"/>
          <w:sz w:val="32"/>
          <w:szCs w:val="40"/>
        </w:rPr>
        <w:t>玉溪市红塔区农业农村局</w:t>
      </w:r>
    </w:p>
    <w:p>
      <w:pPr>
        <w:adjustRightInd w:val="0"/>
        <w:snapToGrid w:val="0"/>
        <w:spacing w:line="550" w:lineRule="exact"/>
        <w:ind w:firstLine="643" w:firstLineChars="200"/>
        <w:jc w:val="left"/>
        <w:rPr>
          <w:rFonts w:eastAsia="方正仿宋_GBK"/>
          <w:color w:val="auto"/>
          <w:kern w:val="0"/>
          <w:sz w:val="32"/>
          <w:szCs w:val="32"/>
        </w:rPr>
      </w:pPr>
      <w:r>
        <w:rPr>
          <w:rFonts w:eastAsia="方正公文黑体"/>
          <w:b/>
          <w:bCs/>
          <w:color w:val="auto"/>
          <w:sz w:val="32"/>
          <w:szCs w:val="40"/>
        </w:rPr>
        <w:t>项目建设地点：</w:t>
      </w:r>
      <w:r>
        <w:rPr>
          <w:rFonts w:eastAsia="方正仿宋_GBK"/>
          <w:color w:val="auto"/>
          <w:sz w:val="32"/>
          <w:szCs w:val="40"/>
        </w:rPr>
        <w:t>玉溪市红塔区</w:t>
      </w:r>
      <w:r>
        <w:rPr>
          <w:rFonts w:eastAsia="方正仿宋_GBK"/>
          <w:color w:val="auto"/>
          <w:kern w:val="0"/>
          <w:sz w:val="32"/>
          <w:szCs w:val="32"/>
        </w:rPr>
        <w:t>各个乡镇、街道</w:t>
      </w:r>
    </w:p>
    <w:p>
      <w:pPr>
        <w:jc w:val="left"/>
        <w:rPr>
          <w:rFonts w:eastAsia="方正楷体_GBK"/>
          <w:b/>
          <w:color w:val="auto"/>
          <w:sz w:val="32"/>
          <w:szCs w:val="32"/>
        </w:rPr>
      </w:pPr>
      <w:r>
        <w:rPr>
          <w:rFonts w:eastAsia="方正楷体_GBK"/>
          <w:b/>
          <w:color w:val="auto"/>
          <w:sz w:val="32"/>
          <w:szCs w:val="32"/>
        </w:rPr>
        <w:t>二、背景意义</w:t>
      </w:r>
    </w:p>
    <w:p>
      <w:pPr>
        <w:widowControl/>
        <w:ind w:firstLine="640" w:firstLineChars="200"/>
        <w:jc w:val="left"/>
        <w:rPr>
          <w:color w:val="auto"/>
          <w:sz w:val="32"/>
          <w:szCs w:val="32"/>
        </w:rPr>
      </w:pPr>
      <w:r>
        <w:rPr>
          <w:rFonts w:eastAsia="方正仿宋_GBK"/>
          <w:color w:val="auto"/>
          <w:kern w:val="0"/>
          <w:sz w:val="32"/>
          <w:szCs w:val="32"/>
          <w:lang w:bidi="ar"/>
        </w:rPr>
        <w:t>为推动我区农作物</w:t>
      </w:r>
      <w:r>
        <w:rPr>
          <w:rFonts w:hint="eastAsia" w:eastAsia="方正仿宋_GBK"/>
          <w:color w:val="auto"/>
          <w:kern w:val="0"/>
          <w:sz w:val="32"/>
          <w:szCs w:val="32"/>
          <w:lang w:eastAsia="zh-CN" w:bidi="ar"/>
        </w:rPr>
        <w:t>秸秆</w:t>
      </w:r>
      <w:r>
        <w:rPr>
          <w:rFonts w:eastAsia="方正仿宋_GBK"/>
          <w:color w:val="auto"/>
          <w:kern w:val="0"/>
          <w:sz w:val="32"/>
          <w:szCs w:val="32"/>
          <w:lang w:bidi="ar"/>
        </w:rPr>
        <w:t>综合利用，全面完成</w:t>
      </w:r>
      <w:r>
        <w:rPr>
          <w:color w:val="auto"/>
          <w:kern w:val="0"/>
          <w:sz w:val="32"/>
          <w:szCs w:val="32"/>
          <w:lang w:bidi="ar"/>
        </w:rPr>
        <w:t>2023</w:t>
      </w:r>
      <w:r>
        <w:rPr>
          <w:rFonts w:eastAsia="方正仿宋_GBK"/>
          <w:color w:val="auto"/>
          <w:kern w:val="0"/>
          <w:sz w:val="32"/>
          <w:szCs w:val="32"/>
          <w:lang w:bidi="ar"/>
        </w:rPr>
        <w:t>年度</w:t>
      </w:r>
      <w:r>
        <w:rPr>
          <w:rFonts w:hint="eastAsia" w:eastAsia="方正仿宋_GBK"/>
          <w:color w:val="auto"/>
          <w:kern w:val="0"/>
          <w:sz w:val="32"/>
          <w:szCs w:val="32"/>
          <w:lang w:eastAsia="zh-CN" w:bidi="ar"/>
        </w:rPr>
        <w:t>秸秆</w:t>
      </w:r>
      <w:r>
        <w:rPr>
          <w:rFonts w:eastAsia="方正仿宋_GBK"/>
          <w:color w:val="auto"/>
          <w:kern w:val="0"/>
          <w:sz w:val="32"/>
          <w:szCs w:val="32"/>
          <w:lang w:bidi="ar"/>
        </w:rPr>
        <w:t>综合利用目标任务，根据《云南省财政厅关于提前下达</w:t>
      </w:r>
      <w:r>
        <w:rPr>
          <w:color w:val="auto"/>
          <w:kern w:val="0"/>
          <w:sz w:val="32"/>
          <w:szCs w:val="32"/>
          <w:lang w:bidi="ar"/>
        </w:rPr>
        <w:t>2022</w:t>
      </w:r>
      <w:r>
        <w:rPr>
          <w:rFonts w:eastAsia="方正仿宋_GBK"/>
          <w:color w:val="auto"/>
          <w:kern w:val="0"/>
          <w:sz w:val="32"/>
          <w:szCs w:val="32"/>
          <w:lang w:bidi="ar"/>
        </w:rPr>
        <w:t>年中央农业资源及生态保护补助资金的通知》（云财农〔</w:t>
      </w:r>
      <w:r>
        <w:rPr>
          <w:color w:val="auto"/>
          <w:kern w:val="0"/>
          <w:sz w:val="32"/>
          <w:szCs w:val="32"/>
          <w:lang w:bidi="ar"/>
        </w:rPr>
        <w:t>2021</w:t>
      </w:r>
      <w:r>
        <w:rPr>
          <w:rFonts w:eastAsia="方正仿宋_GBK"/>
          <w:color w:val="auto"/>
          <w:kern w:val="0"/>
          <w:sz w:val="32"/>
          <w:szCs w:val="32"/>
          <w:lang w:bidi="ar"/>
        </w:rPr>
        <w:t>〕</w:t>
      </w:r>
      <w:r>
        <w:rPr>
          <w:color w:val="auto"/>
          <w:kern w:val="0"/>
          <w:sz w:val="32"/>
          <w:szCs w:val="32"/>
          <w:lang w:bidi="ar"/>
        </w:rPr>
        <w:t>232</w:t>
      </w:r>
      <w:r>
        <w:rPr>
          <w:rFonts w:eastAsia="方正仿宋_GBK"/>
          <w:color w:val="auto"/>
          <w:kern w:val="0"/>
          <w:sz w:val="32"/>
          <w:szCs w:val="32"/>
          <w:lang w:bidi="ar"/>
        </w:rPr>
        <w:t>号）《云南省财政厅关于下达</w:t>
      </w:r>
      <w:r>
        <w:rPr>
          <w:color w:val="auto"/>
          <w:kern w:val="0"/>
          <w:sz w:val="32"/>
          <w:szCs w:val="32"/>
          <w:lang w:bidi="ar"/>
        </w:rPr>
        <w:t>2022</w:t>
      </w:r>
      <w:r>
        <w:rPr>
          <w:rFonts w:eastAsia="方正仿宋_GBK"/>
          <w:color w:val="auto"/>
          <w:kern w:val="0"/>
          <w:sz w:val="32"/>
          <w:szCs w:val="32"/>
          <w:lang w:bidi="ar"/>
        </w:rPr>
        <w:t>年中央农业资源及生态保护补助资金（第二批）的通知》（云财农〔</w:t>
      </w:r>
      <w:r>
        <w:rPr>
          <w:color w:val="auto"/>
          <w:kern w:val="0"/>
          <w:sz w:val="32"/>
          <w:szCs w:val="32"/>
          <w:lang w:bidi="ar"/>
        </w:rPr>
        <w:t>2022</w:t>
      </w:r>
      <w:r>
        <w:rPr>
          <w:rFonts w:eastAsia="方正仿宋_GBK"/>
          <w:color w:val="auto"/>
          <w:kern w:val="0"/>
          <w:sz w:val="32"/>
          <w:szCs w:val="32"/>
          <w:lang w:bidi="ar"/>
        </w:rPr>
        <w:t>〕</w:t>
      </w:r>
      <w:r>
        <w:rPr>
          <w:color w:val="auto"/>
          <w:kern w:val="0"/>
          <w:sz w:val="32"/>
          <w:szCs w:val="32"/>
          <w:lang w:bidi="ar"/>
        </w:rPr>
        <w:t>109</w:t>
      </w:r>
      <w:r>
        <w:rPr>
          <w:rFonts w:eastAsia="方正仿宋_GBK"/>
          <w:color w:val="auto"/>
          <w:kern w:val="0"/>
          <w:sz w:val="32"/>
          <w:szCs w:val="32"/>
          <w:lang w:bidi="ar"/>
        </w:rPr>
        <w:t>号）及云南省</w:t>
      </w:r>
      <w:r>
        <w:rPr>
          <w:color w:val="auto"/>
          <w:kern w:val="0"/>
          <w:sz w:val="32"/>
          <w:szCs w:val="32"/>
          <w:lang w:bidi="ar"/>
        </w:rPr>
        <w:t>2023</w:t>
      </w:r>
      <w:r>
        <w:rPr>
          <w:rFonts w:eastAsia="方正仿宋_GBK"/>
          <w:color w:val="auto"/>
          <w:kern w:val="0"/>
          <w:sz w:val="32"/>
          <w:szCs w:val="32"/>
          <w:lang w:bidi="ar"/>
        </w:rPr>
        <w:t>年农作物秸秆综合利用工作实施方案等要求，结合红塔实际，经研究，决定向社会公开遴选项目建设主体，现将遴选有关事项如下：</w:t>
      </w:r>
    </w:p>
    <w:p>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（一）遴选范围</w:t>
      </w:r>
    </w:p>
    <w:p>
      <w:pPr>
        <w:widowControl/>
        <w:ind w:firstLine="640" w:firstLineChars="200"/>
        <w:jc w:val="left"/>
        <w:rPr>
          <w:rFonts w:eastAsia="方正仿宋_GBK"/>
          <w:color w:val="auto"/>
          <w:kern w:val="0"/>
          <w:sz w:val="32"/>
          <w:szCs w:val="32"/>
          <w:lang w:bidi="ar"/>
        </w:rPr>
      </w:pPr>
      <w:r>
        <w:rPr>
          <w:rFonts w:eastAsia="方正仿宋_GBK"/>
          <w:color w:val="auto"/>
          <w:kern w:val="0"/>
          <w:sz w:val="32"/>
          <w:szCs w:val="32"/>
          <w:lang w:bidi="ar"/>
        </w:rPr>
        <w:t>针对秸秆经纪人：对于玉溪市红塔区主要街道（研和街道、大营街街道、高仓街道、小石桥乡、北城街道、洛河乡）召集秸秆经纪人，秸秆经纪人应具有一定的社会责任感，且与村集体合作社具有一定的联系，自愿开展农作物秸秆收集工作，由村一级推荐选举产生。</w:t>
      </w:r>
    </w:p>
    <w:p>
      <w:pPr>
        <w:widowControl/>
        <w:ind w:firstLine="640" w:firstLineChars="200"/>
        <w:jc w:val="left"/>
        <w:rPr>
          <w:color w:val="auto"/>
          <w:sz w:val="32"/>
          <w:szCs w:val="32"/>
        </w:rPr>
      </w:pPr>
      <w:r>
        <w:rPr>
          <w:rFonts w:eastAsia="方正仿宋_GBK"/>
          <w:color w:val="auto"/>
          <w:kern w:val="0"/>
          <w:sz w:val="32"/>
          <w:szCs w:val="32"/>
          <w:lang w:bidi="ar"/>
        </w:rPr>
        <w:t>针对企业主体：玉溪市红塔区辖区范围内有意向开展秸秆肥料化、饲料化、燃料化、原料化生产利用的专业合作社、家庭农场、农产品生产经营主体、畜牧养殖经营主体、有机肥生产企业等。其中：饲料化养殖企业规模应在50头及以上，肥料化企业具有一定的基础，年产5万吨以上，能参与以秸秆置换肥料长效模式中，燃料化企业应具备秸秆消耗能力，年产量5万吨及以上，具有一定的收储实力。原料化企业应具备基本能力</w:t>
      </w:r>
      <w:r>
        <w:rPr>
          <w:rFonts w:hint="eastAsia" w:eastAsia="方正仿宋_GBK"/>
          <w:color w:val="auto"/>
          <w:kern w:val="0"/>
          <w:sz w:val="32"/>
          <w:szCs w:val="32"/>
          <w:lang w:bidi="ar"/>
        </w:rPr>
        <w:t>，</w:t>
      </w:r>
      <w:r>
        <w:rPr>
          <w:rFonts w:eastAsia="方正仿宋_GBK"/>
          <w:color w:val="auto"/>
          <w:kern w:val="0"/>
          <w:sz w:val="32"/>
          <w:szCs w:val="32"/>
          <w:lang w:bidi="ar"/>
        </w:rPr>
        <w:t>带动收集全区水稻、小麦秸秆。</w:t>
      </w:r>
    </w:p>
    <w:p>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（二）遴选程序</w:t>
      </w:r>
    </w:p>
    <w:p>
      <w:pPr>
        <w:widowControl/>
        <w:ind w:firstLine="640" w:firstLineChars="200"/>
        <w:jc w:val="left"/>
        <w:rPr>
          <w:color w:val="auto"/>
          <w:sz w:val="32"/>
          <w:szCs w:val="32"/>
        </w:rPr>
      </w:pPr>
      <w:r>
        <w:rPr>
          <w:rFonts w:eastAsia="方正仿宋_GBK"/>
          <w:color w:val="auto"/>
          <w:kern w:val="0"/>
          <w:sz w:val="32"/>
          <w:szCs w:val="32"/>
          <w:lang w:bidi="ar"/>
        </w:rPr>
        <w:t>相关企业或农业生产主体向玉溪市红塔区农业农村局提出申请，区农业农村局组织技术小组评选认定。</w:t>
      </w:r>
    </w:p>
    <w:p>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（三）申报条件</w:t>
      </w:r>
    </w:p>
    <w:p>
      <w:pPr>
        <w:widowControl/>
        <w:ind w:firstLine="640" w:firstLineChars="200"/>
        <w:jc w:val="left"/>
        <w:rPr>
          <w:color w:val="auto"/>
          <w:sz w:val="32"/>
          <w:szCs w:val="32"/>
        </w:rPr>
      </w:pPr>
      <w:r>
        <w:rPr>
          <w:rFonts w:eastAsia="方正仿宋_GBK"/>
          <w:color w:val="auto"/>
          <w:kern w:val="0"/>
          <w:sz w:val="32"/>
          <w:szCs w:val="32"/>
          <w:lang w:bidi="ar"/>
        </w:rPr>
        <w:t>1.有一定的秸秆综合利用、收储经验。</w:t>
      </w:r>
    </w:p>
    <w:p>
      <w:pPr>
        <w:widowControl/>
        <w:ind w:firstLine="640" w:firstLineChars="200"/>
        <w:jc w:val="left"/>
        <w:rPr>
          <w:color w:val="auto"/>
          <w:sz w:val="32"/>
          <w:szCs w:val="32"/>
        </w:rPr>
      </w:pPr>
      <w:r>
        <w:rPr>
          <w:rFonts w:eastAsia="方正仿宋_GBK"/>
          <w:color w:val="auto"/>
          <w:kern w:val="0"/>
          <w:sz w:val="32"/>
          <w:szCs w:val="32"/>
          <w:lang w:bidi="ar"/>
        </w:rPr>
        <w:t>2.拥有与其服务内容、服务能力相匹配的生产规模、专业技术、农业机械和设备以及其它能力。</w:t>
      </w:r>
    </w:p>
    <w:p>
      <w:pPr>
        <w:widowControl/>
        <w:ind w:firstLine="640" w:firstLineChars="200"/>
        <w:jc w:val="left"/>
        <w:rPr>
          <w:color w:val="auto"/>
          <w:sz w:val="32"/>
          <w:szCs w:val="32"/>
        </w:rPr>
      </w:pPr>
      <w:r>
        <w:rPr>
          <w:rFonts w:eastAsia="方正仿宋_GBK"/>
          <w:color w:val="auto"/>
          <w:kern w:val="0"/>
          <w:sz w:val="32"/>
          <w:szCs w:val="32"/>
          <w:lang w:bidi="ar"/>
        </w:rPr>
        <w:t>3.在农民群众中享有良好的信誉，其所提供的服务质量和价格受到服务对象的认可和好评。</w:t>
      </w:r>
    </w:p>
    <w:p>
      <w:pPr>
        <w:widowControl/>
        <w:ind w:firstLine="640" w:firstLineChars="200"/>
        <w:jc w:val="left"/>
        <w:rPr>
          <w:color w:val="auto"/>
          <w:sz w:val="32"/>
          <w:szCs w:val="32"/>
        </w:rPr>
      </w:pPr>
      <w:r>
        <w:rPr>
          <w:rFonts w:eastAsia="方正仿宋_GBK"/>
          <w:color w:val="auto"/>
          <w:kern w:val="0"/>
          <w:sz w:val="32"/>
          <w:szCs w:val="32"/>
          <w:lang w:bidi="ar"/>
        </w:rPr>
        <w:t>4.能够自觉接受行业管理部门的监督，按要求向行业监管部门提供真实有效的相关材料。</w:t>
      </w:r>
    </w:p>
    <w:p>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（四）申报材料</w:t>
      </w:r>
    </w:p>
    <w:p>
      <w:pPr>
        <w:widowControl/>
        <w:ind w:firstLine="640" w:firstLineChars="200"/>
        <w:jc w:val="left"/>
        <w:rPr>
          <w:color w:val="auto"/>
          <w:sz w:val="32"/>
          <w:szCs w:val="32"/>
        </w:rPr>
      </w:pPr>
      <w:r>
        <w:rPr>
          <w:rFonts w:eastAsia="方正仿宋_GBK"/>
          <w:color w:val="auto"/>
          <w:kern w:val="0"/>
          <w:sz w:val="32"/>
          <w:szCs w:val="32"/>
          <w:lang w:bidi="ar"/>
        </w:rPr>
        <w:t>秸秆综合利用项目建设主体申报表。</w:t>
      </w:r>
    </w:p>
    <w:p>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（五）申报时间</w:t>
      </w:r>
    </w:p>
    <w:p>
      <w:pPr>
        <w:widowControl/>
        <w:ind w:firstLine="640" w:firstLineChars="200"/>
        <w:jc w:val="left"/>
        <w:rPr>
          <w:color w:val="auto"/>
          <w:sz w:val="32"/>
          <w:szCs w:val="32"/>
        </w:rPr>
      </w:pPr>
      <w:r>
        <w:rPr>
          <w:color w:val="auto"/>
          <w:kern w:val="0"/>
          <w:sz w:val="32"/>
          <w:szCs w:val="32"/>
          <w:lang w:bidi="ar"/>
        </w:rPr>
        <w:t>2023</w:t>
      </w:r>
      <w:r>
        <w:rPr>
          <w:rFonts w:eastAsia="方正仿宋_GBK"/>
          <w:color w:val="auto"/>
          <w:kern w:val="0"/>
          <w:sz w:val="32"/>
          <w:szCs w:val="32"/>
          <w:lang w:bidi="ar"/>
        </w:rPr>
        <w:t>年</w:t>
      </w:r>
      <w:r>
        <w:rPr>
          <w:color w:val="auto"/>
          <w:kern w:val="0"/>
          <w:sz w:val="32"/>
          <w:szCs w:val="32"/>
          <w:lang w:bidi="ar"/>
        </w:rPr>
        <w:t>6</w:t>
      </w:r>
      <w:r>
        <w:rPr>
          <w:rFonts w:eastAsia="方正仿宋_GBK"/>
          <w:color w:val="auto"/>
          <w:kern w:val="0"/>
          <w:sz w:val="32"/>
          <w:szCs w:val="32"/>
          <w:lang w:bidi="ar"/>
        </w:rPr>
        <w:t>月</w:t>
      </w:r>
      <w:r>
        <w:rPr>
          <w:color w:val="auto"/>
          <w:kern w:val="0"/>
          <w:sz w:val="32"/>
          <w:szCs w:val="32"/>
          <w:lang w:bidi="ar"/>
        </w:rPr>
        <w:t>20</w:t>
      </w:r>
      <w:r>
        <w:rPr>
          <w:rFonts w:eastAsia="方正仿宋_GBK"/>
          <w:color w:val="auto"/>
          <w:kern w:val="0"/>
          <w:sz w:val="32"/>
          <w:szCs w:val="32"/>
          <w:lang w:bidi="ar"/>
        </w:rPr>
        <w:t>日至</w:t>
      </w:r>
      <w:r>
        <w:rPr>
          <w:color w:val="auto"/>
          <w:kern w:val="0"/>
          <w:sz w:val="32"/>
          <w:szCs w:val="32"/>
          <w:lang w:bidi="ar"/>
        </w:rPr>
        <w:t>8</w:t>
      </w:r>
      <w:r>
        <w:rPr>
          <w:rFonts w:eastAsia="方正仿宋_GBK"/>
          <w:color w:val="auto"/>
          <w:kern w:val="0"/>
          <w:sz w:val="32"/>
          <w:szCs w:val="32"/>
          <w:lang w:bidi="ar"/>
        </w:rPr>
        <w:t>月</w:t>
      </w:r>
      <w:r>
        <w:rPr>
          <w:color w:val="auto"/>
          <w:kern w:val="0"/>
          <w:sz w:val="32"/>
          <w:szCs w:val="32"/>
          <w:lang w:bidi="ar"/>
        </w:rPr>
        <w:t>20</w:t>
      </w:r>
      <w:r>
        <w:rPr>
          <w:rFonts w:eastAsia="方正仿宋_GBK"/>
          <w:color w:val="auto"/>
          <w:kern w:val="0"/>
          <w:sz w:val="32"/>
          <w:szCs w:val="32"/>
          <w:lang w:bidi="ar"/>
        </w:rPr>
        <w:t>日，逾期不予受理。联系人：吴国斌；联系电话：</w:t>
      </w:r>
      <w:r>
        <w:rPr>
          <w:color w:val="auto"/>
          <w:kern w:val="0"/>
          <w:sz w:val="32"/>
          <w:szCs w:val="32"/>
          <w:lang w:bidi="ar"/>
        </w:rPr>
        <w:t>0877—xxxx</w:t>
      </w:r>
      <w:r>
        <w:rPr>
          <w:rFonts w:eastAsia="方正仿宋_GBK"/>
          <w:color w:val="auto"/>
          <w:kern w:val="0"/>
          <w:sz w:val="32"/>
          <w:szCs w:val="32"/>
          <w:lang w:bidi="ar"/>
        </w:rPr>
        <w:t>；邮箱：</w:t>
      </w:r>
      <w:r>
        <w:rPr>
          <w:color w:val="auto"/>
          <w:kern w:val="0"/>
          <w:sz w:val="32"/>
          <w:szCs w:val="32"/>
          <w:lang w:bidi="ar"/>
        </w:rPr>
        <w:t>jcqncshsy@163.com</w:t>
      </w:r>
      <w:r>
        <w:rPr>
          <w:rFonts w:eastAsia="方正仿宋_GBK"/>
          <w:color w:val="auto"/>
          <w:kern w:val="0"/>
          <w:sz w:val="32"/>
          <w:szCs w:val="32"/>
          <w:lang w:bidi="ar"/>
        </w:rPr>
        <w:t>。</w:t>
      </w:r>
    </w:p>
    <w:p>
      <w:pPr>
        <w:widowControl/>
        <w:jc w:val="left"/>
        <w:rPr>
          <w:rFonts w:eastAsia="方正仿宋_GBK"/>
          <w:color w:val="auto"/>
          <w:kern w:val="0"/>
          <w:sz w:val="32"/>
          <w:szCs w:val="32"/>
          <w:lang w:bidi="ar"/>
        </w:rPr>
      </w:pPr>
      <w:r>
        <w:rPr>
          <w:rFonts w:eastAsia="方正仿宋_GBK"/>
          <w:color w:val="auto"/>
          <w:kern w:val="0"/>
          <w:sz w:val="32"/>
          <w:szCs w:val="32"/>
          <w:lang w:bidi="ar"/>
        </w:rPr>
        <w:t>附件：红塔区秸秆综合利用项目建设主体申报表</w:t>
      </w:r>
    </w:p>
    <w:p>
      <w:pPr>
        <w:pStyle w:val="2"/>
        <w:ind w:firstLine="210"/>
        <w:rPr>
          <w:color w:val="auto"/>
          <w:lang w:bidi="ar"/>
        </w:rPr>
      </w:pPr>
    </w:p>
    <w:p>
      <w:pPr>
        <w:widowControl/>
        <w:jc w:val="center"/>
        <w:rPr>
          <w:color w:val="auto"/>
          <w:sz w:val="30"/>
          <w:szCs w:val="30"/>
        </w:rPr>
      </w:pPr>
      <w:r>
        <w:rPr>
          <w:rFonts w:eastAsia="微软雅黑"/>
          <w:color w:val="auto"/>
          <w:kern w:val="0"/>
          <w:sz w:val="30"/>
          <w:szCs w:val="30"/>
          <w:lang w:bidi="ar"/>
        </w:rPr>
        <w:t>红塔区秸秆综合利用项目建设主体申报表</w:t>
      </w:r>
    </w:p>
    <w:tbl>
      <w:tblPr>
        <w:tblStyle w:val="11"/>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924"/>
        <w:gridCol w:w="1295"/>
        <w:gridCol w:w="787"/>
        <w:gridCol w:w="1388"/>
        <w:gridCol w:w="1406"/>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752" w:type="dxa"/>
            <w:vAlign w:val="center"/>
          </w:tcPr>
          <w:p>
            <w:pPr>
              <w:widowControl/>
              <w:jc w:val="center"/>
              <w:rPr>
                <w:rFonts w:eastAsia="方正仿宋_GBK"/>
                <w:color w:val="auto"/>
                <w:sz w:val="28"/>
                <w:szCs w:val="28"/>
              </w:rPr>
            </w:pPr>
            <w:r>
              <w:rPr>
                <w:rFonts w:eastAsia="方正仿宋_GBK"/>
                <w:color w:val="auto"/>
                <w:sz w:val="28"/>
                <w:szCs w:val="28"/>
              </w:rPr>
              <w:t>主体名称</w:t>
            </w:r>
          </w:p>
        </w:tc>
        <w:tc>
          <w:tcPr>
            <w:tcW w:w="6827" w:type="dxa"/>
            <w:gridSpan w:val="6"/>
            <w:vAlign w:val="center"/>
          </w:tcPr>
          <w:p>
            <w:pPr>
              <w:widowControl/>
              <w:jc w:val="center"/>
              <w:rPr>
                <w:rFonts w:eastAsia="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1752" w:type="dxa"/>
            <w:vMerge w:val="restart"/>
            <w:vAlign w:val="center"/>
          </w:tcPr>
          <w:p>
            <w:pPr>
              <w:widowControl/>
              <w:jc w:val="center"/>
              <w:rPr>
                <w:rFonts w:eastAsia="方正仿宋_GBK"/>
                <w:color w:val="auto"/>
                <w:sz w:val="28"/>
                <w:szCs w:val="28"/>
              </w:rPr>
            </w:pPr>
            <w:r>
              <w:rPr>
                <w:rFonts w:eastAsia="方正仿宋_GBK"/>
                <w:color w:val="auto"/>
                <w:sz w:val="28"/>
                <w:szCs w:val="28"/>
              </w:rPr>
              <w:t>负责人情况</w:t>
            </w:r>
          </w:p>
        </w:tc>
        <w:tc>
          <w:tcPr>
            <w:tcW w:w="924" w:type="dxa"/>
            <w:vAlign w:val="center"/>
          </w:tcPr>
          <w:p>
            <w:pPr>
              <w:widowControl/>
              <w:jc w:val="center"/>
              <w:rPr>
                <w:rFonts w:eastAsia="方正仿宋_GBK"/>
                <w:color w:val="auto"/>
                <w:sz w:val="28"/>
                <w:szCs w:val="28"/>
              </w:rPr>
            </w:pPr>
            <w:r>
              <w:rPr>
                <w:rFonts w:eastAsia="方正仿宋_GBK"/>
                <w:color w:val="auto"/>
                <w:sz w:val="28"/>
                <w:szCs w:val="28"/>
              </w:rPr>
              <w:t>姓名</w:t>
            </w:r>
          </w:p>
        </w:tc>
        <w:tc>
          <w:tcPr>
            <w:tcW w:w="1295" w:type="dxa"/>
            <w:vAlign w:val="center"/>
          </w:tcPr>
          <w:p>
            <w:pPr>
              <w:widowControl/>
              <w:jc w:val="center"/>
              <w:rPr>
                <w:rFonts w:eastAsia="方正仿宋_GBK"/>
                <w:color w:val="auto"/>
                <w:sz w:val="28"/>
                <w:szCs w:val="28"/>
              </w:rPr>
            </w:pPr>
          </w:p>
        </w:tc>
        <w:tc>
          <w:tcPr>
            <w:tcW w:w="787" w:type="dxa"/>
            <w:vAlign w:val="center"/>
          </w:tcPr>
          <w:p>
            <w:pPr>
              <w:widowControl/>
              <w:jc w:val="center"/>
              <w:rPr>
                <w:rFonts w:eastAsia="方正仿宋_GBK"/>
                <w:color w:val="auto"/>
                <w:sz w:val="28"/>
                <w:szCs w:val="28"/>
              </w:rPr>
            </w:pPr>
            <w:r>
              <w:rPr>
                <w:rFonts w:eastAsia="方正仿宋_GBK"/>
                <w:color w:val="auto"/>
                <w:sz w:val="28"/>
                <w:szCs w:val="28"/>
              </w:rPr>
              <w:t>性别</w:t>
            </w:r>
          </w:p>
        </w:tc>
        <w:tc>
          <w:tcPr>
            <w:tcW w:w="1388" w:type="dxa"/>
            <w:vAlign w:val="center"/>
          </w:tcPr>
          <w:p>
            <w:pPr>
              <w:widowControl/>
              <w:jc w:val="center"/>
              <w:rPr>
                <w:rFonts w:eastAsia="方正仿宋_GBK"/>
                <w:color w:val="auto"/>
                <w:sz w:val="28"/>
                <w:szCs w:val="28"/>
              </w:rPr>
            </w:pPr>
          </w:p>
        </w:tc>
        <w:tc>
          <w:tcPr>
            <w:tcW w:w="1406" w:type="dxa"/>
            <w:vAlign w:val="center"/>
          </w:tcPr>
          <w:p>
            <w:pPr>
              <w:widowControl/>
              <w:jc w:val="center"/>
              <w:rPr>
                <w:rFonts w:eastAsia="方正仿宋_GBK"/>
                <w:color w:val="auto"/>
                <w:sz w:val="28"/>
                <w:szCs w:val="28"/>
              </w:rPr>
            </w:pPr>
            <w:r>
              <w:rPr>
                <w:rFonts w:eastAsia="方正仿宋_GBK"/>
                <w:color w:val="auto"/>
                <w:sz w:val="28"/>
                <w:szCs w:val="28"/>
              </w:rPr>
              <w:t>文化程度</w:t>
            </w:r>
          </w:p>
        </w:tc>
        <w:tc>
          <w:tcPr>
            <w:tcW w:w="1027" w:type="dxa"/>
            <w:vAlign w:val="center"/>
          </w:tcPr>
          <w:p>
            <w:pPr>
              <w:widowControl/>
              <w:jc w:val="center"/>
              <w:rPr>
                <w:rFonts w:eastAsia="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1752" w:type="dxa"/>
            <w:vMerge w:val="continue"/>
            <w:vAlign w:val="center"/>
          </w:tcPr>
          <w:p>
            <w:pPr>
              <w:widowControl/>
              <w:jc w:val="center"/>
              <w:rPr>
                <w:rFonts w:eastAsia="方正仿宋_GBK"/>
                <w:color w:val="auto"/>
                <w:sz w:val="28"/>
                <w:szCs w:val="28"/>
              </w:rPr>
            </w:pPr>
          </w:p>
        </w:tc>
        <w:tc>
          <w:tcPr>
            <w:tcW w:w="924" w:type="dxa"/>
            <w:vAlign w:val="center"/>
          </w:tcPr>
          <w:p>
            <w:pPr>
              <w:widowControl/>
              <w:jc w:val="center"/>
              <w:rPr>
                <w:rFonts w:eastAsia="方正仿宋_GBK"/>
                <w:color w:val="auto"/>
                <w:sz w:val="28"/>
                <w:szCs w:val="28"/>
              </w:rPr>
            </w:pPr>
            <w:r>
              <w:rPr>
                <w:rFonts w:eastAsia="方正仿宋_GBK"/>
                <w:color w:val="auto"/>
                <w:sz w:val="28"/>
                <w:szCs w:val="28"/>
              </w:rPr>
              <w:t>职务</w:t>
            </w:r>
          </w:p>
        </w:tc>
        <w:tc>
          <w:tcPr>
            <w:tcW w:w="2082" w:type="dxa"/>
            <w:gridSpan w:val="2"/>
            <w:vAlign w:val="center"/>
          </w:tcPr>
          <w:p>
            <w:pPr>
              <w:widowControl/>
              <w:jc w:val="center"/>
              <w:rPr>
                <w:rFonts w:eastAsia="方正仿宋_GBK"/>
                <w:color w:val="auto"/>
                <w:sz w:val="28"/>
                <w:szCs w:val="28"/>
              </w:rPr>
            </w:pPr>
          </w:p>
        </w:tc>
        <w:tc>
          <w:tcPr>
            <w:tcW w:w="1388" w:type="dxa"/>
            <w:vAlign w:val="center"/>
          </w:tcPr>
          <w:p>
            <w:pPr>
              <w:widowControl/>
              <w:jc w:val="center"/>
              <w:rPr>
                <w:rFonts w:eastAsia="方正仿宋_GBK"/>
                <w:color w:val="auto"/>
                <w:sz w:val="28"/>
                <w:szCs w:val="28"/>
              </w:rPr>
            </w:pPr>
            <w:r>
              <w:rPr>
                <w:rFonts w:eastAsia="方正仿宋_GBK"/>
                <w:color w:val="auto"/>
                <w:sz w:val="28"/>
                <w:szCs w:val="28"/>
              </w:rPr>
              <w:t>联系方式</w:t>
            </w:r>
          </w:p>
        </w:tc>
        <w:tc>
          <w:tcPr>
            <w:tcW w:w="2433" w:type="dxa"/>
            <w:gridSpan w:val="2"/>
            <w:vAlign w:val="center"/>
          </w:tcPr>
          <w:p>
            <w:pPr>
              <w:widowControl/>
              <w:jc w:val="center"/>
              <w:rPr>
                <w:rFonts w:eastAsia="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1752" w:type="dxa"/>
            <w:vAlign w:val="center"/>
          </w:tcPr>
          <w:p>
            <w:pPr>
              <w:widowControl/>
              <w:jc w:val="center"/>
              <w:rPr>
                <w:rFonts w:eastAsia="方正仿宋_GBK"/>
                <w:color w:val="auto"/>
                <w:sz w:val="28"/>
                <w:szCs w:val="28"/>
              </w:rPr>
            </w:pPr>
            <w:r>
              <w:rPr>
                <w:rFonts w:eastAsia="方正仿宋_GBK"/>
                <w:color w:val="auto"/>
                <w:sz w:val="28"/>
                <w:szCs w:val="28"/>
              </w:rPr>
              <w:t>技术负责人</w:t>
            </w:r>
          </w:p>
        </w:tc>
        <w:tc>
          <w:tcPr>
            <w:tcW w:w="3006" w:type="dxa"/>
            <w:gridSpan w:val="3"/>
            <w:vAlign w:val="center"/>
          </w:tcPr>
          <w:p>
            <w:pPr>
              <w:widowControl/>
              <w:jc w:val="center"/>
              <w:rPr>
                <w:rFonts w:eastAsia="方正仿宋_GBK"/>
                <w:color w:val="auto"/>
                <w:sz w:val="28"/>
                <w:szCs w:val="28"/>
              </w:rPr>
            </w:pPr>
          </w:p>
        </w:tc>
        <w:tc>
          <w:tcPr>
            <w:tcW w:w="1388" w:type="dxa"/>
            <w:vAlign w:val="center"/>
          </w:tcPr>
          <w:p>
            <w:pPr>
              <w:widowControl/>
              <w:jc w:val="center"/>
              <w:rPr>
                <w:rFonts w:eastAsia="方正仿宋_GBK"/>
                <w:color w:val="auto"/>
                <w:sz w:val="28"/>
                <w:szCs w:val="28"/>
              </w:rPr>
            </w:pPr>
            <w:r>
              <w:rPr>
                <w:rFonts w:eastAsia="方正仿宋_GBK"/>
                <w:color w:val="auto"/>
                <w:sz w:val="28"/>
                <w:szCs w:val="28"/>
              </w:rPr>
              <w:t>联系方式</w:t>
            </w:r>
          </w:p>
        </w:tc>
        <w:tc>
          <w:tcPr>
            <w:tcW w:w="2433" w:type="dxa"/>
            <w:gridSpan w:val="2"/>
            <w:vAlign w:val="center"/>
          </w:tcPr>
          <w:p>
            <w:pPr>
              <w:widowControl/>
              <w:jc w:val="center"/>
              <w:rPr>
                <w:rFonts w:eastAsia="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3" w:hRule="atLeast"/>
        </w:trPr>
        <w:tc>
          <w:tcPr>
            <w:tcW w:w="1752" w:type="dxa"/>
            <w:vAlign w:val="center"/>
          </w:tcPr>
          <w:p>
            <w:pPr>
              <w:widowControl/>
              <w:jc w:val="center"/>
              <w:rPr>
                <w:rFonts w:eastAsia="方正仿宋_GBK"/>
                <w:color w:val="auto"/>
                <w:sz w:val="28"/>
                <w:szCs w:val="28"/>
              </w:rPr>
            </w:pPr>
            <w:r>
              <w:rPr>
                <w:rFonts w:eastAsia="方正仿宋_GBK"/>
                <w:color w:val="auto"/>
                <w:sz w:val="28"/>
                <w:szCs w:val="28"/>
              </w:rPr>
              <w:t>企业简介及拟建项目</w:t>
            </w:r>
          </w:p>
        </w:tc>
        <w:tc>
          <w:tcPr>
            <w:tcW w:w="6827" w:type="dxa"/>
            <w:gridSpan w:val="6"/>
            <w:vAlign w:val="center"/>
          </w:tcPr>
          <w:p>
            <w:pPr>
              <w:widowControl/>
              <w:jc w:val="center"/>
              <w:rPr>
                <w:rFonts w:eastAsia="方正仿宋_GBK"/>
                <w:color w:val="auto"/>
                <w:sz w:val="28"/>
                <w:szCs w:val="28"/>
              </w:rPr>
            </w:pPr>
          </w:p>
          <w:p>
            <w:pPr>
              <w:widowControl/>
              <w:jc w:val="center"/>
              <w:rPr>
                <w:rFonts w:eastAsia="方正仿宋_GBK"/>
                <w:color w:val="auto"/>
                <w:sz w:val="28"/>
                <w:szCs w:val="28"/>
              </w:rPr>
            </w:pPr>
          </w:p>
          <w:p>
            <w:pPr>
              <w:widowControl/>
              <w:jc w:val="center"/>
              <w:rPr>
                <w:rFonts w:eastAsia="方正仿宋_GBK"/>
                <w:color w:val="auto"/>
                <w:sz w:val="28"/>
                <w:szCs w:val="28"/>
              </w:rPr>
            </w:pPr>
          </w:p>
          <w:p>
            <w:pPr>
              <w:widowControl/>
              <w:jc w:val="center"/>
              <w:rPr>
                <w:rFonts w:eastAsia="方正仿宋_GBK"/>
                <w:color w:val="auto"/>
                <w:sz w:val="28"/>
                <w:szCs w:val="28"/>
              </w:rPr>
            </w:pPr>
          </w:p>
          <w:p>
            <w:pPr>
              <w:widowControl/>
              <w:jc w:val="center"/>
              <w:rPr>
                <w:rFonts w:eastAsia="方正仿宋_GBK"/>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8" w:hRule="atLeast"/>
        </w:trPr>
        <w:tc>
          <w:tcPr>
            <w:tcW w:w="1752" w:type="dxa"/>
            <w:vAlign w:val="center"/>
          </w:tcPr>
          <w:p>
            <w:pPr>
              <w:widowControl/>
              <w:jc w:val="center"/>
              <w:rPr>
                <w:rFonts w:eastAsia="方正仿宋_GBK"/>
                <w:color w:val="auto"/>
                <w:sz w:val="28"/>
                <w:szCs w:val="28"/>
              </w:rPr>
            </w:pPr>
            <w:r>
              <w:rPr>
                <w:rFonts w:eastAsia="方正仿宋_GBK"/>
                <w:color w:val="auto"/>
                <w:sz w:val="28"/>
                <w:szCs w:val="28"/>
              </w:rPr>
              <w:t>专家组意见</w:t>
            </w:r>
          </w:p>
        </w:tc>
        <w:tc>
          <w:tcPr>
            <w:tcW w:w="6827" w:type="dxa"/>
            <w:gridSpan w:val="6"/>
            <w:vAlign w:val="center"/>
          </w:tcPr>
          <w:p>
            <w:pPr>
              <w:widowControl/>
              <w:jc w:val="center"/>
              <w:rPr>
                <w:rFonts w:eastAsia="方正仿宋_GBK"/>
                <w:color w:val="auto"/>
                <w:sz w:val="28"/>
                <w:szCs w:val="28"/>
              </w:rPr>
            </w:pPr>
          </w:p>
          <w:p>
            <w:pPr>
              <w:widowControl/>
              <w:rPr>
                <w:rFonts w:eastAsia="方正仿宋_GBK"/>
                <w:color w:val="auto"/>
                <w:sz w:val="28"/>
                <w:szCs w:val="28"/>
              </w:rPr>
            </w:pPr>
          </w:p>
          <w:p>
            <w:pPr>
              <w:widowControl/>
              <w:jc w:val="center"/>
              <w:rPr>
                <w:rFonts w:eastAsia="方正仿宋_GBK"/>
                <w:color w:val="auto"/>
                <w:sz w:val="28"/>
                <w:szCs w:val="28"/>
              </w:rPr>
            </w:pPr>
          </w:p>
          <w:p>
            <w:pPr>
              <w:widowControl/>
              <w:jc w:val="center"/>
              <w:rPr>
                <w:rFonts w:eastAsia="方正仿宋_GBK"/>
                <w:color w:val="auto"/>
                <w:sz w:val="28"/>
                <w:szCs w:val="28"/>
              </w:rPr>
            </w:pPr>
            <w:r>
              <w:rPr>
                <w:rFonts w:eastAsia="方正仿宋_GBK"/>
                <w:color w:val="auto"/>
                <w:sz w:val="28"/>
                <w:szCs w:val="28"/>
              </w:rPr>
              <w:t xml:space="preserve">                  签字</w:t>
            </w:r>
          </w:p>
          <w:p>
            <w:pPr>
              <w:widowControl/>
              <w:jc w:val="center"/>
              <w:rPr>
                <w:rFonts w:eastAsia="方正仿宋_GBK"/>
                <w:color w:val="auto"/>
                <w:sz w:val="28"/>
                <w:szCs w:val="28"/>
              </w:rPr>
            </w:pPr>
            <w:r>
              <w:rPr>
                <w:rFonts w:eastAsia="方正仿宋_GBK"/>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8" w:hRule="atLeast"/>
        </w:trPr>
        <w:tc>
          <w:tcPr>
            <w:tcW w:w="1752" w:type="dxa"/>
            <w:vAlign w:val="center"/>
          </w:tcPr>
          <w:p>
            <w:pPr>
              <w:widowControl/>
              <w:jc w:val="center"/>
              <w:rPr>
                <w:rFonts w:eastAsia="方正仿宋_GBK"/>
                <w:color w:val="auto"/>
                <w:sz w:val="28"/>
                <w:szCs w:val="28"/>
              </w:rPr>
            </w:pPr>
            <w:r>
              <w:rPr>
                <w:rFonts w:eastAsia="方正仿宋_GBK"/>
                <w:color w:val="auto"/>
                <w:sz w:val="28"/>
                <w:szCs w:val="28"/>
              </w:rPr>
              <w:t>区农业农村局意见</w:t>
            </w:r>
          </w:p>
        </w:tc>
        <w:tc>
          <w:tcPr>
            <w:tcW w:w="6827" w:type="dxa"/>
            <w:gridSpan w:val="6"/>
            <w:vAlign w:val="center"/>
          </w:tcPr>
          <w:p>
            <w:pPr>
              <w:widowControl/>
              <w:jc w:val="center"/>
              <w:rPr>
                <w:rFonts w:eastAsia="方正仿宋_GBK"/>
                <w:color w:val="auto"/>
                <w:sz w:val="28"/>
                <w:szCs w:val="28"/>
              </w:rPr>
            </w:pPr>
          </w:p>
          <w:p>
            <w:pPr>
              <w:widowControl/>
              <w:jc w:val="center"/>
              <w:rPr>
                <w:rFonts w:eastAsia="方正仿宋_GBK"/>
                <w:color w:val="auto"/>
                <w:sz w:val="28"/>
                <w:szCs w:val="28"/>
              </w:rPr>
            </w:pPr>
          </w:p>
          <w:p>
            <w:pPr>
              <w:widowControl/>
              <w:jc w:val="center"/>
              <w:rPr>
                <w:rFonts w:eastAsia="方正仿宋_GBK"/>
                <w:color w:val="auto"/>
                <w:sz w:val="28"/>
                <w:szCs w:val="28"/>
              </w:rPr>
            </w:pPr>
            <w:r>
              <w:rPr>
                <w:rFonts w:eastAsia="方正仿宋_GBK"/>
                <w:color w:val="auto"/>
                <w:sz w:val="28"/>
                <w:szCs w:val="28"/>
              </w:rPr>
              <w:t xml:space="preserve">                  签字</w:t>
            </w:r>
          </w:p>
          <w:p>
            <w:pPr>
              <w:widowControl/>
              <w:jc w:val="center"/>
              <w:rPr>
                <w:rFonts w:eastAsia="方正仿宋_GBK"/>
                <w:color w:val="auto"/>
                <w:sz w:val="28"/>
                <w:szCs w:val="28"/>
              </w:rPr>
            </w:pPr>
            <w:r>
              <w:rPr>
                <w:rFonts w:eastAsia="方正仿宋_GBK"/>
                <w:color w:val="auto"/>
                <w:sz w:val="28"/>
                <w:szCs w:val="28"/>
              </w:rPr>
              <w:t xml:space="preserve">                       年   月    日</w:t>
            </w:r>
          </w:p>
        </w:tc>
      </w:tr>
    </w:tbl>
    <w:p>
      <w:pPr>
        <w:pStyle w:val="2"/>
        <w:spacing w:after="0"/>
        <w:ind w:firstLine="640" w:firstLineChars="200"/>
        <w:rPr>
          <w:rFonts w:eastAsia="方正仿宋_GBK"/>
          <w:color w:val="auto"/>
          <w:kern w:val="0"/>
          <w:sz w:val="32"/>
          <w:szCs w:val="32"/>
        </w:rPr>
      </w:pPr>
    </w:p>
    <w:p>
      <w:pPr>
        <w:rPr>
          <w:color w:val="auto"/>
        </w:rPr>
      </w:pPr>
    </w:p>
    <w:sectPr>
      <w:footerReference r:id="rId12"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仿宋_GB2312">
    <w:altName w:val="微软雅黑"/>
    <w:panose1 w:val="00000000000000000000"/>
    <w:charset w:val="86"/>
    <w:family w:val="auto"/>
    <w:pitch w:val="default"/>
    <w:sig w:usb0="00000000" w:usb1="00000000" w:usb2="00000012" w:usb3="00000000" w:csb0="00040001" w:csb1="00000000"/>
  </w:font>
  <w:font w:name="方正公文黑体">
    <w:altName w:val="黑体"/>
    <w:panose1 w:val="00000000000000000000"/>
    <w:charset w:val="86"/>
    <w:family w:val="auto"/>
    <w:pitch w:val="default"/>
    <w:sig w:usb0="00000000" w:usb1="00000000"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0000012" w:usb3="00000000" w:csb0="4002009F" w:csb1="DFD7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333"/>
        <w:tab w:val="left" w:pos="4994"/>
      </w:tabs>
      <w:jc w:val="center"/>
      <w:rPr>
        <w:color w:val="3B3838" w:themeColor="background2" w:themeShade="40"/>
      </w:rPr>
    </w:pPr>
    <w:sdt>
      <w:sdtPr>
        <w:id w:val="-2051222555"/>
      </w:sdtPr>
      <w:sdtEndPr>
        <w:rPr>
          <w:color w:val="3B3838" w:themeColor="background2" w:themeShade="40"/>
        </w:rPr>
      </w:sdtEndPr>
      <w:sdtContent>
        <w:r>
          <w:rPr>
            <w:color w:val="3B3838" w:themeColor="background2" w:themeShade="40"/>
          </w:rPr>
          <w:fldChar w:fldCharType="begin"/>
        </w:r>
        <w:r>
          <w:rPr>
            <w:color w:val="3B3838" w:themeColor="background2" w:themeShade="40"/>
          </w:rPr>
          <w:instrText xml:space="preserve">PAGE   \* MERGEFORMAT</w:instrText>
        </w:r>
        <w:r>
          <w:rPr>
            <w:color w:val="3B3838" w:themeColor="background2" w:themeShade="40"/>
          </w:rPr>
          <w:fldChar w:fldCharType="separate"/>
        </w:r>
        <w:r>
          <w:rPr>
            <w:color w:val="3B3838" w:themeColor="background2" w:themeShade="40"/>
            <w:lang w:val="zh-CN"/>
          </w:rPr>
          <w:t>105</w:t>
        </w:r>
        <w:r>
          <w:rPr>
            <w:color w:val="3B3838" w:themeColor="background2" w:themeShade="4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0"/>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0"/>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v:textbox>
            </v:shape>
          </w:pict>
        </mc:Fallback>
      </mc:AlternateContent>
    </w:r>
  </w:p>
  <w:p>
    <w:pPr>
      <w:pStyle w:val="6"/>
      <w:tabs>
        <w:tab w:val="center" w:pos="4150"/>
        <w:tab w:val="clear" w:pos="415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9442624"/>
    </w:sdtPr>
    <w:sdtContent>
      <w:p>
        <w:pPr>
          <w:pStyle w:val="6"/>
          <w:jc w:val="center"/>
        </w:pPr>
        <w:r>
          <w:fldChar w:fldCharType="begin"/>
        </w:r>
        <w:r>
          <w:instrText xml:space="preserve">PAGE   \* MERGEFORMAT</w:instrText>
        </w:r>
        <w:r>
          <w:fldChar w:fldCharType="separate"/>
        </w:r>
        <w:r>
          <w:rPr>
            <w:lang w:val="zh-CN"/>
          </w:rPr>
          <w:t>90</w:t>
        </w:r>
        <w:r>
          <w:fldChar w:fldCharType="end"/>
        </w:r>
      </w:p>
    </w:sdtContent>
  </w:sdt>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0910041"/>
    </w:sdtPr>
    <w:sdtContent>
      <w:p>
        <w:pPr>
          <w:pStyle w:val="6"/>
          <w:jc w:val="center"/>
        </w:pPr>
        <w:r>
          <w:fldChar w:fldCharType="begin"/>
        </w:r>
        <w:r>
          <w:instrText xml:space="preserve">PAGE   \* MERGEFORMAT</w:instrText>
        </w:r>
        <w:r>
          <w:fldChar w:fldCharType="separate"/>
        </w:r>
        <w:r>
          <w:rPr>
            <w:lang w:val="zh-CN"/>
          </w:rPr>
          <w:t>95</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E549C"/>
    <w:multiLevelType w:val="multilevel"/>
    <w:tmpl w:val="4E4E549C"/>
    <w:lvl w:ilvl="0" w:tentative="0">
      <w:start w:val="8"/>
      <w:numFmt w:val="none"/>
      <w:suff w:val="nothing"/>
      <w:lvlText w:val="%1"/>
      <w:lvlJc w:val="left"/>
      <w:pPr>
        <w:ind w:left="0" w:firstLine="0"/>
      </w:pPr>
      <w:rPr>
        <w:rFonts w:hint="default" w:ascii="Times New Roman" w:hAnsi="Times New Roman"/>
        <w:b/>
        <w:i w:val="0"/>
        <w:sz w:val="21"/>
      </w:rPr>
    </w:lvl>
    <w:lvl w:ilvl="1" w:tentative="0">
      <w:start w:val="1"/>
      <w:numFmt w:val="decimal"/>
      <w:lvlText w:val="%2."/>
      <w:lvlJc w:val="left"/>
      <w:pPr>
        <w:ind w:left="480" w:hanging="480"/>
      </w:pPr>
      <w:rPr>
        <w:rFonts w:hint="eastAsia"/>
        <w:b w:val="0"/>
        <w:i w:val="0"/>
        <w:sz w:val="32"/>
        <w:szCs w:val="48"/>
      </w:rPr>
    </w:lvl>
    <w:lvl w:ilvl="2" w:tentative="0">
      <w:start w:val="1"/>
      <w:numFmt w:val="decimal"/>
      <w:suff w:val="nothing"/>
      <w:lvlText w:val="%18.%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N2U4ZDc3OTY3Y2QyNjNjNWEwZjhhYmQwNTdhMTEifQ=="/>
  </w:docVars>
  <w:rsids>
    <w:rsidRoot w:val="259E28F0"/>
    <w:rsid w:val="036D29BE"/>
    <w:rsid w:val="06CA48A1"/>
    <w:rsid w:val="1DA90200"/>
    <w:rsid w:val="259E28F0"/>
    <w:rsid w:val="276E6834"/>
    <w:rsid w:val="34E62F07"/>
    <w:rsid w:val="35052568"/>
    <w:rsid w:val="39AD1863"/>
    <w:rsid w:val="51EF4CA0"/>
    <w:rsid w:val="54EF6EF7"/>
    <w:rsid w:val="70522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19"/>
    <w:semiHidden/>
    <w:unhideWhenUsed/>
    <w:qFormat/>
    <w:uiPriority w:val="9"/>
    <w:pPr>
      <w:keepNext/>
      <w:keepLines/>
      <w:spacing w:before="260" w:after="260" w:line="416" w:lineRule="auto"/>
      <w:outlineLvl w:val="2"/>
    </w:pPr>
    <w:rPr>
      <w:rFonts w:ascii="Calibri" w:hAnsi="Calibri" w:cs="Arial"/>
      <w:b/>
      <w:bCs/>
      <w:sz w:val="32"/>
      <w:szCs w:val="32"/>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pPr>
      <w:spacing w:after="120"/>
    </w:pPr>
  </w:style>
  <w:style w:type="paragraph" w:styleId="5">
    <w:name w:val="Normal Indent"/>
    <w:basedOn w:val="1"/>
    <w:unhideWhenUsed/>
    <w:qFormat/>
    <w:uiPriority w:val="0"/>
    <w:pPr>
      <w:ind w:firstLine="632" w:firstLineChars="2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3">
    <w:name w:val="List Paragraph"/>
    <w:basedOn w:val="1"/>
    <w:qFormat/>
    <w:uiPriority w:val="34"/>
    <w:pPr>
      <w:ind w:firstLine="420" w:firstLineChars="200"/>
    </w:pPr>
  </w:style>
  <w:style w:type="character" w:customStyle="1" w:styleId="14">
    <w:name w:val="font51"/>
    <w:basedOn w:val="12"/>
    <w:qFormat/>
    <w:uiPriority w:val="0"/>
    <w:rPr>
      <w:rFonts w:hint="eastAsia" w:ascii="宋体" w:hAnsi="宋体" w:eastAsia="宋体" w:cs="宋体"/>
      <w:b/>
      <w:bCs/>
      <w:color w:val="000000"/>
      <w:sz w:val="18"/>
      <w:szCs w:val="18"/>
      <w:u w:val="none"/>
    </w:rPr>
  </w:style>
  <w:style w:type="paragraph" w:customStyle="1" w:styleId="1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
    <w:name w:val="章标题"/>
    <w:next w:val="15"/>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17">
    <w:name w:val="xl67"/>
    <w:basedOn w:val="3"/>
    <w:qFormat/>
    <w:uiPriority w:val="0"/>
    <w:pPr>
      <w:ind w:firstLine="420"/>
    </w:pPr>
    <w:rPr>
      <w:rFonts w:cs="Calibri"/>
      <w:szCs w:val="21"/>
    </w:rPr>
  </w:style>
  <w:style w:type="paragraph" w:customStyle="1" w:styleId="18">
    <w:name w:val="附录一级条标题"/>
    <w:basedOn w:val="1"/>
    <w:next w:val="15"/>
    <w:qFormat/>
    <w:uiPriority w:val="0"/>
    <w:pPr>
      <w:widowControl/>
      <w:wordWrap w:val="0"/>
      <w:overflowPunct w:val="0"/>
      <w:autoSpaceDE w:val="0"/>
      <w:autoSpaceDN w:val="0"/>
      <w:textAlignment w:val="baseline"/>
      <w:outlineLvl w:val="2"/>
    </w:pPr>
    <w:rPr>
      <w:rFonts w:ascii="黑体" w:eastAsia="黑体"/>
      <w:kern w:val="21"/>
      <w:szCs w:val="20"/>
    </w:rPr>
  </w:style>
  <w:style w:type="character" w:customStyle="1" w:styleId="19">
    <w:name w:val="标题 3 Char"/>
    <w:basedOn w:val="12"/>
    <w:link w:val="4"/>
    <w:semiHidden/>
    <w:qFormat/>
    <w:uiPriority w:val="9"/>
    <w:rPr>
      <w:rFonts w:ascii="Calibri" w:hAnsi="Calibri" w:cs="Arial"/>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2.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chart" Target="charts/chart2.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chart" Target="charts/chart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89722222222222"/>
          <c:y val="0.0983148148148148"/>
          <c:w val="0.826222222222222"/>
          <c:h val="0.695037037037037"/>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[工作簿1]Sheet1!$B$5:$B$9</c:f>
              <c:strCache>
                <c:ptCount val="5"/>
                <c:pt idx="0">
                  <c:v>燃料化</c:v>
                </c:pt>
                <c:pt idx="1">
                  <c:v>饲料化</c:v>
                </c:pt>
                <c:pt idx="2">
                  <c:v>基料化</c:v>
                </c:pt>
                <c:pt idx="3">
                  <c:v>肥料化</c:v>
                </c:pt>
                <c:pt idx="4">
                  <c:v>原料化</c:v>
                </c:pt>
              </c:strCache>
            </c:strRef>
          </c:cat>
          <c:val>
            <c:numRef>
              <c:f>[工作簿1]Sheet1!$C$5:$C$9</c:f>
              <c:numCache>
                <c:formatCode>0.00%</c:formatCode>
                <c:ptCount val="5"/>
                <c:pt idx="0">
                  <c:v>0.0891</c:v>
                </c:pt>
                <c:pt idx="1">
                  <c:v>0.337</c:v>
                </c:pt>
                <c:pt idx="2">
                  <c:v>0.0003</c:v>
                </c:pt>
                <c:pt idx="3">
                  <c:v>0.1177</c:v>
                </c:pt>
                <c:pt idx="4">
                  <c:v>0.3819</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4"/>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224722222222222"/>
          <c:y val="0.898611111111111"/>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89722222222222"/>
          <c:y val="0.0983148148148148"/>
          <c:w val="0.826222222222222"/>
          <c:h val="0.695037037037037"/>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[工作簿1]Sheet1!$B$5:$B$9</c:f>
              <c:strCache>
                <c:ptCount val="5"/>
                <c:pt idx="0">
                  <c:v>燃料化</c:v>
                </c:pt>
                <c:pt idx="1">
                  <c:v>饲料化</c:v>
                </c:pt>
                <c:pt idx="2">
                  <c:v>基料化</c:v>
                </c:pt>
                <c:pt idx="3">
                  <c:v>肥料化</c:v>
                </c:pt>
                <c:pt idx="4">
                  <c:v>原料化</c:v>
                </c:pt>
              </c:strCache>
            </c:strRef>
          </c:cat>
          <c:val>
            <c:numRef>
              <c:f>[工作簿1]Sheet1!$C$5:$C$9</c:f>
              <c:numCache>
                <c:formatCode>0.00%</c:formatCode>
                <c:ptCount val="5"/>
                <c:pt idx="0">
                  <c:v>0.0891</c:v>
                </c:pt>
                <c:pt idx="1">
                  <c:v>0.337</c:v>
                </c:pt>
                <c:pt idx="2">
                  <c:v>0.0003</c:v>
                </c:pt>
                <c:pt idx="3">
                  <c:v>0.1177</c:v>
                </c:pt>
                <c:pt idx="4">
                  <c:v>0.3819</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4"/>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224722222222222"/>
          <c:y val="0.898611111111111"/>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玉溪市红塔区党政机关单位</Company>
  <Pages>112</Pages>
  <Words>35118</Words>
  <Characters>37813</Characters>
  <Lines>0</Lines>
  <Paragraphs>0</Paragraphs>
  <TotalTime>29</TotalTime>
  <ScaleCrop>false</ScaleCrop>
  <LinksUpToDate>false</LinksUpToDate>
  <CharactersWithSpaces>39325</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2023-07-31T01:33:00Z</dcterms:created>
  <dc:creator>红塔区农业局（区乡村振兴局）</dc:creator>
  <cp:lastModifiedBy>in</cp:lastModifiedBy>
  <dcterms:modified xsi:type="dcterms:W3CDTF">2024-05-15T02:37:12Z</dcterms:modified>
  <dc:title>2023年农作物秸秆综合利用重点县建设项目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644D7685D114460298A6B725F7BC07FC_13</vt:lpwstr>
  </property>
</Properties>
</file>