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hAnsi="Arial" w:eastAsia="方正小标宋_GBK" w:cs="Arial"/>
          <w:sz w:val="44"/>
          <w:szCs w:val="44"/>
          <w:shd w:val="clear" w:color="auto" w:fill="FFFFFF"/>
        </w:rPr>
      </w:pPr>
      <w:r>
        <w:rPr>
          <w:rFonts w:hint="eastAsia" w:ascii="方正小标宋_GBK" w:hAnsi="Arial" w:eastAsia="方正小标宋_GBK" w:cs="Arial"/>
          <w:sz w:val="44"/>
          <w:szCs w:val="44"/>
          <w:shd w:val="clear" w:color="auto" w:fill="FFFFFF"/>
        </w:rPr>
        <w:t>在</w:t>
      </w:r>
      <w:r>
        <w:rPr>
          <w:rStyle w:val="11"/>
          <w:rFonts w:hint="eastAsia" w:ascii="方正小标宋_GBK" w:hAnsi="Arial" w:eastAsia="方正小标宋_GBK" w:cs="Arial"/>
          <w:i w:val="0"/>
          <w:iCs w:val="0"/>
          <w:sz w:val="44"/>
          <w:szCs w:val="44"/>
          <w:shd w:val="clear" w:color="auto" w:fill="FFFFFF"/>
        </w:rPr>
        <w:t>抢抓机遇</w:t>
      </w:r>
      <w:r>
        <w:rPr>
          <w:rFonts w:hint="eastAsia" w:ascii="方正小标宋_GBK" w:hAnsi="Arial" w:eastAsia="方正小标宋_GBK" w:cs="Arial"/>
          <w:sz w:val="44"/>
          <w:szCs w:val="44"/>
          <w:shd w:val="clear" w:color="auto" w:fill="FFFFFF"/>
        </w:rPr>
        <w:t>中乘势而上 在合力攻坚中砥砺前行</w:t>
      </w:r>
    </w:p>
    <w:p>
      <w:pPr>
        <w:spacing w:line="700" w:lineRule="exact"/>
        <w:jc w:val="center"/>
        <w:rPr>
          <w:rFonts w:hint="eastAsia" w:ascii="方正小标宋_GBK" w:eastAsia="方正小标宋_GBK"/>
          <w:sz w:val="44"/>
          <w:szCs w:val="44"/>
        </w:rPr>
      </w:pPr>
      <w:r>
        <w:rPr>
          <w:rFonts w:hint="eastAsia" w:ascii="方正小标宋_GBK" w:eastAsia="方正小标宋_GBK"/>
          <w:bCs/>
          <w:sz w:val="44"/>
          <w:szCs w:val="44"/>
        </w:rPr>
        <w:t>红塔区全面推进医药卫生体制改革工作步伐</w:t>
      </w:r>
    </w:p>
    <w:p>
      <w:pPr>
        <w:spacing w:line="380" w:lineRule="exact"/>
        <w:jc w:val="center"/>
        <w:rPr>
          <w:rFonts w:hint="eastAsia" w:ascii="方正仿宋_GBK" w:eastAsia="方正仿宋_GBK"/>
          <w:sz w:val="32"/>
          <w:szCs w:val="32"/>
        </w:rPr>
      </w:pPr>
    </w:p>
    <w:p>
      <w:pPr>
        <w:spacing w:line="380" w:lineRule="exact"/>
        <w:jc w:val="center"/>
        <w:rPr>
          <w:rFonts w:hint="eastAsia" w:ascii="方正楷体_GBK" w:eastAsia="方正楷体_GBK"/>
          <w:sz w:val="32"/>
          <w:szCs w:val="32"/>
        </w:rPr>
      </w:pPr>
      <w:r>
        <w:rPr>
          <w:rFonts w:hint="eastAsia" w:ascii="方正楷体_GBK" w:eastAsia="方正楷体_GBK"/>
          <w:sz w:val="32"/>
          <w:szCs w:val="32"/>
        </w:rPr>
        <w:t>（红塔区卫生健康局  2020年11月23日）</w:t>
      </w:r>
    </w:p>
    <w:p>
      <w:pPr>
        <w:spacing w:line="600" w:lineRule="exact"/>
        <w:ind w:firstLine="640" w:firstLineChars="200"/>
        <w:jc w:val="left"/>
        <w:rPr>
          <w:rFonts w:hint="eastAsia" w:ascii="方正仿宋_GBK" w:hAnsi="Tahoma" w:eastAsia="方正仿宋_GBK" w:cs="Tahoma"/>
          <w:sz w:val="32"/>
          <w:szCs w:val="32"/>
        </w:rPr>
      </w:pPr>
    </w:p>
    <w:p>
      <w:pPr>
        <w:spacing w:line="600" w:lineRule="exact"/>
        <w:ind w:firstLine="640" w:firstLineChars="200"/>
        <w:jc w:val="left"/>
        <w:rPr>
          <w:rFonts w:ascii="方正仿宋_GBK" w:eastAsia="方正仿宋_GBK"/>
          <w:sz w:val="32"/>
          <w:szCs w:val="32"/>
        </w:rPr>
      </w:pPr>
      <w:r>
        <w:rPr>
          <w:rFonts w:hint="eastAsia" w:ascii="方正仿宋_GBK" w:hAnsi="Tahoma" w:eastAsia="方正仿宋_GBK" w:cs="Tahoma"/>
          <w:sz w:val="32"/>
          <w:szCs w:val="32"/>
        </w:rPr>
        <w:t>近年来，红塔区按照国家和省、市深化医药卫生体制改革工作要求，始终坚持政府主导保基本，强化投入强基层，优化政策建机制的原则</w:t>
      </w:r>
      <w:r>
        <w:rPr>
          <w:rFonts w:hint="eastAsia" w:ascii="方正仿宋_GBK" w:eastAsia="方正仿宋_GBK" w:cs="Times New Roman"/>
          <w:sz w:val="32"/>
          <w:szCs w:val="32"/>
          <w:shd w:val="clear" w:color="auto" w:fill="FFFFFF"/>
        </w:rPr>
        <w:t>，</w:t>
      </w:r>
      <w:r>
        <w:rPr>
          <w:rFonts w:hint="eastAsia" w:ascii="方正仿宋_GBK" w:hAnsi="方正仿宋_GBK" w:eastAsia="方正仿宋_GBK" w:cs="方正仿宋_GBK"/>
          <w:sz w:val="32"/>
          <w:szCs w:val="32"/>
        </w:rPr>
        <w:t>不断加大政府投入力度，完善三个运行补偿机制，稳妥推进薪酬制度改革，稳步推进区域医共体建设和家庭医生签约服务，</w:t>
      </w:r>
      <w:r>
        <w:rPr>
          <w:rFonts w:hint="eastAsia" w:ascii="方正仿宋_GBK" w:hAnsi="华文仿宋" w:eastAsia="方正仿宋_GBK" w:cs="Times New Roman"/>
          <w:sz w:val="32"/>
          <w:szCs w:val="32"/>
          <w:shd w:val="clear" w:color="auto" w:fill="FFFFFF"/>
        </w:rPr>
        <w:t>并取得了初步成效</w:t>
      </w:r>
      <w:r>
        <w:rPr>
          <w:rFonts w:hint="eastAsia" w:ascii="方正仿宋_GBK" w:eastAsia="方正仿宋_GBK"/>
          <w:sz w:val="32"/>
          <w:szCs w:val="32"/>
        </w:rPr>
        <w:t>。现将相关工作情况报告如下：</w:t>
      </w:r>
    </w:p>
    <w:p>
      <w:pPr>
        <w:spacing w:line="600" w:lineRule="exact"/>
        <w:ind w:firstLine="640" w:firstLineChars="200"/>
        <w:jc w:val="left"/>
        <w:rPr>
          <w:rFonts w:ascii="黑体" w:hAnsi="黑体" w:eastAsia="黑体"/>
          <w:sz w:val="32"/>
          <w:szCs w:val="32"/>
          <w:shd w:val="clear" w:color="auto" w:fill="FFFFFF"/>
        </w:rPr>
      </w:pPr>
      <w:r>
        <w:rPr>
          <w:rFonts w:hint="eastAsia" w:ascii="方正黑体_GBK" w:eastAsia="方正黑体_GBK"/>
          <w:sz w:val="32"/>
          <w:szCs w:val="32"/>
        </w:rPr>
        <w:t xml:space="preserve"> 一、</w:t>
      </w:r>
      <w:r>
        <w:rPr>
          <w:rFonts w:hint="eastAsia" w:ascii="黑体" w:hAnsi="黑体" w:eastAsia="黑体"/>
          <w:sz w:val="32"/>
          <w:szCs w:val="32"/>
          <w:shd w:val="clear" w:color="auto" w:fill="FFFFFF"/>
        </w:rPr>
        <w:t>主要做法及成效</w:t>
      </w:r>
    </w:p>
    <w:p>
      <w:pPr>
        <w:pStyle w:val="3"/>
        <w:spacing w:line="600" w:lineRule="exact"/>
        <w:ind w:firstLine="640" w:firstLineChars="200"/>
        <w:jc w:val="left"/>
        <w:rPr>
          <w:rFonts w:ascii="方正楷体_GBK" w:eastAsia="方正楷体_GBK"/>
          <w:sz w:val="32"/>
          <w:szCs w:val="32"/>
        </w:rPr>
      </w:pPr>
      <w:r>
        <w:rPr>
          <w:rFonts w:hint="eastAsia" w:ascii="方正楷体_GBK" w:eastAsia="方正楷体_GBK"/>
          <w:sz w:val="32"/>
          <w:szCs w:val="32"/>
        </w:rPr>
        <w:t>（一）加强组织领导，确保改革有效推进。</w:t>
      </w:r>
    </w:p>
    <w:p>
      <w:pPr>
        <w:pStyle w:val="3"/>
        <w:spacing w:line="570" w:lineRule="exact"/>
        <w:ind w:firstLine="640" w:firstLineChars="200"/>
        <w:rPr>
          <w:rFonts w:ascii="方正仿宋_GBK" w:eastAsia="方正仿宋_GBK"/>
          <w:sz w:val="32"/>
          <w:szCs w:val="32"/>
        </w:rPr>
      </w:pPr>
      <w:r>
        <w:rPr>
          <w:rFonts w:hint="eastAsia" w:ascii="方正仿宋_GBK" w:eastAsia="方正仿宋_GBK"/>
          <w:sz w:val="32"/>
          <w:szCs w:val="32"/>
        </w:rPr>
        <w:t>一是党委统筹领导到位。成立了由区委书记任组长的改革领导小组和由区委副书记、区长任主任的公立医院管理委员会，全面</w:t>
      </w:r>
      <w:r>
        <w:rPr>
          <w:rFonts w:hint="eastAsia" w:ascii="方正仿宋_GBK" w:hAnsi="宋体" w:eastAsia="方正仿宋_GBK"/>
          <w:sz w:val="32"/>
          <w:szCs w:val="32"/>
        </w:rPr>
        <w:t>加强对深化医药卫生体制改革的领导、督导和考核评价，同步成立医共体党委，全面推进医共体建设。二是责任落实到位。</w:t>
      </w:r>
      <w:r>
        <w:rPr>
          <w:rFonts w:hint="eastAsia" w:eastAsia="方正仿宋_GBK"/>
          <w:sz w:val="32"/>
          <w:szCs w:val="32"/>
        </w:rPr>
        <w:t>区政府把深化医药卫生体制改革纳入政府目标工作责任书和卫生工作目标责任书全力推动。区纪委监委督查、区委督查室督查和人大监督各项监督合力有效促进</w:t>
      </w:r>
      <w:r>
        <w:rPr>
          <w:rFonts w:hint="eastAsia" w:ascii="方正仿宋_GBK" w:eastAsia="方正仿宋_GBK"/>
          <w:sz w:val="32"/>
          <w:szCs w:val="32"/>
        </w:rPr>
        <w:t>。三是部门协作到位。随着机构改革不断推进和成立医保局，加大全民医疗保障工作力度。区卫健、人社、财政、医保、发改分工协作的工作机制全面完善，医药、医保，医疗三医联动不断加强。四是投入保障到位。</w:t>
      </w:r>
      <w:r>
        <w:rPr>
          <w:rFonts w:hint="eastAsia" w:ascii="方正仿宋_GBK" w:hAnsi="方正仿宋_GBK" w:eastAsia="方正仿宋_GBK" w:cs="方正仿宋_GBK"/>
          <w:kern w:val="0"/>
          <w:sz w:val="32"/>
          <w:szCs w:val="32"/>
        </w:rPr>
        <w:t>2020年，投入7000</w:t>
      </w:r>
      <w:bookmarkStart w:id="0" w:name="_GoBack"/>
      <w:r>
        <w:rPr>
          <w:rFonts w:hint="eastAsia" w:ascii="方正仿宋_GBK" w:hAnsi="方正仿宋_GBK" w:eastAsia="方正仿宋_GBK" w:cs="方正仿宋_GBK"/>
          <w:kern w:val="0"/>
          <w:sz w:val="32"/>
          <w:szCs w:val="32"/>
        </w:rPr>
        <w:t>多</w:t>
      </w:r>
      <w:bookmarkEnd w:id="0"/>
      <w:r>
        <w:rPr>
          <w:rFonts w:hint="eastAsia" w:ascii="方正仿宋_GBK" w:hAnsi="方正仿宋_GBK" w:eastAsia="方正仿宋_GBK" w:cs="方正仿宋_GBK"/>
          <w:kern w:val="0"/>
          <w:sz w:val="32"/>
          <w:szCs w:val="32"/>
        </w:rPr>
        <w:t>万元实施基层能力提升工程和公立医院能力达标工程，完善公共卫生应急体系建设和物资储备制度。将公立医院6项补助列入财政预算，优先予以保障，</w:t>
      </w:r>
      <w:r>
        <w:rPr>
          <w:rFonts w:hint="eastAsia" w:ascii="方正仿宋_GBK" w:eastAsia="方正仿宋_GBK"/>
          <w:sz w:val="32"/>
          <w:szCs w:val="32"/>
        </w:rPr>
        <w:t>为改革提供了坚实有力的基础保障。</w:t>
      </w:r>
    </w:p>
    <w:p>
      <w:pPr>
        <w:pStyle w:val="3"/>
        <w:spacing w:line="570" w:lineRule="exact"/>
        <w:ind w:firstLine="640" w:firstLineChars="200"/>
        <w:rPr>
          <w:rFonts w:ascii="方正楷体_GBK" w:eastAsia="方正楷体_GBK"/>
          <w:sz w:val="32"/>
          <w:szCs w:val="32"/>
        </w:rPr>
      </w:pPr>
      <w:r>
        <w:rPr>
          <w:rFonts w:hint="eastAsia" w:ascii="方正楷体_GBK" w:eastAsia="方正楷体_GBK"/>
          <w:sz w:val="32"/>
          <w:szCs w:val="32"/>
        </w:rPr>
        <w:t>（二）坚持共同发展齐头并进“抓龙头”。</w:t>
      </w:r>
    </w:p>
    <w:p>
      <w:pPr>
        <w:pStyle w:val="7"/>
        <w:shd w:val="clear" w:color="auto" w:fill="FFFFFF"/>
        <w:snapToGrid w:val="0"/>
        <w:spacing w:before="0" w:beforeAutospacing="0" w:after="0" w:afterAutospacing="0" w:line="570" w:lineRule="exact"/>
        <w:ind w:firstLine="640" w:firstLineChars="200"/>
        <w:jc w:val="both"/>
        <w:rPr>
          <w:rFonts w:ascii="方正仿宋_GBK" w:hAnsi="Times New Roman" w:eastAsia="方正仿宋_GBK" w:cs="Times New Roman"/>
          <w:bCs/>
          <w:sz w:val="32"/>
          <w:szCs w:val="32"/>
        </w:rPr>
      </w:pPr>
      <w:r>
        <w:rPr>
          <w:rFonts w:hint="eastAsia" w:ascii="方正仿宋_GBK" w:eastAsia="方正仿宋_GBK"/>
          <w:sz w:val="32"/>
          <w:szCs w:val="32"/>
        </w:rPr>
        <w:t>为实现“基层首诊、双向转诊、急慢分治、上下联动”的分级诊疗机制，构建科学合理医疗服务体系，在区医院管理委员会的统一领导下，稳步推进区域医共体建设。经过两年多的实施，已</w:t>
      </w:r>
      <w:r>
        <w:rPr>
          <w:rFonts w:hint="eastAsia" w:ascii="方正仿宋_GBK" w:hAnsi="Times New Roman" w:eastAsia="方正仿宋_GBK" w:cs="Times New Roman"/>
          <w:sz w:val="32"/>
          <w:szCs w:val="32"/>
        </w:rPr>
        <w:t>按照“六统一”要求，</w:t>
      </w:r>
      <w:r>
        <w:rPr>
          <w:rFonts w:hint="eastAsia" w:ascii="方正仿宋_GBK" w:eastAsia="方正仿宋_GBK"/>
          <w:sz w:val="32"/>
          <w:szCs w:val="32"/>
        </w:rPr>
        <w:t>全面完善</w:t>
      </w:r>
      <w:r>
        <w:rPr>
          <w:rFonts w:hint="eastAsia" w:ascii="方正仿宋_GBK" w:hAnsi="Times New Roman" w:eastAsia="方正仿宋_GBK" w:cs="Times New Roman"/>
          <w:sz w:val="32"/>
          <w:szCs w:val="32"/>
        </w:rPr>
        <w:t>医共体统一法人治理形式，逐步理顺了医共体治理机制。</w:t>
      </w:r>
      <w:r>
        <w:rPr>
          <w:rFonts w:hint="eastAsia" w:ascii="方正仿宋_GBK" w:eastAsia="方正仿宋_GBK"/>
          <w:sz w:val="32"/>
          <w:szCs w:val="32"/>
        </w:rPr>
        <w:t>“一院三片区”的实施架构和“12院+1公司+7中心（1个总医院，11个分院，公共卫生服务中心、财务管理中心、影像诊断中心、检验中心、体检中心、信息中心、后勤供应中心）”的红塔医共体建设模式基本形成。2020年以来，</w:t>
      </w:r>
      <w:r>
        <w:rPr>
          <w:rFonts w:hint="eastAsia" w:ascii="方正仿宋_GBK" w:hAnsi="Times New Roman" w:eastAsia="方正仿宋_GBK" w:cs="Times New Roman"/>
          <w:kern w:val="2"/>
          <w:sz w:val="32"/>
          <w:szCs w:val="32"/>
        </w:rPr>
        <w:t>已召开医共体全体理事会1次，常务理事会8次，决策各类发展事项35项。召开医共体党委会2次，做出重大决策3项。制定各项工作制度和</w:t>
      </w:r>
      <w:r>
        <w:rPr>
          <w:rFonts w:hint="eastAsia" w:ascii="方正仿宋_GBK" w:hAnsi="仿宋" w:eastAsia="方正仿宋_GBK" w:cs="微软雅黑"/>
          <w:snapToGrid w:val="0"/>
          <w:sz w:val="32"/>
          <w:szCs w:val="32"/>
          <w:shd w:val="clear" w:color="auto" w:fill="FFFFFF"/>
        </w:rPr>
        <w:t>规章30余项。</w:t>
      </w:r>
      <w:r>
        <w:rPr>
          <w:rFonts w:hint="eastAsia" w:ascii="方正仿宋_GBK" w:hAnsi="Times New Roman" w:eastAsia="方正仿宋_GBK" w:cs="Times New Roman"/>
          <w:kern w:val="2"/>
          <w:sz w:val="32"/>
          <w:szCs w:val="32"/>
        </w:rPr>
        <w:t>公共卫生服务中心、财务管理中心、影响诊断中心、体检中心、信息中心已完成建设，人力资源管理中心、后勤服务中心、医管中心正在建设完善，区域检验中心因业务用房受限正在筹备。同时，红塔区医共体</w:t>
      </w:r>
      <w:r>
        <w:rPr>
          <w:rFonts w:hint="eastAsia" w:ascii="方正仿宋_GBK" w:hAnsi="Times New Roman" w:eastAsia="方正仿宋_GBK" w:cs="Times New Roman"/>
          <w:sz w:val="32"/>
          <w:szCs w:val="32"/>
        </w:rPr>
        <w:t>逐步</w:t>
      </w:r>
      <w:r>
        <w:rPr>
          <w:rFonts w:hint="eastAsia" w:ascii="方正仿宋_GBK" w:hAnsi="Times New Roman" w:eastAsia="方正仿宋_GBK" w:cs="Times New Roman"/>
          <w:bCs/>
          <w:sz w:val="32"/>
          <w:szCs w:val="32"/>
        </w:rPr>
        <w:t>建立和完善了医共体物资采购管理办法</w:t>
      </w:r>
      <w:r>
        <w:rPr>
          <w:rFonts w:hint="eastAsia" w:ascii="方正仿宋_GBK" w:hAnsi="Times New Roman" w:eastAsia="方正仿宋_GBK" w:cs="Times New Roman"/>
          <w:sz w:val="32"/>
          <w:szCs w:val="32"/>
        </w:rPr>
        <w:t>、制定了医共体物资采购管理流程、完善了医共体物资采购内控制度，完成了医共体</w:t>
      </w:r>
      <w:r>
        <w:rPr>
          <w:rFonts w:hint="eastAsia" w:ascii="方正仿宋_GBK" w:hAnsi="Times New Roman" w:eastAsia="方正仿宋_GBK" w:cs="Times New Roman"/>
          <w:bCs/>
          <w:sz w:val="32"/>
          <w:szCs w:val="32"/>
        </w:rPr>
        <w:t>各成员单位医疗设备资产盘查</w:t>
      </w:r>
      <w:r>
        <w:rPr>
          <w:rFonts w:hint="eastAsia" w:ascii="方正仿宋_GBK" w:hAnsi="Times New Roman" w:eastAsia="方正仿宋_GBK" w:cs="Times New Roman"/>
          <w:sz w:val="32"/>
          <w:szCs w:val="32"/>
        </w:rPr>
        <w:t>，摸清了医共体各成员单位医疗设备家底，为医共体医疗设备“全生命周期”管理夯实了基础。尤其是在疫情期间，实现了医共体内所有防控物资的统一采购、统一分配、统一调配使用，较好的</w:t>
      </w:r>
      <w:r>
        <w:rPr>
          <w:rFonts w:hint="eastAsia" w:ascii="方正仿宋_GBK" w:hAnsi="Times New Roman" w:eastAsia="方正仿宋_GBK" w:cs="Times New Roman"/>
          <w:bCs/>
          <w:sz w:val="32"/>
          <w:szCs w:val="32"/>
        </w:rPr>
        <w:t>完成了红塔区疫情防控医疗物资保障工作。</w:t>
      </w:r>
    </w:p>
    <w:p>
      <w:pPr>
        <w:pStyle w:val="7"/>
        <w:shd w:val="clear" w:color="auto" w:fill="FFFFFF"/>
        <w:snapToGrid w:val="0"/>
        <w:spacing w:before="0" w:beforeAutospacing="0" w:after="0" w:afterAutospacing="0" w:line="570" w:lineRule="exact"/>
        <w:ind w:firstLine="640" w:firstLineChars="200"/>
        <w:jc w:val="both"/>
        <w:rPr>
          <w:rFonts w:ascii="方正仿宋_GBK" w:hAnsi="Times New Roman" w:eastAsia="方正仿宋_GBK" w:cs="Times New Roman"/>
          <w:sz w:val="32"/>
          <w:szCs w:val="32"/>
        </w:rPr>
      </w:pPr>
      <w:r>
        <w:rPr>
          <w:rFonts w:hint="eastAsia" w:ascii="方正楷体_GBK" w:eastAsia="方正楷体_GBK"/>
          <w:sz w:val="32"/>
          <w:szCs w:val="32"/>
        </w:rPr>
        <w:t>（三）坚持基础建设上下推进“补短板”。</w:t>
      </w:r>
    </w:p>
    <w:p>
      <w:pPr>
        <w:spacing w:line="570" w:lineRule="exact"/>
        <w:ind w:firstLine="643" w:firstLineChars="200"/>
        <w:rPr>
          <w:rFonts w:ascii="方正仿宋_GBK" w:hAnsi="华文仿宋" w:eastAsia="方正仿宋_GBK"/>
          <w:sz w:val="32"/>
          <w:szCs w:val="32"/>
        </w:rPr>
      </w:pPr>
      <w:r>
        <w:rPr>
          <w:rFonts w:hint="eastAsia" w:ascii="方正仿宋_GBK" w:hAnsi="仿宋_GB2312" w:eastAsia="方正仿宋_GBK" w:cs="仿宋_GB2312"/>
          <w:b/>
          <w:sz w:val="32"/>
          <w:szCs w:val="32"/>
        </w:rPr>
        <w:t>一是补网底能力短板，提综合服务水平。</w:t>
      </w:r>
      <w:r>
        <w:rPr>
          <w:rFonts w:hint="eastAsia" w:ascii="方正仿宋_GBK" w:hAnsi="仿宋_GB2312" w:eastAsia="方正仿宋_GBK" w:cs="仿宋_GB2312"/>
          <w:sz w:val="32"/>
          <w:szCs w:val="32"/>
        </w:rPr>
        <w:t>加大全区村卫生室规范化建设力度，将村卫生室建设纳入政府民生工程。目前，已经投入</w:t>
      </w:r>
      <w:r>
        <w:rPr>
          <w:rFonts w:hint="eastAsia" w:ascii="方正仿宋_GBK" w:hAnsi="微软雅黑" w:eastAsia="方正仿宋_GBK"/>
          <w:sz w:val="32"/>
          <w:szCs w:val="32"/>
        </w:rPr>
        <w:t>资金1310万元，完成新建、改扩建村卫生室48所，建设面积10950</w:t>
      </w:r>
      <w:r>
        <w:rPr>
          <w:rFonts w:hint="eastAsia" w:ascii="方正仿宋_GBK" w:eastAsia="方正仿宋_GBK"/>
          <w:sz w:val="32"/>
          <w:szCs w:val="32"/>
        </w:rPr>
        <w:t>㎡</w:t>
      </w:r>
      <w:r>
        <w:rPr>
          <w:rFonts w:hint="eastAsia" w:ascii="方正仿宋_GBK" w:hAnsi="微软雅黑" w:eastAsia="方正仿宋_GBK"/>
          <w:sz w:val="32"/>
          <w:szCs w:val="32"/>
        </w:rPr>
        <w:t>。</w:t>
      </w:r>
      <w:r>
        <w:rPr>
          <w:rFonts w:hint="eastAsia" w:ascii="方正仿宋_GBK" w:hAnsi="微软雅黑" w:eastAsia="方正仿宋_GBK"/>
          <w:spacing w:val="8"/>
          <w:sz w:val="32"/>
          <w:szCs w:val="32"/>
          <w:shd w:val="clear" w:color="auto" w:fill="FFFFFF"/>
        </w:rPr>
        <w:t>确保每个村卫生室建筑面积不低于60平方米，设有</w:t>
      </w:r>
      <w:r>
        <w:rPr>
          <w:rFonts w:hint="eastAsia" w:ascii="方正仿宋_GBK" w:hAnsi="微软雅黑" w:eastAsia="方正仿宋_GBK"/>
          <w:sz w:val="32"/>
          <w:szCs w:val="32"/>
        </w:rPr>
        <w:t>诊断室、药房、治疗室、接种室、防保室。2019年末，红塔区设74个村卫生室，总建筑面积14701</w:t>
      </w:r>
      <w:r>
        <w:rPr>
          <w:rFonts w:hint="eastAsia" w:ascii="方正仿宋_GBK" w:eastAsia="方正仿宋_GBK"/>
          <w:sz w:val="32"/>
          <w:szCs w:val="32"/>
        </w:rPr>
        <w:t>㎡</w:t>
      </w:r>
      <w:r>
        <w:rPr>
          <w:rFonts w:hint="eastAsia" w:ascii="方正仿宋_GBK" w:hAnsi="微软雅黑" w:eastAsia="方正仿宋_GBK"/>
          <w:sz w:val="32"/>
          <w:szCs w:val="32"/>
        </w:rPr>
        <w:t>，平均面积199</w:t>
      </w:r>
      <w:r>
        <w:rPr>
          <w:rFonts w:hint="eastAsia" w:ascii="方正仿宋_GBK" w:eastAsia="方正仿宋_GBK"/>
          <w:sz w:val="32"/>
          <w:szCs w:val="32"/>
        </w:rPr>
        <w:t>㎡。</w:t>
      </w:r>
      <w:r>
        <w:rPr>
          <w:rFonts w:hint="eastAsia" w:ascii="方正仿宋_GBK" w:hAnsi="微软雅黑" w:eastAsia="方正仿宋_GBK"/>
          <w:sz w:val="32"/>
          <w:szCs w:val="32"/>
        </w:rPr>
        <w:t>与2009年相比，村卫生室总面积净增2120</w:t>
      </w:r>
      <w:r>
        <w:rPr>
          <w:rFonts w:hint="eastAsia" w:ascii="方正仿宋_GBK" w:eastAsia="方正仿宋_GBK"/>
          <w:sz w:val="32"/>
          <w:szCs w:val="32"/>
        </w:rPr>
        <w:t>㎡，平均净增面积29㎡</w:t>
      </w:r>
      <w:r>
        <w:rPr>
          <w:rFonts w:hint="eastAsia" w:ascii="方正仿宋_GBK" w:hAnsi="微软雅黑" w:eastAsia="方正仿宋_GBK"/>
          <w:sz w:val="32"/>
          <w:szCs w:val="32"/>
        </w:rPr>
        <w:t>。2020年10村卫生室新建项目和12个村卫生室改造项目受疫情影响启动较晚，目前已经完成立项、设计等前期工作，计划9月底动工，年内完成建设。</w:t>
      </w:r>
      <w:r>
        <w:rPr>
          <w:rFonts w:hint="eastAsia" w:ascii="方正仿宋_GBK" w:hAnsi="仿宋_GB2312" w:eastAsia="方正仿宋_GBK" w:cs="仿宋_GB2312"/>
          <w:sz w:val="32"/>
          <w:szCs w:val="32"/>
        </w:rPr>
        <w:t>为留住基层医疗机构人才、补人才短板，</w:t>
      </w:r>
      <w:r>
        <w:rPr>
          <w:rFonts w:hint="eastAsia" w:ascii="方正仿宋_GBK" w:hAnsi="微软雅黑" w:eastAsia="方正仿宋_GBK"/>
          <w:sz w:val="32"/>
          <w:szCs w:val="32"/>
        </w:rPr>
        <w:t>公开招聘106名中专及以上毕业生充实到村卫生室工作。目前，红塔区</w:t>
      </w:r>
      <w:r>
        <w:rPr>
          <w:rFonts w:hint="eastAsia" w:ascii="方正仿宋_GBK" w:hAnsi="华文仿宋" w:eastAsia="方正仿宋_GBK"/>
          <w:sz w:val="32"/>
          <w:szCs w:val="32"/>
        </w:rPr>
        <w:t>在职乡村医生285人。</w:t>
      </w:r>
      <w:r>
        <w:rPr>
          <w:rFonts w:hint="eastAsia" w:ascii="方正仿宋_GBK" w:hAnsi="微软雅黑" w:eastAsia="方正仿宋_GBK"/>
          <w:sz w:val="32"/>
          <w:szCs w:val="32"/>
        </w:rPr>
        <w:t>其中，</w:t>
      </w:r>
      <w:r>
        <w:rPr>
          <w:rFonts w:hint="eastAsia" w:ascii="方正仿宋_GBK" w:hAnsi="华文仿宋" w:eastAsia="方正仿宋_GBK"/>
          <w:sz w:val="32"/>
          <w:szCs w:val="32"/>
        </w:rPr>
        <w:t>中专以上学历281人，占98.60% ；取得执业助理医师及以上资格57人，占20%；取得执业护士资格82人，占28.77％；乡村医生资格144人，占48%。截</w:t>
      </w:r>
      <w:r>
        <w:rPr>
          <w:rFonts w:hint="eastAsia" w:ascii="方正仿宋_GBK" w:hAnsi="华文仿宋" w:eastAsia="方正仿宋_GBK"/>
          <w:sz w:val="32"/>
          <w:szCs w:val="32"/>
          <w:lang w:val="en-US" w:eastAsia="zh-CN"/>
        </w:rPr>
        <w:t>至</w:t>
      </w:r>
      <w:r>
        <w:rPr>
          <w:rFonts w:hint="eastAsia" w:ascii="方正仿宋_GBK" w:hAnsi="华文仿宋" w:eastAsia="方正仿宋_GBK"/>
          <w:sz w:val="32"/>
          <w:szCs w:val="32"/>
        </w:rPr>
        <w:t>2020年9月底，因新冠肺炎疫情影响，区属医疗卫生机构诊疗量较上年有所下降。</w:t>
      </w:r>
      <w:r>
        <w:rPr>
          <w:rFonts w:hint="eastAsia" w:ascii="方正仿宋_GBK" w:eastAsia="方正仿宋_GBK"/>
          <w:sz w:val="32"/>
          <w:szCs w:val="32"/>
        </w:rPr>
        <w:t>其中，区医共体总院</w:t>
      </w:r>
      <w:r>
        <w:rPr>
          <w:rFonts w:hint="eastAsia" w:ascii="方正仿宋_GBK" w:hAnsi="华文仿宋" w:eastAsia="方正仿宋_GBK"/>
          <w:sz w:val="32"/>
          <w:szCs w:val="32"/>
        </w:rPr>
        <w:t>完成门急诊332669人次（去年同期317509人次），同比上升4.77%；乡镇卫生院（社区卫生服务中心）完成门急诊530833人次（去年同期573966人次），同比下降7.51%；卫生室（站）完成门急诊561195人次（去年同期568902人次），同比下降1.35%。</w:t>
      </w:r>
    </w:p>
    <w:p>
      <w:pPr>
        <w:pStyle w:val="3"/>
        <w:spacing w:line="570" w:lineRule="exact"/>
        <w:ind w:firstLine="630" w:firstLineChars="196"/>
        <w:rPr>
          <w:rFonts w:ascii="方正仿宋_GBK" w:hAnsi="仿宋_GB2312" w:eastAsia="方正仿宋_GBK" w:cs="仿宋_GB2312"/>
          <w:b/>
          <w:sz w:val="32"/>
          <w:szCs w:val="32"/>
        </w:rPr>
      </w:pPr>
      <w:r>
        <w:rPr>
          <w:rFonts w:hint="eastAsia" w:ascii="方正仿宋_GBK" w:hAnsi="仿宋_GB2312" w:eastAsia="方正仿宋_GBK" w:cs="仿宋_GB2312"/>
          <w:b/>
          <w:sz w:val="32"/>
          <w:szCs w:val="32"/>
        </w:rPr>
        <w:t>二是补区乡发展短板，提高区域服务能力。</w:t>
      </w:r>
      <w:r>
        <w:rPr>
          <w:rFonts w:hint="eastAsia" w:ascii="方正仿宋_GBK" w:hAnsi="仿宋_GB2312" w:eastAsia="方正仿宋_GBK" w:cs="仿宋_GB2312"/>
          <w:sz w:val="32"/>
          <w:szCs w:val="32"/>
        </w:rPr>
        <w:t>为进一步提升红塔区区乡两级医疗卫生服务业务用房受限短板，通过积极争取国开行和疫情专项债券项目，成立区政府卫健项目推进指挥部，区按项目抽调精干力量组成专项工作组，区乡两级基础设施建设项目全面加速。市第三人民医院迁建、红塔区中医院医院新建项目已经完成设计等前期工作，两个项目计划十二月中旬开工。区妇幼保健能力提升项目，研和中心卫生院、高仓卫生院迁建，北城卫生院扩建，李棋卫生院和春和卫生院重建项目同步开展各项前期工作。</w:t>
      </w:r>
    </w:p>
    <w:p>
      <w:pPr>
        <w:spacing w:line="570" w:lineRule="exact"/>
        <w:ind w:firstLine="643" w:firstLineChars="200"/>
        <w:rPr>
          <w:rFonts w:ascii="方正仿宋_GBK" w:eastAsia="方正仿宋_GBK" w:cs="Times New Roman"/>
          <w:sz w:val="32"/>
          <w:szCs w:val="32"/>
        </w:rPr>
      </w:pPr>
      <w:r>
        <w:rPr>
          <w:rFonts w:hint="eastAsia" w:ascii="方正仿宋_GBK" w:hAnsi="仿宋_GB2312" w:eastAsia="方正仿宋_GBK" w:cs="仿宋_GB2312"/>
          <w:b/>
          <w:sz w:val="32"/>
          <w:szCs w:val="32"/>
        </w:rPr>
        <w:t>三是补中医药发展短板，推多元化服务。</w:t>
      </w:r>
      <w:r>
        <w:rPr>
          <w:rFonts w:hint="eastAsia" w:ascii="方正仿宋_GBK" w:hAnsi="仿宋_GB2312" w:eastAsia="方正仿宋_GBK" w:cs="仿宋_GB2312"/>
          <w:sz w:val="32"/>
          <w:szCs w:val="32"/>
        </w:rPr>
        <w:t>红塔区以国家中医药示范单位创建和全国第四次中医药资源普查为抓手，加大各项投入，调整政策扶持力度全面补足发展短板。目前，已经</w:t>
      </w:r>
      <w:r>
        <w:rPr>
          <w:rFonts w:hint="eastAsia" w:ascii="方正仿宋_GBK" w:eastAsia="方正仿宋_GBK" w:cs="Times New Roman"/>
          <w:sz w:val="32"/>
          <w:szCs w:val="32"/>
        </w:rPr>
        <w:t>全面实现乡镇卫生院（社区卫生服务中心）有一个规范的中医科室或中医馆，73%以上的村卫生室都能开展中医适宜技术服务，医保政策对中药饮片处方提高5个点的报销比例。基层医疗机构中医药门诊占总门诊量从2012年的7.32%上升到目前的19.35%。全国第四次中医药资源普查工作红塔区在全省率先完成野外作业，转入标本制作和资料整理汇编，工作进度获得省级表扬。当前中医药特色服务正在成为我区医疗领域的重要力量</w:t>
      </w:r>
      <w:r>
        <w:rPr>
          <w:rFonts w:hint="eastAsia" w:ascii="方正仿宋_GBK" w:hAnsi="仿宋_GB2312" w:eastAsia="方正仿宋_GBK" w:cs="仿宋_GB2312"/>
          <w:sz w:val="32"/>
          <w:szCs w:val="32"/>
        </w:rPr>
        <w:t>，呈跨越式发展态势</w:t>
      </w:r>
      <w:r>
        <w:rPr>
          <w:rFonts w:hint="eastAsia" w:ascii="方正仿宋_GBK" w:eastAsia="方正仿宋_GBK" w:cs="Times New Roman"/>
          <w:sz w:val="32"/>
          <w:szCs w:val="32"/>
        </w:rPr>
        <w:t>。</w:t>
      </w:r>
    </w:p>
    <w:p>
      <w:pPr>
        <w:pStyle w:val="3"/>
        <w:spacing w:line="570" w:lineRule="exact"/>
        <w:rPr>
          <w:rFonts w:ascii="楷体_GB2312" w:eastAsia="楷体_GB2312"/>
          <w:sz w:val="32"/>
          <w:szCs w:val="32"/>
        </w:rPr>
      </w:pPr>
      <w:r>
        <w:rPr>
          <w:rFonts w:hint="eastAsia" w:ascii="楷体_GB2312" w:eastAsia="楷体_GB2312"/>
          <w:sz w:val="32"/>
          <w:szCs w:val="32"/>
        </w:rPr>
        <w:t xml:space="preserve">  （四）坚持以人为本简化流程“优服务”。</w:t>
      </w:r>
    </w:p>
    <w:p>
      <w:pPr>
        <w:spacing w:line="570" w:lineRule="exact"/>
        <w:ind w:firstLine="643" w:firstLineChars="200"/>
        <w:rPr>
          <w:rFonts w:ascii="方正仿宋_GBK" w:hAnsi="方正仿宋_GBK" w:eastAsia="方正仿宋_GBK" w:cs="方正仿宋_GBK"/>
          <w:sz w:val="32"/>
          <w:szCs w:val="32"/>
        </w:rPr>
      </w:pPr>
      <w:r>
        <w:rPr>
          <w:rFonts w:hint="eastAsia" w:ascii="方正仿宋_GBK" w:eastAsia="方正仿宋_GBK"/>
          <w:b/>
          <w:sz w:val="32"/>
          <w:szCs w:val="32"/>
        </w:rPr>
        <w:t>一是优化服务系统，提升服务能力水平。</w:t>
      </w:r>
      <w:r>
        <w:rPr>
          <w:rFonts w:hint="eastAsia" w:ascii="方正仿宋_GBK" w:eastAsia="方正仿宋_GBK"/>
          <w:sz w:val="32"/>
          <w:szCs w:val="32"/>
        </w:rPr>
        <w:t>结合医共体信息化建设和群众看病就医需要，市第三人民医院</w:t>
      </w:r>
      <w:r>
        <w:rPr>
          <w:rFonts w:hint="eastAsia" w:ascii="方正仿宋_GBK" w:eastAsia="方正仿宋_GBK"/>
          <w:kern w:val="0"/>
          <w:sz w:val="32"/>
          <w:szCs w:val="32"/>
        </w:rPr>
        <w:t>对医院信息管理系统进行了全面升级改造，</w:t>
      </w:r>
      <w:r>
        <w:rPr>
          <w:rFonts w:hint="eastAsia" w:ascii="方正仿宋_GBK" w:hAnsi="_4eff_5b8b_GB2312" w:eastAsia="方正仿宋_GBK" w:cs="宋体"/>
          <w:kern w:val="0"/>
          <w:sz w:val="32"/>
          <w:szCs w:val="32"/>
        </w:rPr>
        <w:t>在原有信息化建设的基础上，全新引入H-ERP综合运营管理平台，影像传输、临床路径、合理用药、排队叫号、银医一卡通等多个管理系统。</w:t>
      </w:r>
      <w:r>
        <w:rPr>
          <w:rFonts w:hint="eastAsia" w:ascii="方正仿宋_GBK" w:hAnsi="方正仿宋_GBK" w:eastAsia="方正仿宋_GBK" w:cs="方正仿宋_GBK"/>
          <w:sz w:val="32"/>
          <w:szCs w:val="32"/>
        </w:rPr>
        <w:t>目前，患者不仅可以就医平台进行在线挂号和退号，还可以在线查看自己的检验、检查等结果。</w:t>
      </w:r>
      <w:r>
        <w:rPr>
          <w:rFonts w:hint="eastAsia" w:ascii="方正仿宋_GBK" w:hAnsi="方正仿宋_GBK" w:eastAsia="方正仿宋_GBK" w:cs="方正仿宋_GBK"/>
          <w:sz w:val="32"/>
          <w:szCs w:val="32"/>
          <w:lang w:eastAsia="zh-CN"/>
        </w:rPr>
        <w:t>截至</w:t>
      </w:r>
      <w:r>
        <w:rPr>
          <w:rFonts w:hint="eastAsia" w:ascii="方正仿宋_GBK" w:hAnsi="华文仿宋" w:eastAsia="方正仿宋_GBK"/>
          <w:sz w:val="32"/>
          <w:szCs w:val="32"/>
        </w:rPr>
        <w:t>2020年9月底</w:t>
      </w:r>
      <w:r>
        <w:rPr>
          <w:rFonts w:hint="eastAsia" w:ascii="方正仿宋_GBK" w:hAnsi="方正仿宋_GBK" w:eastAsia="方正仿宋_GBK" w:cs="方正仿宋_GBK"/>
          <w:sz w:val="32"/>
          <w:szCs w:val="32"/>
        </w:rPr>
        <w:t>，平均每月均有600多病人在线预约挂号。通过门诊排队叫号系统与挂号系统进行关联，实现先挂号先排队先候诊的功能，系统自动将患者推送到医生的待诊列表，患者无需亲自去诊室排队，只需要在候诊室外等待医生叫号即可，在解决患者难排队问题和提升了就医感受的同时，也提高了医院的就诊效率。</w:t>
      </w:r>
    </w:p>
    <w:p>
      <w:pPr>
        <w:spacing w:line="57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二是优化互联互通，提升医疗服务效率。</w:t>
      </w:r>
      <w:r>
        <w:rPr>
          <w:rFonts w:hint="eastAsia" w:ascii="方正仿宋_GBK" w:hAnsi="方正仿宋_GBK" w:eastAsia="方正仿宋_GBK" w:cs="方正仿宋_GBK"/>
          <w:sz w:val="32"/>
          <w:szCs w:val="32"/>
        </w:rPr>
        <w:t>市第三人民医院积极集成院内系统并加入玉溪市医疗卫生服务信息平台，使用玉溪市医疗卫生综合服务系统并及时上传相关信息，使得区域内的医疗机构间诊疗信息互联共享，方便患者及时的查询自己的健康信息，同时也为其他医疗机构的医生在为同一患者诊治时提供相关的辅助信息。同时将公共卫生系统管理延伸至医院管理中，实现市第三人民与其它医院以及乡镇卫生院的产妇、幼儿等医疗信息互通有无，解决孕产妇就近产检、异地检查等难题，为病人看病、检查提供了极大的便利。根据医保相关政策要求，市第三人民医院不断完善医保系统并与医保中心信息互联互通，为患者和管理者提供了信息服务平台，保障本地和异地医保病人都能够正常结算，方便了患者的同时也实现对医疗行为和医疗费用的有效监督。为方便慢病病人就近就便开药，医院开发了慢性病处方上传系统将患者就诊处方上传至医保部门，让患者只要到医院开具一次慢性病药品后，下次便可以到附近的药店就近就便依据上传处方购药，解决了老年人开慢病药困难的问题，也降低了医患之间的矛盾。</w:t>
      </w:r>
    </w:p>
    <w:p>
      <w:pPr>
        <w:spacing w:line="570" w:lineRule="exact"/>
        <w:ind w:firstLine="643" w:firstLineChars="200"/>
        <w:rPr>
          <w:rFonts w:ascii="方正仿宋_GBK" w:eastAsia="方正仿宋_GBK"/>
          <w:sz w:val="32"/>
          <w:szCs w:val="32"/>
        </w:rPr>
      </w:pPr>
      <w:r>
        <w:rPr>
          <w:rFonts w:hint="eastAsia" w:ascii="方正仿宋_GBK" w:hAnsi="仿宋_GB2312" w:eastAsia="方正仿宋_GBK" w:cs="仿宋_GB2312"/>
          <w:b/>
          <w:sz w:val="32"/>
          <w:szCs w:val="32"/>
        </w:rPr>
        <w:t>三是优化家签服务，提升患者就医感受。</w:t>
      </w:r>
      <w:r>
        <w:rPr>
          <w:rFonts w:hint="eastAsia" w:ascii="方正仿宋_GBK" w:hAnsi="仿宋_GB2312" w:eastAsia="方正仿宋_GBK" w:cs="仿宋_GB2312"/>
          <w:sz w:val="32"/>
          <w:szCs w:val="32"/>
        </w:rPr>
        <w:t>红塔区以医共体建设为纽带，全面推进</w:t>
      </w:r>
      <w:r>
        <w:rPr>
          <w:rFonts w:hint="eastAsia" w:ascii="方正仿宋_GBK" w:hAnsi="微软雅黑" w:eastAsia="方正仿宋_GBK"/>
          <w:bCs/>
          <w:sz w:val="32"/>
          <w:szCs w:val="32"/>
        </w:rPr>
        <w:t>家庭医生签约服务“1+1+1”标准模式，</w:t>
      </w:r>
      <w:r>
        <w:rPr>
          <w:rFonts w:hint="eastAsia" w:ascii="方正仿宋_GBK" w:hAnsi="仿宋_GB2312" w:eastAsia="方正仿宋_GBK" w:cs="仿宋_GB2312"/>
          <w:sz w:val="32"/>
          <w:szCs w:val="32"/>
        </w:rPr>
        <w:t>强化医共体总医院职责。引入信息化管理手段，实现居民签约信息化管理，日常服务手机登记上传，不仅减轻了医生工作量，也方便了群众</w:t>
      </w:r>
      <w:r>
        <w:rPr>
          <w:rFonts w:hint="eastAsia" w:ascii="方正仿宋_GBK" w:hAnsi="华文仿宋" w:eastAsia="方正仿宋_GBK"/>
          <w:sz w:val="32"/>
          <w:szCs w:val="32"/>
        </w:rPr>
        <w:t>。</w:t>
      </w:r>
      <w:r>
        <w:rPr>
          <w:rFonts w:hint="eastAsia" w:ascii="方正仿宋_GBK" w:eastAsia="方正仿宋_GBK"/>
          <w:sz w:val="32"/>
          <w:szCs w:val="32"/>
        </w:rPr>
        <w:t>2020年，全区</w:t>
      </w:r>
      <w:r>
        <w:rPr>
          <w:rFonts w:hint="eastAsia" w:ascii="方正仿宋_GBK" w:eastAsia="方正仿宋_GBK"/>
          <w:spacing w:val="13"/>
          <w:sz w:val="32"/>
          <w:szCs w:val="32"/>
        </w:rPr>
        <w:t>共完成家庭医生签约</w:t>
      </w:r>
      <w:r>
        <w:rPr>
          <w:rFonts w:hint="eastAsia" w:ascii="方正仿宋_GBK" w:hAnsi="Times New Roman" w:eastAsia="方正仿宋_GBK" w:cs="Times New Roman"/>
          <w:sz w:val="32"/>
          <w:szCs w:val="32"/>
        </w:rPr>
        <w:t>151434</w:t>
      </w:r>
      <w:r>
        <w:rPr>
          <w:rFonts w:hint="eastAsia" w:ascii="方正仿宋_GBK" w:eastAsia="方正仿宋_GBK"/>
          <w:sz w:val="32"/>
          <w:szCs w:val="32"/>
        </w:rPr>
        <w:t>人，签约率33.4%。</w:t>
      </w:r>
      <w:r>
        <w:rPr>
          <w:rFonts w:hint="eastAsia" w:ascii="方正仿宋_GBK" w:hAnsi="Times New Roman" w:eastAsia="方正仿宋_GBK" w:cs="Times New Roman"/>
          <w:sz w:val="32"/>
          <w:szCs w:val="32"/>
        </w:rPr>
        <w:t>其中，重点人群签约129496人，签约率91.9%。</w:t>
      </w:r>
      <w:r>
        <w:rPr>
          <w:rFonts w:hint="eastAsia" w:ascii="方正仿宋_GBK" w:eastAsia="方正仿宋_GBK"/>
          <w:sz w:val="32"/>
          <w:szCs w:val="32"/>
        </w:rPr>
        <w:t>平均每一个家庭医生服务团队签约服务约</w:t>
      </w:r>
      <w:r>
        <w:rPr>
          <w:rFonts w:hint="eastAsia" w:ascii="方正仿宋_GBK" w:eastAsia="方正仿宋_GBK"/>
          <w:bCs/>
          <w:sz w:val="32"/>
          <w:szCs w:val="32"/>
        </w:rPr>
        <w:t>606人，</w:t>
      </w:r>
      <w:r>
        <w:rPr>
          <w:rFonts w:hint="eastAsia" w:ascii="方正仿宋_GBK" w:hAnsi="楷体" w:eastAsia="方正仿宋_GBK"/>
          <w:sz w:val="32"/>
          <w:szCs w:val="32"/>
        </w:rPr>
        <w:t>满足了群众医疗服务多样化需求。</w:t>
      </w:r>
    </w:p>
    <w:p>
      <w:pPr>
        <w:pStyle w:val="3"/>
        <w:spacing w:line="570" w:lineRule="exact"/>
        <w:rPr>
          <w:rFonts w:ascii="方正楷体_GBK" w:eastAsia="方正楷体_GBK"/>
          <w:sz w:val="32"/>
          <w:szCs w:val="32"/>
        </w:rPr>
      </w:pPr>
      <w:r>
        <w:rPr>
          <w:rFonts w:hint="eastAsia" w:ascii="方正楷体_GBK" w:eastAsia="方正楷体_GBK"/>
          <w:sz w:val="32"/>
          <w:szCs w:val="32"/>
        </w:rPr>
        <w:t xml:space="preserve">    （五）坚持内强素质外借优势“破瓶颈”。</w:t>
      </w:r>
    </w:p>
    <w:p>
      <w:pPr>
        <w:pStyle w:val="3"/>
        <w:spacing w:line="570" w:lineRule="exact"/>
        <w:ind w:firstLine="640" w:firstLineChars="200"/>
        <w:rPr>
          <w:rFonts w:ascii="方正仿宋_GBK" w:hAnsi="华文仿宋" w:eastAsia="方正仿宋_GBK" w:cs="Times New Roman"/>
          <w:sz w:val="32"/>
          <w:szCs w:val="32"/>
        </w:rPr>
      </w:pPr>
      <w:r>
        <w:rPr>
          <w:rFonts w:hint="eastAsia" w:ascii="方正仿宋_GBK" w:hAnsi="华文仿宋" w:eastAsia="方正仿宋_GBK" w:cs="Times New Roman"/>
          <w:sz w:val="32"/>
          <w:szCs w:val="32"/>
        </w:rPr>
        <w:t>在区委编办、人社、财政共同努力下，全区坚持内强素质加大医疗卫生队伍建设，外借优势提升专科能力的思路，持续深化改革破除发展瓶颈。</w:t>
      </w:r>
    </w:p>
    <w:p>
      <w:pPr>
        <w:autoSpaceDE w:val="0"/>
        <w:autoSpaceDN w:val="0"/>
        <w:adjustRightInd w:val="0"/>
        <w:spacing w:line="570" w:lineRule="exact"/>
        <w:ind w:firstLine="643" w:firstLineChars="200"/>
        <w:rPr>
          <w:rFonts w:ascii="方正仿宋_GBK" w:hAnsi="华文仿宋" w:eastAsia="方正仿宋_GBK" w:cs="方正仿宋_GBK"/>
          <w:sz w:val="32"/>
          <w:szCs w:val="32"/>
          <w:u w:val="single"/>
          <w:lang w:val="zh-CN"/>
        </w:rPr>
      </w:pPr>
      <w:r>
        <w:rPr>
          <w:rFonts w:hint="eastAsia" w:ascii="方正仿宋_GBK" w:hAnsi="华文仿宋" w:eastAsia="方正仿宋_GBK" w:cs="Times New Roman"/>
          <w:b/>
          <w:sz w:val="32"/>
          <w:szCs w:val="32"/>
        </w:rPr>
        <w:t>一是强化队伍建设。</w:t>
      </w:r>
      <w:r>
        <w:rPr>
          <w:rFonts w:hint="eastAsia" w:ascii="方正仿宋_GBK" w:hAnsi="华文仿宋" w:eastAsia="方正仿宋_GBK" w:cs="Times New Roman"/>
          <w:sz w:val="32"/>
          <w:szCs w:val="32"/>
        </w:rPr>
        <w:t>自2015年以来，</w:t>
      </w:r>
      <w:r>
        <w:rPr>
          <w:rFonts w:hint="eastAsia" w:ascii="方正仿宋_GBK" w:hAnsi="仿宋" w:eastAsia="方正仿宋_GBK"/>
          <w:sz w:val="32"/>
          <w:szCs w:val="32"/>
        </w:rPr>
        <w:t>区卫健局在区委编办、区人社的支持配合下，全面加大人才引进工作，每年引入人才都呈现上升趋势。全区已累计引进医疗卫生事业人才169名，其中硕士研究生和完成规范化培训人才14名</w:t>
      </w:r>
      <w:r>
        <w:rPr>
          <w:rFonts w:hint="eastAsia" w:ascii="方正仿宋_GBK" w:hAnsi="华文仿宋" w:eastAsia="方正仿宋_GBK" w:cs="Times New Roman"/>
          <w:sz w:val="32"/>
          <w:szCs w:val="32"/>
        </w:rPr>
        <w:t>。</w:t>
      </w:r>
      <w:r>
        <w:rPr>
          <w:rFonts w:hint="eastAsia" w:ascii="方正仿宋_GBK" w:hAnsi="ˎ̥" w:eastAsia="方正仿宋_GBK"/>
          <w:sz w:val="32"/>
          <w:szCs w:val="32"/>
        </w:rPr>
        <w:t>2019-2020年，区卫健系统提前招聘应届毕业生12人（其中研究生1人，规培生6人），以引进人才方式招聘规培生2人，区外选调3人，公开招考14人，农村订单定向医学生纳入编内5人；培养后备干部26人；卫生院选派人员进修28人次</w:t>
      </w:r>
      <w:r>
        <w:rPr>
          <w:rFonts w:hint="eastAsia" w:ascii="方正仿宋_GBK" w:eastAsia="方正仿宋_GBK"/>
          <w:sz w:val="32"/>
          <w:szCs w:val="32"/>
        </w:rPr>
        <w:t>；</w:t>
      </w:r>
      <w:r>
        <w:rPr>
          <w:rFonts w:hint="eastAsia" w:ascii="方正仿宋_GBK" w:hAnsi="楷体" w:eastAsia="方正仿宋_GBK"/>
          <w:spacing w:val="15"/>
          <w:sz w:val="32"/>
          <w:szCs w:val="32"/>
          <w:shd w:val="clear" w:color="auto" w:fill="FFFFFF"/>
        </w:rPr>
        <w:t>建立了市级专家工作站2个，区级专家工作站6个。</w:t>
      </w:r>
      <w:r>
        <w:rPr>
          <w:rFonts w:hint="eastAsia" w:ascii="方正仿宋_GBK" w:eastAsia="方正仿宋_GBK"/>
          <w:sz w:val="32"/>
          <w:szCs w:val="32"/>
        </w:rPr>
        <w:t>发表国家级论文12篇，省级论文24篇。</w:t>
      </w:r>
      <w:r>
        <w:rPr>
          <w:rFonts w:hint="eastAsia" w:ascii="方正仿宋_GBK" w:hAnsi="Times New Roman" w:eastAsia="方正仿宋_GBK" w:cs="Times New Roman"/>
          <w:sz w:val="32"/>
          <w:szCs w:val="32"/>
        </w:rPr>
        <w:t>加强全科医生培养。</w:t>
      </w:r>
      <w:r>
        <w:rPr>
          <w:rFonts w:hint="eastAsia" w:ascii="方正仿宋_GBK" w:hAnsi="华文仿宋" w:eastAsia="方正仿宋_GBK" w:cs="Times New Roman"/>
          <w:sz w:val="32"/>
          <w:szCs w:val="32"/>
          <w:lang w:eastAsia="zh-CN"/>
        </w:rPr>
        <w:t>截至</w:t>
      </w:r>
      <w:r>
        <w:rPr>
          <w:rFonts w:hint="eastAsia" w:ascii="方正仿宋_GBK" w:hAnsi="华文仿宋" w:eastAsia="方正仿宋_GBK" w:cs="Times New Roman"/>
          <w:sz w:val="32"/>
          <w:szCs w:val="32"/>
        </w:rPr>
        <w:t>目前，</w:t>
      </w:r>
      <w:r>
        <w:rPr>
          <w:rFonts w:hint="eastAsia" w:ascii="方正仿宋_GBK" w:eastAsia="方正仿宋_GBK"/>
          <w:sz w:val="32"/>
          <w:szCs w:val="32"/>
        </w:rPr>
        <w:t>全区完成全科医师注册116人。</w:t>
      </w:r>
      <w:r>
        <w:rPr>
          <w:rFonts w:hint="eastAsia" w:ascii="方正仿宋_GBK" w:hAnsi="华文仿宋" w:eastAsia="方正仿宋_GBK" w:cs="Times New Roman"/>
          <w:sz w:val="32"/>
          <w:szCs w:val="32"/>
        </w:rPr>
        <w:t>其中，</w:t>
      </w:r>
      <w:r>
        <w:rPr>
          <w:rFonts w:hint="eastAsia" w:ascii="方正仿宋_GBK" w:hAnsi="华文仿宋" w:eastAsia="方正仿宋_GBK"/>
          <w:sz w:val="32"/>
          <w:szCs w:val="32"/>
        </w:rPr>
        <w:t>区医共体总院（市第三人民医院）全科医师注册5人，</w:t>
      </w:r>
      <w:r>
        <w:rPr>
          <w:rFonts w:hint="eastAsia" w:ascii="方正仿宋_GBK" w:hAnsi="华文仿宋" w:eastAsia="方正仿宋_GBK" w:cs="Times New Roman"/>
          <w:sz w:val="32"/>
          <w:szCs w:val="32"/>
        </w:rPr>
        <w:t>乡镇卫生院注册全科医师54人；城市社区卫生服务机构注册全科医师</w:t>
      </w:r>
      <w:r>
        <w:rPr>
          <w:rFonts w:hint="eastAsia" w:ascii="方正仿宋_GBK" w:hAnsi="华文仿宋" w:eastAsia="方正仿宋_GBK"/>
          <w:sz w:val="32"/>
          <w:szCs w:val="32"/>
        </w:rPr>
        <w:t>16</w:t>
      </w:r>
      <w:r>
        <w:rPr>
          <w:rFonts w:hint="eastAsia" w:ascii="方正仿宋_GBK" w:hAnsi="华文仿宋" w:eastAsia="方正仿宋_GBK" w:cs="Times New Roman"/>
          <w:sz w:val="32"/>
          <w:szCs w:val="32"/>
        </w:rPr>
        <w:t>人；村卫生室注册全科医师41人。红塔区城乡每万名居民拥有全科医生达</w:t>
      </w:r>
      <w:r>
        <w:rPr>
          <w:rFonts w:hint="eastAsia" w:ascii="方正仿宋_GBK" w:hAnsi="华文仿宋" w:eastAsia="方正仿宋_GBK"/>
          <w:sz w:val="32"/>
          <w:szCs w:val="32"/>
        </w:rPr>
        <w:t>2.3</w:t>
      </w:r>
      <w:r>
        <w:rPr>
          <w:rFonts w:hint="eastAsia" w:ascii="方正仿宋_GBK" w:hAnsi="华文仿宋" w:eastAsia="方正仿宋_GBK" w:cs="Times New Roman"/>
          <w:sz w:val="32"/>
          <w:szCs w:val="32"/>
        </w:rPr>
        <w:t>人，提前实现2020年城乡每万名居民拥有2-3名合格全科医生的目标。</w:t>
      </w:r>
    </w:p>
    <w:p>
      <w:pPr>
        <w:spacing w:line="570" w:lineRule="exact"/>
        <w:ind w:firstLine="643" w:firstLineChars="200"/>
        <w:rPr>
          <w:rFonts w:ascii="方正仿宋_GBK" w:hAnsi="Times New Roman" w:eastAsia="方正仿宋_GBK"/>
          <w:sz w:val="32"/>
          <w:szCs w:val="40"/>
        </w:rPr>
      </w:pPr>
      <w:r>
        <w:rPr>
          <w:rFonts w:hint="eastAsia" w:ascii="方正仿宋_GBK" w:hAnsi="华文仿宋" w:eastAsia="方正仿宋_GBK" w:cs="Times New Roman"/>
          <w:b/>
          <w:sz w:val="32"/>
          <w:szCs w:val="32"/>
        </w:rPr>
        <w:t>二是外借优势发展。</w:t>
      </w:r>
      <w:r>
        <w:rPr>
          <w:rFonts w:hint="eastAsia" w:ascii="方正仿宋_GBK" w:hAnsi="方正仿宋_GBK" w:eastAsia="方正仿宋_GBK" w:cs="方正仿宋_GBK"/>
          <w:sz w:val="32"/>
          <w:szCs w:val="40"/>
        </w:rPr>
        <w:t>围绕打造一流“健康生活目的地”和建设一流“健康宜居城”的发展目标，全区通过对外合作借势力发展的模式，全面加强学科、产业融合建设。在学科建设上，区医共体总院成功加入国家早癌防治中心、</w:t>
      </w:r>
      <w:r>
        <w:rPr>
          <w:rFonts w:hint="eastAsia" w:ascii="方正仿宋_GBK" w:hAnsi="微软雅黑" w:eastAsia="方正仿宋_GBK"/>
          <w:spacing w:val="8"/>
          <w:sz w:val="32"/>
          <w:szCs w:val="32"/>
          <w:shd w:val="clear" w:color="auto" w:fill="FFFFFF"/>
        </w:rPr>
        <w:t>国家心血管病中心高血压专病医联体，在昆医附二院、省红会医院、延安医院、昆明阜外医院的支持下，</w:t>
      </w:r>
      <w:r>
        <w:rPr>
          <w:rFonts w:hint="eastAsia" w:ascii="方正仿宋_GBK" w:hAnsi="方正仿宋_GBK" w:eastAsia="方正仿宋_GBK" w:cs="方正仿宋_GBK"/>
          <w:sz w:val="32"/>
          <w:szCs w:val="40"/>
        </w:rPr>
        <w:t>新成立康复、神内、神外、透析、呼吸、重症等临床科室，学科建设更加完备。护理、儿科通过省级重点专科评审，</w:t>
      </w:r>
      <w:r>
        <w:rPr>
          <w:rFonts w:hint="eastAsia" w:ascii="方正仿宋_GBK" w:hAnsi="方正仿宋_GBK" w:eastAsia="方正仿宋_GBK" w:cs="方正仿宋_GBK"/>
          <w:bCs/>
          <w:sz w:val="32"/>
          <w:szCs w:val="40"/>
        </w:rPr>
        <w:t>眼科、消化内科重点专科申报通过省级初评</w:t>
      </w:r>
      <w:r>
        <w:rPr>
          <w:rFonts w:hint="eastAsia" w:ascii="方正仿宋_GBK" w:hAnsi="方正仿宋_GBK" w:eastAsia="方正仿宋_GBK" w:cs="方正仿宋_GBK"/>
          <w:sz w:val="32"/>
          <w:szCs w:val="40"/>
        </w:rPr>
        <w:t>。</w:t>
      </w:r>
      <w:r>
        <w:rPr>
          <w:rFonts w:hint="eastAsia" w:ascii="方正仿宋_GBK" w:eastAsia="方正仿宋_GBK"/>
          <w:sz w:val="32"/>
          <w:szCs w:val="32"/>
        </w:rPr>
        <w:t>在产业发展上，</w:t>
      </w:r>
      <w:r>
        <w:rPr>
          <w:rFonts w:hint="eastAsia" w:ascii="方正仿宋_GBK" w:hAnsi="Times New Roman" w:eastAsia="方正仿宋_GBK"/>
          <w:sz w:val="32"/>
          <w:szCs w:val="40"/>
        </w:rPr>
        <w:t>与云南省中医学院达成了中医临床、康复项目的战略合作；与昆医附二院达成了社区康复工作合作，和玉溪市中医医院和玉溪市卫生学校全面合作也进入实质谈判签约阶段。通过外部力量的有效介入帮助，下一步将对红塔区深化医药卫生体制改革形成强大助力。</w:t>
      </w:r>
    </w:p>
    <w:p>
      <w:pPr>
        <w:adjustRightInd w:val="0"/>
        <w:snapToGrid w:val="0"/>
        <w:spacing w:line="570" w:lineRule="exact"/>
        <w:ind w:firstLine="640" w:firstLineChars="200"/>
        <w:rPr>
          <w:rFonts w:ascii="方正楷体_GBK" w:eastAsia="方正楷体_GBK" w:cs="Times New Roman"/>
          <w:bCs/>
          <w:sz w:val="32"/>
          <w:szCs w:val="32"/>
        </w:rPr>
      </w:pPr>
      <w:r>
        <w:rPr>
          <w:rFonts w:hint="eastAsia" w:ascii="方正楷体_GBK" w:eastAsia="方正楷体_GBK" w:cs="Times New Roman"/>
          <w:bCs/>
          <w:sz w:val="32"/>
          <w:szCs w:val="32"/>
        </w:rPr>
        <w:t>（六）坚持医防融合建立屏障“建体系”。</w:t>
      </w:r>
    </w:p>
    <w:p>
      <w:pPr>
        <w:adjustRightInd w:val="0"/>
        <w:snapToGrid w:val="0"/>
        <w:spacing w:line="570" w:lineRule="exact"/>
        <w:ind w:firstLine="640" w:firstLineChars="200"/>
        <w:rPr>
          <w:rFonts w:ascii="方正仿宋_GBK" w:eastAsia="方正仿宋_GBK"/>
          <w:sz w:val="32"/>
          <w:szCs w:val="32"/>
        </w:rPr>
      </w:pPr>
      <w:r>
        <w:rPr>
          <w:rFonts w:hint="eastAsia" w:ascii="方正仿宋_GBK" w:eastAsia="方正仿宋_GBK"/>
          <w:sz w:val="32"/>
          <w:szCs w:val="32"/>
        </w:rPr>
        <w:t>面对突如起来的新冠肺炎疫情，红塔区</w:t>
      </w:r>
      <w:r>
        <w:rPr>
          <w:rFonts w:hint="eastAsia" w:eastAsia="方正仿宋_GBK" w:cs="Times New Roman"/>
          <w:sz w:val="32"/>
          <w:szCs w:val="32"/>
        </w:rPr>
        <w:t>进一步健全重大疫情、公共卫生应急管理体系，提升传染病风险研判、健康危险因素监测、卫生检验检测能力，加强医院门急诊预检分诊管理，建立健全及时发现的常态化防控机制，快速处置的常态化防控机制。一是形成党委领导、卫健指导、上下联动、部门协作的</w:t>
      </w:r>
      <w:r>
        <w:rPr>
          <w:rFonts w:hint="eastAsia" w:ascii="方正仿宋_GBK" w:hAnsi="方正仿宋_GBK" w:eastAsia="方正仿宋_GBK" w:cs="方正仿宋_GBK"/>
          <w:sz w:val="32"/>
          <w:szCs w:val="32"/>
        </w:rPr>
        <w:t>联防联控工作机制，在疫情防控实践中，形成了“五早一始终”的精准筛查机制、“一主多分”的集中隔离观察制度和“两书一保障”居家观察留验制度，</w:t>
      </w:r>
      <w:r>
        <w:rPr>
          <w:rFonts w:hint="eastAsia" w:ascii="方正仿宋_GBK" w:hAnsi="方正仿宋_GBK" w:eastAsia="方正仿宋_GBK" w:cs="方正仿宋_GBK"/>
          <w:spacing w:val="3"/>
          <w:sz w:val="32"/>
          <w:szCs w:val="32"/>
          <w:shd w:val="clear" w:color="auto" w:fill="FFFFFF"/>
        </w:rPr>
        <w:t>在全区构建群防、医防、自防、联防相结合的防控体系。二是突出抓好卫生应急能力建设。红塔区疾控中心本年顺利搬入新址，各项实验室检测能力得到全面提升；新购各类卫生应急车15辆，在原来卫生防疫、医疗分队的基础上，重新梳理各项工作，培训并增加区乡两级核酸样应急队、实验室检测队，增加卫生应急队员180多人，全区卫生应急处突能力实现飞跃发展；三是</w:t>
      </w:r>
      <w:r>
        <w:rPr>
          <w:rFonts w:hint="eastAsia" w:ascii="方正仿宋_GBK" w:hAnsi="方正仿宋_GBK" w:eastAsia="方正仿宋_GBK" w:cs="方正仿宋_GBK"/>
          <w:sz w:val="32"/>
          <w:szCs w:val="32"/>
        </w:rPr>
        <w:t>发挥红塔区医共体“六统一”优势，制定各类方案措施30多项，从横向实现各小组协调作战机制的顺畅，纵向实现区、乡、村三级医疗机构联动作战能力的提升，形成从筛查、转运、留观（验）到救治一体化整体防控救治工作局面；四是强化卫生应急物资采购保障体系建设。在疫情防控工作中，红塔区结合实际，形成区级工信、商务综合统筹采购调度，部门、乡（街道）按需申报使用，卫健多渠道综合保障和企业动员生产的应急物资采购保障体系，指挥部</w:t>
      </w:r>
      <w:r>
        <w:rPr>
          <w:rFonts w:hint="eastAsia" w:ascii="方正仿宋_GBK" w:hAnsi="Arial" w:eastAsia="方正仿宋_GBK" w:cs="Arial"/>
          <w:color w:val="000000" w:themeColor="text1"/>
          <w:sz w:val="32"/>
          <w:szCs w:val="32"/>
        </w:rPr>
        <w:t>先后建立《物资发放审批流程》、《物资使用管理制度》等制度及流程，建立健全物资储备、保管、发放工作规程和台账，确保各类物资依规高效保障到位。五是强化医院控感。全面完善全区</w:t>
      </w:r>
      <w:r>
        <w:rPr>
          <w:rFonts w:hint="eastAsia" w:ascii="方正仿宋_GBK" w:eastAsia="方正仿宋_GBK"/>
          <w:sz w:val="32"/>
          <w:szCs w:val="32"/>
        </w:rPr>
        <w:t>预检分诊、发热门诊制度和规范相关流程，加强控感培训，控感质量控制，强化医护人员防控意识和保护意识，保障个人执业安全和降低院内交叉感染风险。</w:t>
      </w:r>
    </w:p>
    <w:p>
      <w:pPr>
        <w:pStyle w:val="3"/>
        <w:spacing w:line="570" w:lineRule="exact"/>
        <w:rPr>
          <w:rFonts w:ascii="方正楷体_GBK" w:eastAsia="方正楷体_GBK"/>
          <w:sz w:val="32"/>
          <w:szCs w:val="32"/>
        </w:rPr>
      </w:pPr>
      <w:r>
        <w:rPr>
          <w:rFonts w:hint="eastAsia" w:ascii="方正楷体_GBK" w:eastAsia="方正楷体_GBK"/>
          <w:sz w:val="32"/>
          <w:szCs w:val="32"/>
        </w:rPr>
        <w:t xml:space="preserve">    （七）坚持长效管理完善制度“建机制”。</w:t>
      </w:r>
    </w:p>
    <w:p>
      <w:pPr>
        <w:spacing w:line="570" w:lineRule="exact"/>
        <w:ind w:firstLine="643" w:firstLineChars="200"/>
        <w:rPr>
          <w:rFonts w:ascii="方正仿宋_GBK" w:eastAsia="方正仿宋_GBK"/>
          <w:sz w:val="32"/>
          <w:szCs w:val="32"/>
        </w:rPr>
      </w:pPr>
      <w:r>
        <w:rPr>
          <w:rFonts w:hint="eastAsia" w:ascii="方正仿宋_GBK" w:eastAsia="方正仿宋_GBK"/>
          <w:b/>
          <w:sz w:val="32"/>
          <w:szCs w:val="32"/>
        </w:rPr>
        <w:t>一是健全现代医院管理制度。</w:t>
      </w:r>
      <w:r>
        <w:rPr>
          <w:rFonts w:hint="eastAsia" w:ascii="方正仿宋_GBK" w:eastAsia="方正仿宋_GBK"/>
          <w:sz w:val="32"/>
          <w:szCs w:val="32"/>
        </w:rPr>
        <w:t>结合红塔区实际，推进现代医院管理制度，区政府出台了《红塔区建立现代医院管理制度实施方案》。加快玉溪市第三人民医院规划建设，到2019年达到国家县级公立医院医疗服务能力基本标准要求。基本形成维护公益性、调动积极性、保障可持续的公立医院运行新机制和决策、执行、监督相互协调、相互制衡、相互促进的治理机制，促进社会办医健康发展，推动医院管理规范化、精细化、科学化，基本建立权责清晰、管理科学、治理完善、运行高效、监督有力的现代医院管理制度。</w:t>
      </w:r>
    </w:p>
    <w:p>
      <w:pPr>
        <w:spacing w:line="570" w:lineRule="exact"/>
        <w:ind w:firstLine="643" w:firstLineChars="200"/>
        <w:rPr>
          <w:rFonts w:ascii="方正仿宋_GBK" w:eastAsia="方正仿宋_GBK"/>
          <w:sz w:val="32"/>
          <w:szCs w:val="32"/>
        </w:rPr>
      </w:pPr>
      <w:r>
        <w:rPr>
          <w:rFonts w:hint="eastAsia" w:ascii="方正仿宋_GBK" w:eastAsia="方正仿宋_GBK"/>
          <w:b/>
          <w:bCs/>
          <w:sz w:val="32"/>
          <w:szCs w:val="32"/>
        </w:rPr>
        <w:t>二是制定完善公立医院章程。</w:t>
      </w:r>
      <w:r>
        <w:rPr>
          <w:rFonts w:hint="eastAsia" w:ascii="方正仿宋_GBK" w:eastAsia="方正仿宋_GBK"/>
          <w:sz w:val="32"/>
          <w:szCs w:val="32"/>
        </w:rPr>
        <w:t>结合红塔区实际，我区从医共体章程和玉溪市第三人民医院章程制定入手，着力推进建立现代医院管理制度建设。目前，红塔区区域医共体统一法人已经完成登记，医共体章程已经通过医共体常务理事会报区卫生健康局备案实施。市第三人民医院公立医院章程制定工作已参照“医院章程模板”拟定完毕，并通过医院党政班子会议审核上报备案。</w:t>
      </w:r>
    </w:p>
    <w:p>
      <w:pPr>
        <w:spacing w:line="570" w:lineRule="exact"/>
        <w:ind w:firstLine="643" w:firstLineChars="200"/>
        <w:jc w:val="left"/>
        <w:rPr>
          <w:rFonts w:ascii="方正仿宋_GBK" w:hAnsi="方正仿宋_GBK" w:eastAsia="方正仿宋_GBK" w:cs="方正仿宋_GBK"/>
          <w:sz w:val="32"/>
          <w:szCs w:val="32"/>
        </w:rPr>
      </w:pPr>
      <w:r>
        <w:rPr>
          <w:rFonts w:hint="eastAsia" w:ascii="方正仿宋_GBK" w:eastAsia="方正仿宋_GBK"/>
          <w:b/>
          <w:sz w:val="32"/>
          <w:szCs w:val="32"/>
        </w:rPr>
        <w:t>三是全面优化绩效分配制度。</w:t>
      </w:r>
      <w:r>
        <w:rPr>
          <w:rFonts w:hint="eastAsia" w:ascii="方正仿宋_GBK" w:hAnsi="方正仿宋_GBK" w:eastAsia="方正仿宋_GBK" w:cs="方正仿宋_GBK"/>
          <w:sz w:val="32"/>
          <w:szCs w:val="32"/>
        </w:rPr>
        <w:t>贯彻《玉溪市人民政府办公室关于印发玉溪市开展公立医院薪酬制度改革试点工作实施方案的通知》（玉政办发〔2017〕26号）精神，完善市第三人民医院绩效考核与分配实施方案。自2017年起，在保证国有资产保值增值的基础上，适当突破“40%”的人员经费支出比例控制；在确保编制内职工薪酬总体水平控制在同级事业单位“2”倍以内。采取全面预算管理方式管理，</w:t>
      </w:r>
      <w:r>
        <w:rPr>
          <w:rFonts w:hint="eastAsia" w:ascii="方正仿宋_GBK" w:hAnsi="方正仿宋_GBK" w:eastAsia="方正仿宋_GBK" w:cs="方正仿宋_GBK"/>
          <w:spacing w:val="4"/>
          <w:sz w:val="32"/>
          <w:szCs w:val="32"/>
        </w:rPr>
        <w:t>2019年度市三院编制内职工薪酬预算总量为：保障性工资1123万元，激励性绩效工资3514.2万元(包括基础性绩效工资、奖励性绩效工资、改革性绩效工资剔除省级标准部分、工作量绩效工资、综合考核绩效工资、一个月基本工资额度)，合计工资总量4637.2万元；编制外职工薪酬预算为1724.4万元。</w:t>
      </w:r>
      <w:r>
        <w:rPr>
          <w:rFonts w:hint="eastAsia" w:ascii="方正仿宋_GBK" w:hAnsi="方正仿宋_GBK" w:eastAsia="方正仿宋_GBK" w:cs="方正仿宋_GBK"/>
          <w:sz w:val="32"/>
          <w:szCs w:val="32"/>
        </w:rPr>
        <w:t>通过改革稳步提高医务人员工资水平，逐步缩小与同行业医务人员之间的工资水平差距，充分调动医务人员工作积极性。</w:t>
      </w:r>
    </w:p>
    <w:p>
      <w:pPr>
        <w:spacing w:line="570" w:lineRule="exact"/>
        <w:ind w:firstLine="643" w:firstLineChars="200"/>
        <w:rPr>
          <w:rFonts w:ascii="方正仿宋_GBK" w:eastAsia="方正仿宋_GBK"/>
          <w:bCs/>
          <w:sz w:val="32"/>
          <w:szCs w:val="32"/>
        </w:rPr>
      </w:pPr>
      <w:r>
        <w:rPr>
          <w:rFonts w:hint="eastAsia" w:ascii="方正仿宋_GBK" w:eastAsia="方正仿宋_GBK"/>
          <w:b/>
          <w:sz w:val="32"/>
          <w:szCs w:val="32"/>
        </w:rPr>
        <w:t>四是巩固提升全民医保制度。</w:t>
      </w:r>
      <w:r>
        <w:rPr>
          <w:rFonts w:hint="eastAsia" w:ascii="方正仿宋_GBK" w:eastAsia="方正仿宋_GBK"/>
          <w:sz w:val="32"/>
          <w:szCs w:val="32"/>
          <w:lang w:eastAsia="zh-CN"/>
        </w:rPr>
        <w:t>截至</w:t>
      </w:r>
      <w:r>
        <w:rPr>
          <w:rFonts w:hint="eastAsia" w:ascii="方正仿宋_GBK" w:eastAsia="方正仿宋_GBK"/>
          <w:sz w:val="32"/>
          <w:szCs w:val="32"/>
        </w:rPr>
        <w:t>2020年9月底，红塔区医疗保险参保人数为387211人。其中，职工64550人（同比增4875人），城乡居民322661人（同比增201人），基本实现全民医保。城乡居民统筹基金支付23750.99万元，基金使用率达122.68%。城镇职工统筹基金支付13633.33万元，基金使用率158.99%。</w:t>
      </w:r>
    </w:p>
    <w:p>
      <w:pPr>
        <w:widowControl/>
        <w:spacing w:line="570" w:lineRule="exact"/>
        <w:ind w:firstLine="643" w:firstLineChars="200"/>
        <w:jc w:val="left"/>
        <w:rPr>
          <w:rFonts w:ascii="方正仿宋_GBK" w:eastAsia="方正仿宋_GBK"/>
          <w:sz w:val="32"/>
          <w:szCs w:val="32"/>
        </w:rPr>
      </w:pPr>
      <w:r>
        <w:rPr>
          <w:rFonts w:hint="eastAsia" w:ascii="方正仿宋_GBK" w:eastAsia="方正仿宋_GBK"/>
          <w:b/>
          <w:bCs/>
          <w:sz w:val="32"/>
          <w:szCs w:val="32"/>
        </w:rPr>
        <w:t>五是</w:t>
      </w:r>
      <w:r>
        <w:rPr>
          <w:rFonts w:hint="eastAsia" w:ascii="方正仿宋_GBK" w:eastAsia="方正仿宋_GBK" w:cs="Times New Roman"/>
          <w:b/>
          <w:sz w:val="32"/>
          <w:szCs w:val="32"/>
        </w:rPr>
        <w:t>建立公立医院考核评价体系。</w:t>
      </w:r>
      <w:r>
        <w:rPr>
          <w:rFonts w:hint="eastAsia" w:ascii="方正仿宋_GBK" w:eastAsia="方正仿宋_GBK" w:cs="Times New Roman"/>
          <w:sz w:val="32"/>
          <w:szCs w:val="32"/>
        </w:rPr>
        <w:t>结合省、市公立医院改革精神，红塔区制定了医共体绩效考核方案。</w:t>
      </w:r>
      <w:r>
        <w:rPr>
          <w:rFonts w:hint="eastAsia" w:ascii="方正仿宋_GBK" w:hAnsi="微软雅黑" w:eastAsia="方正仿宋_GBK" w:cs="Times New Roman"/>
          <w:sz w:val="32"/>
          <w:szCs w:val="32"/>
        </w:rPr>
        <w:t>根据</w:t>
      </w:r>
      <w:r>
        <w:rPr>
          <w:rFonts w:hint="eastAsia" w:ascii="方正仿宋_GBK" w:eastAsia="方正仿宋_GBK" w:cs="Times New Roman"/>
          <w:sz w:val="32"/>
          <w:szCs w:val="32"/>
        </w:rPr>
        <w:t>《2019年玉溪市公立医院绩效考核方案》和医共体绩效考核</w:t>
      </w:r>
      <w:r>
        <w:rPr>
          <w:rFonts w:hint="eastAsia" w:ascii="方正仿宋_GBK" w:hAnsi="微软雅黑" w:eastAsia="方正仿宋_GBK" w:cs="Times New Roman"/>
          <w:sz w:val="32"/>
          <w:szCs w:val="32"/>
        </w:rPr>
        <w:t>要求，</w:t>
      </w:r>
      <w:r>
        <w:rPr>
          <w:rFonts w:hint="eastAsia" w:ascii="方正仿宋_GBK" w:eastAsia="方正仿宋_GBK" w:cs="Times New Roman"/>
          <w:sz w:val="32"/>
          <w:szCs w:val="32"/>
        </w:rPr>
        <w:t>2020年由区卫健、人社</w:t>
      </w:r>
      <w:r>
        <w:rPr>
          <w:rFonts w:hint="eastAsia" w:ascii="方正仿宋_GBK" w:eastAsia="方正仿宋_GBK" w:cs="Times New Roman"/>
          <w:snapToGrid w:val="0"/>
          <w:kern w:val="0"/>
          <w:sz w:val="32"/>
          <w:szCs w:val="32"/>
        </w:rPr>
        <w:t>、财政</w:t>
      </w:r>
      <w:r>
        <w:rPr>
          <w:rFonts w:hint="eastAsia" w:ascii="方正仿宋_GBK" w:eastAsia="方正仿宋_GBK" w:cs="Times New Roman"/>
          <w:sz w:val="32"/>
          <w:szCs w:val="32"/>
        </w:rPr>
        <w:t>对市第三人民医院2019年度公立医院</w:t>
      </w:r>
      <w:r>
        <w:rPr>
          <w:rFonts w:hint="eastAsia" w:ascii="方正仿宋_GBK" w:eastAsia="方正仿宋_GBK" w:cs="Times New Roman"/>
          <w:kern w:val="0"/>
          <w:sz w:val="32"/>
          <w:szCs w:val="32"/>
        </w:rPr>
        <w:t>进行了绩效考核</w:t>
      </w:r>
      <w:r>
        <w:rPr>
          <w:rFonts w:hint="eastAsia" w:ascii="方正仿宋_GBK" w:eastAsia="方正仿宋_GBK" w:cs="Times New Roman"/>
          <w:sz w:val="32"/>
          <w:szCs w:val="32"/>
        </w:rPr>
        <w:t>，</w:t>
      </w:r>
      <w:r>
        <w:rPr>
          <w:rFonts w:hint="eastAsia" w:ascii="方正仿宋_GBK" w:eastAsia="方正仿宋_GBK" w:cs="Times New Roman"/>
          <w:snapToGrid w:val="0"/>
          <w:kern w:val="0"/>
          <w:sz w:val="32"/>
          <w:szCs w:val="32"/>
        </w:rPr>
        <w:t>考</w:t>
      </w:r>
      <w:r>
        <w:rPr>
          <w:rFonts w:hint="eastAsia" w:ascii="方正仿宋_GBK" w:eastAsia="方正仿宋_GBK" w:cs="Times New Roman"/>
          <w:sz w:val="32"/>
          <w:szCs w:val="32"/>
        </w:rPr>
        <w:t>核得分96分，考核结果为 “优秀”等次。</w:t>
      </w:r>
    </w:p>
    <w:p>
      <w:pPr>
        <w:widowControl/>
        <w:spacing w:line="570" w:lineRule="exact"/>
        <w:ind w:firstLine="640" w:firstLineChars="200"/>
        <w:rPr>
          <w:rFonts w:ascii="方正黑体_GBK" w:eastAsia="方正黑体_GBK" w:cs="Times New Roman"/>
          <w:sz w:val="32"/>
          <w:szCs w:val="32"/>
        </w:rPr>
      </w:pPr>
      <w:r>
        <w:rPr>
          <w:rFonts w:hint="eastAsia" w:ascii="方正黑体_GBK" w:hAnsi="方正黑体_GBK" w:eastAsia="方正黑体_GBK" w:cs="方正黑体_GBK"/>
          <w:sz w:val="32"/>
          <w:szCs w:val="32"/>
        </w:rPr>
        <w:t>二、取得的主要成效</w:t>
      </w:r>
    </w:p>
    <w:p>
      <w:pPr>
        <w:spacing w:line="570" w:lineRule="exact"/>
        <w:rPr>
          <w:rFonts w:ascii="方正仿宋_GBK" w:eastAsia="方正仿宋_GBK" w:cs="Times New Roman"/>
          <w:sz w:val="32"/>
          <w:szCs w:val="32"/>
        </w:rPr>
      </w:pPr>
      <w:r>
        <w:rPr>
          <w:rFonts w:hint="eastAsia" w:ascii="方正楷体_GBK" w:hAnsi="楷体" w:eastAsia="方正楷体_GBK" w:cs="宋体"/>
          <w:kern w:val="0"/>
          <w:sz w:val="32"/>
          <w:szCs w:val="32"/>
        </w:rPr>
        <w:t xml:space="preserve">    （一）区域健康服务能力不断强化。</w:t>
      </w:r>
      <w:r>
        <w:rPr>
          <w:rFonts w:hint="eastAsia" w:ascii="方正仿宋_GBK" w:hAnsi="楷体" w:eastAsia="方正仿宋_GBK" w:cs="宋体"/>
          <w:kern w:val="0"/>
          <w:sz w:val="32"/>
          <w:szCs w:val="32"/>
        </w:rPr>
        <w:t>通过各级医疗机构能力达标和医共体一体化发展的有力推进，各项运行保障措施的到位，红塔区实现了区、乡、村三级医疗机构蓬勃发展，区域内健康服务能力不断强化，服务水平不断提升的局面。</w:t>
      </w:r>
      <w:r>
        <w:rPr>
          <w:rFonts w:hint="eastAsia" w:ascii="方正仿宋_GBK" w:hAnsi="Times New Roman" w:eastAsia="方正仿宋_GBK" w:cs="Times New Roman"/>
          <w:sz w:val="32"/>
          <w:szCs w:val="32"/>
        </w:rPr>
        <w:t>医共体总院胸痛中心、卒中中心、高危孕产妇和儿童救急中心、创伤中中心建设已先后通过省、国家评估，各分院相对应的心脑血管救治站、慢病管理中心和急救网络站点建设也基本完成建设待验收。2019年总院通过国家县级公立医院提质达标验收，北城、研和、大营街、玉兴、玉带、凤凰分院完成等级医院评审；2020年，春和、高仓、李棋分院已通过等级医院市级评审。北城分院全市首家通过国家社区医院评审并挂牌，</w:t>
      </w:r>
      <w:r>
        <w:rPr>
          <w:rFonts w:hint="eastAsia" w:ascii="方正仿宋_GBK" w:hAnsi="楷体" w:eastAsia="方正仿宋_GBK"/>
          <w:sz w:val="32"/>
          <w:szCs w:val="32"/>
        </w:rPr>
        <w:t>医疗卫生机构标准化建设水平居全省前列。</w:t>
      </w:r>
    </w:p>
    <w:p>
      <w:pPr>
        <w:ind w:firstLine="640" w:firstLineChars="200"/>
        <w:rPr>
          <w:rFonts w:ascii="方正仿宋_GBK" w:hAnsi="宋体" w:eastAsia="方正仿宋_GBK" w:cs="仿宋_GB2312"/>
          <w:color w:val="FF0000"/>
          <w:sz w:val="32"/>
          <w:szCs w:val="32"/>
        </w:rPr>
      </w:pPr>
      <w:r>
        <w:rPr>
          <w:rFonts w:hint="eastAsia" w:ascii="方正楷体_GBK" w:hAnsi="仿宋" w:eastAsia="方正楷体_GBK"/>
          <w:sz w:val="32"/>
          <w:szCs w:val="32"/>
        </w:rPr>
        <w:t>（二）群众获得感幸福感不断增强。</w:t>
      </w:r>
      <w:r>
        <w:rPr>
          <w:rFonts w:hint="eastAsia" w:ascii="方正仿宋_GBK" w:hAnsi="仿宋" w:eastAsia="方正仿宋_GBK"/>
          <w:sz w:val="32"/>
          <w:szCs w:val="32"/>
        </w:rPr>
        <w:t>在不断提高服务能力和服务质量的同时，红塔区各级医疗机构通过医保付费方式改革，成本核算、基药制度和惠民工程等方式，全面提升辖区内群众健康需求获得感幸福感。一是实施</w:t>
      </w:r>
      <w:r>
        <w:rPr>
          <w:rFonts w:hint="eastAsia" w:ascii="方正仿宋_GBK" w:hAnsi="方正仿宋_GBK" w:eastAsia="方正仿宋_GBK" w:cs="方正仿宋_GBK"/>
          <w:sz w:val="32"/>
          <w:szCs w:val="32"/>
        </w:rPr>
        <w:t>DRGs付费制度改革提高医保资金使用效率惠及群众。2020年1-9月，</w:t>
      </w:r>
      <w:r>
        <w:rPr>
          <w:rFonts w:hint="eastAsia" w:ascii="方正仿宋_GBK" w:eastAsia="方正仿宋_GBK"/>
          <w:sz w:val="32"/>
          <w:szCs w:val="32"/>
        </w:rPr>
        <w:t>市第三人民医院DRGS入组实际病种已达458组，入组率达 100%。二是降低成本缓解群众看病贵问题。2020年1-9月，市第三人民医院平均住院天数 6.84  天，较2016年下降 0.65 天；药占比由2016年的33.99%下降到 21.13 %，百元成本耗材从2016年的23.82元升到 25.48  元，人均门诊费用由2016年的182.26元升至 195.33 元，人均住院费用由2016年的4270.41元升至 4587.76 元。</w:t>
      </w:r>
      <w:r>
        <w:rPr>
          <w:rFonts w:hint="eastAsia" w:ascii="方正仿宋_GBK" w:hAnsi="仿宋" w:eastAsia="方正仿宋_GBK"/>
          <w:sz w:val="32"/>
          <w:szCs w:val="32"/>
        </w:rPr>
        <w:t>其他医共体分院平均住院天数下降0.5天，随着优质医疗资源下沉，诊疗能力和服务水平提升，群众在社区便可享受到区级医院优质服务。三是通过实施基本药物制度让利群众。2020年1-9月，区乡村三级医疗机构零差率销售药品</w:t>
      </w:r>
      <w:r>
        <w:rPr>
          <w:rFonts w:hint="eastAsia" w:ascii="方正仿宋_GBK" w:hAnsi="宋体" w:eastAsia="方正仿宋_GBK" w:cs="仿宋_GB2312"/>
          <w:sz w:val="32"/>
          <w:szCs w:val="32"/>
        </w:rPr>
        <w:t>6055.90万元，</w:t>
      </w:r>
      <w:r>
        <w:rPr>
          <w:rFonts w:hint="eastAsia" w:ascii="方正仿宋_GBK" w:hAnsi="仿宋" w:eastAsia="方正仿宋_GBK"/>
          <w:sz w:val="32"/>
          <w:szCs w:val="32"/>
        </w:rPr>
        <w:t>如按药品加成10%测算，共让利患者近605万元。</w:t>
      </w:r>
      <w:r>
        <w:rPr>
          <w:rFonts w:hint="eastAsia" w:ascii="方正仿宋_GBK" w:eastAsia="方正仿宋_GBK"/>
          <w:sz w:val="32"/>
          <w:szCs w:val="32"/>
        </w:rPr>
        <w:t>四是</w:t>
      </w:r>
      <w:r>
        <w:rPr>
          <w:rFonts w:hint="eastAsia" w:ascii="方正仿宋_GBK" w:hAnsi="微软雅黑" w:eastAsia="方正仿宋_GBK"/>
          <w:sz w:val="32"/>
          <w:szCs w:val="32"/>
        </w:rPr>
        <w:t>家庭医生签约服务提升群众就医感受。通过实施家庭医生签约服务，</w:t>
      </w:r>
      <w:r>
        <w:rPr>
          <w:rFonts w:hint="eastAsia" w:ascii="方正仿宋_GBK" w:eastAsia="方正仿宋_GBK"/>
          <w:sz w:val="32"/>
          <w:szCs w:val="32"/>
        </w:rPr>
        <w:t>目前全区有近500名的医护人员活跃在乡村、家庭，一个真正意义上覆盖全民、惠及群众的卫生健康服务新模式正在逐步形成。</w:t>
      </w:r>
      <w:r>
        <w:rPr>
          <w:rFonts w:hint="eastAsia" w:ascii="方正仿宋_GBK" w:eastAsia="方正仿宋_GBK"/>
          <w:sz w:val="32"/>
          <w:szCs w:val="32"/>
          <w:lang w:eastAsia="zh-CN"/>
        </w:rPr>
        <w:t>截至</w:t>
      </w:r>
      <w:r>
        <w:rPr>
          <w:rFonts w:hint="eastAsia" w:ascii="方正仿宋_GBK" w:eastAsia="方正仿宋_GBK"/>
          <w:sz w:val="32"/>
          <w:szCs w:val="32"/>
        </w:rPr>
        <w:t>2020年9月底，</w:t>
      </w:r>
      <w:r>
        <w:rPr>
          <w:rFonts w:hint="eastAsia" w:ascii="方正仿宋_GBK" w:hAnsi="华文仿宋" w:eastAsia="方正仿宋_GBK"/>
          <w:sz w:val="32"/>
          <w:szCs w:val="32"/>
        </w:rPr>
        <w:t>全区家庭医生</w:t>
      </w:r>
      <w:r>
        <w:rPr>
          <w:rFonts w:hint="eastAsia" w:ascii="方正仿宋_GBK" w:eastAsia="方正仿宋_GBK"/>
          <w:sz w:val="32"/>
          <w:szCs w:val="32"/>
        </w:rPr>
        <w:t>预约诊疗达1.96万人次、转诊转院达952人次、上门服务达1.98万人次。五是开展健康扶贫惠民利民。</w:t>
      </w:r>
      <w:r>
        <w:rPr>
          <w:rFonts w:hint="eastAsia" w:ascii="方正仿宋_GBK" w:hAnsi="仿宋" w:eastAsia="方正仿宋_GBK"/>
          <w:sz w:val="32"/>
          <w:szCs w:val="32"/>
        </w:rPr>
        <w:t>通过深入推进健康</w:t>
      </w:r>
      <w:r>
        <w:rPr>
          <w:rFonts w:hint="eastAsia" w:ascii="方正仿宋_GBK" w:hAnsi="仿宋" w:eastAsia="方正仿宋_GBK"/>
          <w:sz w:val="32"/>
          <w:szCs w:val="32"/>
          <w:lang w:eastAsia="zh-CN"/>
        </w:rPr>
        <w:t>脱贫攻坚</w:t>
      </w:r>
      <w:r>
        <w:rPr>
          <w:rFonts w:hint="eastAsia" w:ascii="方正仿宋_GBK" w:hAnsi="仿宋" w:eastAsia="方正仿宋_GBK"/>
          <w:sz w:val="32"/>
          <w:szCs w:val="32"/>
        </w:rPr>
        <w:t>行动，</w:t>
      </w:r>
      <w:r>
        <w:rPr>
          <w:rFonts w:hint="eastAsia" w:ascii="方正仿宋_GBK" w:eastAsia="方正仿宋_GBK"/>
          <w:sz w:val="32"/>
          <w:szCs w:val="32"/>
        </w:rPr>
        <w:t>2020年1-9月，全区贫困患者医疗费用个人负担减轻，累计支出医保经费601.79万元，救助建档立卡贫困患者19581人次，建档立卡贫困患者实现先诊疗后付费和“一站式”结算。</w:t>
      </w:r>
    </w:p>
    <w:p>
      <w:pPr>
        <w:spacing w:line="570" w:lineRule="exact"/>
        <w:ind w:firstLine="640" w:firstLineChars="200"/>
        <w:jc w:val="left"/>
        <w:rPr>
          <w:rFonts w:ascii="方正仿宋_GBK" w:hAnsi="方正仿宋_GBK" w:eastAsia="方正仿宋_GBK" w:cs="方正仿宋_GBK"/>
          <w:sz w:val="32"/>
          <w:szCs w:val="32"/>
        </w:rPr>
      </w:pPr>
      <w:r>
        <w:rPr>
          <w:rFonts w:hint="eastAsia" w:ascii="方正楷体_GBK" w:hAnsi="楷体" w:eastAsia="方正楷体_GBK" w:cs="宋体"/>
          <w:kern w:val="0"/>
          <w:sz w:val="32"/>
          <w:szCs w:val="32"/>
        </w:rPr>
        <w:t>（三）医务工作者获得感不断提升。</w:t>
      </w:r>
    </w:p>
    <w:p>
      <w:pPr>
        <w:snapToGrid w:val="0"/>
        <w:spacing w:line="600" w:lineRule="exact"/>
        <w:ind w:right="420" w:firstLine="640" w:firstLineChars="200"/>
        <w:rPr>
          <w:rFonts w:ascii="方正仿宋_GBK" w:hAnsi="方正仿宋_GBK" w:eastAsia="方正仿宋_GBK" w:cs="方正仿宋_GBK"/>
          <w:b/>
          <w:bCs/>
          <w:sz w:val="32"/>
          <w:szCs w:val="32"/>
        </w:rPr>
      </w:pPr>
      <w:r>
        <w:rPr>
          <w:rFonts w:hint="eastAsia" w:ascii="方正仿宋_GBK" w:hAnsi="楷体" w:eastAsia="方正仿宋_GBK" w:cs="宋体"/>
          <w:kern w:val="0"/>
          <w:sz w:val="32"/>
          <w:szCs w:val="32"/>
        </w:rPr>
        <w:t>在“两个允许”基础上，红塔区通过调整公立医院综合绩效考核和基层医疗机构绩效考核改革政策，</w:t>
      </w:r>
      <w:r>
        <w:rPr>
          <w:rFonts w:hint="eastAsia" w:ascii="方正仿宋_GBK" w:hAnsi="宋体" w:eastAsia="方正仿宋_GBK"/>
          <w:sz w:val="32"/>
          <w:szCs w:val="32"/>
        </w:rPr>
        <w:t>增强了奖励性绩效工资的分配力度，打破了原来“职工干好干坏一个样，工资一分不会少”的绩效模式，充分体现“多劳多得、优绩多得、不劳不得”的新的绩效管理模式，有效的调动了职工工作积极性和创造性。2019年，市第三人民医院激励性绩效工资总额预核定为3514.2万元，较2017年上升 348.9万元，编制内职工预计人均年收入达 17.8万元，较2017年增加 11000元；2018年医共体各分院职工奖励资金总额达898.845万元，较2017年增加166.57万元，基层医疗机构职工年平均收入到13.84万元，高于同级别事业单位，达到改革要求。同时，全区</w:t>
      </w:r>
      <w:r>
        <w:rPr>
          <w:rFonts w:hint="eastAsia" w:ascii="方正仿宋_GBK" w:hAnsi="微软雅黑" w:eastAsia="方正仿宋_GBK"/>
          <w:sz w:val="32"/>
          <w:szCs w:val="32"/>
        </w:rPr>
        <w:t>乡村医生待遇明显提高。</w:t>
      </w:r>
      <w:r>
        <w:rPr>
          <w:rFonts w:hint="eastAsia" w:ascii="方正仿宋_GBK" w:hAnsi="华文仿宋" w:eastAsia="方正仿宋_GBK"/>
          <w:sz w:val="32"/>
          <w:szCs w:val="32"/>
          <w:lang w:eastAsia="zh-CN"/>
        </w:rPr>
        <w:t>截至</w:t>
      </w:r>
      <w:r>
        <w:rPr>
          <w:rFonts w:hint="eastAsia" w:ascii="方正仿宋_GBK" w:hAnsi="微软雅黑" w:eastAsia="方正仿宋_GBK" w:cs="宋体"/>
          <w:kern w:val="0"/>
          <w:sz w:val="32"/>
          <w:szCs w:val="32"/>
        </w:rPr>
        <w:t>2020年9月底，全区兑现村卫生室基本公共卫生经费466.56万元、一般诊疗费297.4万元、基本药物补助106.41万元、家庭医生签约服务费187.55万元、省市区财政定额补助86.9万元，全区村医月人均收入达4463元。</w:t>
      </w:r>
      <w:r>
        <w:rPr>
          <w:rFonts w:hint="eastAsia" w:ascii="方正仿宋_GBK" w:hAnsi="方正仿宋_GBK" w:eastAsia="方正仿宋_GBK" w:cs="方正仿宋_GBK"/>
          <w:sz w:val="32"/>
          <w:szCs w:val="32"/>
        </w:rPr>
        <w:t>通过加大地方财政投入，完善运行补偿机制，保障了乡村医生待遇，确保了村卫生室平稳运行和发展。</w:t>
      </w:r>
    </w:p>
    <w:p>
      <w:pPr>
        <w:pBdr>
          <w:bottom w:val="single" w:color="FFFFFF" w:sz="4" w:space="31"/>
        </w:pBdr>
        <w:tabs>
          <w:tab w:val="left" w:pos="1440"/>
        </w:tabs>
        <w:spacing w:line="600" w:lineRule="exact"/>
        <w:ind w:firstLine="480" w:firstLineChars="150"/>
        <w:rPr>
          <w:rFonts w:ascii="方正仿宋_GBK" w:hAnsi="Times New Roman" w:eastAsia="方正仿宋_GBK"/>
          <w:sz w:val="32"/>
          <w:szCs w:val="32"/>
        </w:rPr>
      </w:pPr>
    </w:p>
    <w:p>
      <w:pPr>
        <w:pBdr>
          <w:bottom w:val="single" w:color="FFFFFF" w:sz="4" w:space="31"/>
        </w:pBdr>
        <w:tabs>
          <w:tab w:val="left" w:pos="1440"/>
        </w:tabs>
        <w:spacing w:line="600" w:lineRule="exact"/>
        <w:ind w:firstLine="480" w:firstLineChars="150"/>
        <w:rPr>
          <w:rFonts w:ascii="方正仿宋_GBK" w:hAnsi="Times New Roman" w:eastAsia="方正仿宋_GBK"/>
          <w:sz w:val="32"/>
          <w:szCs w:val="32"/>
        </w:rPr>
      </w:pPr>
    </w:p>
    <w:p>
      <w:pPr>
        <w:pBdr>
          <w:bottom w:val="single" w:color="FFFFFF" w:sz="4" w:space="31"/>
        </w:pBdr>
        <w:tabs>
          <w:tab w:val="left" w:pos="1440"/>
        </w:tabs>
        <w:spacing w:line="600" w:lineRule="exact"/>
        <w:ind w:firstLine="480" w:firstLineChars="150"/>
        <w:rPr>
          <w:rFonts w:ascii="方正仿宋_GBK" w:hAnsi="Times New Roman" w:eastAsia="方正仿宋_GBK"/>
          <w:sz w:val="32"/>
          <w:szCs w:val="32"/>
        </w:rPr>
      </w:pPr>
    </w:p>
    <w:sectPr>
      <w:footerReference r:id="rId3" w:type="default"/>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28"/>
        <w:szCs w:val="28"/>
      </w:rPr>
      <w:fldChar w:fldCharType="begin"/>
    </w:r>
    <w:r>
      <w:rPr>
        <w:sz w:val="28"/>
        <w:szCs w:val="28"/>
      </w:rPr>
      <w:instrText xml:space="preserve">PAGE</w:instrText>
    </w:r>
    <w:r>
      <w:rPr>
        <w:sz w:val="28"/>
        <w:szCs w:val="28"/>
      </w:rPr>
      <w:fldChar w:fldCharType="separate"/>
    </w:r>
    <w:r>
      <w:rPr>
        <w:sz w:val="28"/>
        <w:szCs w:val="28"/>
      </w:rPr>
      <w:t>13</w:t>
    </w:r>
    <w:r>
      <w:rPr>
        <w:sz w:val="28"/>
        <w:szCs w:val="28"/>
      </w:rPr>
      <w:fldChar w:fldCharType="end"/>
    </w:r>
    <w:r>
      <w:rPr>
        <w:sz w:val="28"/>
        <w:szCs w:val="28"/>
        <w:lang w:val="zh-CN"/>
      </w:rPr>
      <w:t xml:space="preserve"> / </w:t>
    </w:r>
    <w:r>
      <w:rPr>
        <w:sz w:val="28"/>
        <w:szCs w:val="28"/>
      </w:rPr>
      <w:fldChar w:fldCharType="begin"/>
    </w:r>
    <w:r>
      <w:rPr>
        <w:sz w:val="28"/>
        <w:szCs w:val="28"/>
      </w:rPr>
      <w:instrText xml:space="preserve">NUMPAGES</w:instrText>
    </w:r>
    <w:r>
      <w:rPr>
        <w:sz w:val="28"/>
        <w:szCs w:val="28"/>
      </w:rPr>
      <w:fldChar w:fldCharType="separate"/>
    </w:r>
    <w:r>
      <w:rPr>
        <w:sz w:val="28"/>
        <w:szCs w:val="28"/>
      </w:rPr>
      <w:t>13</w:t>
    </w:r>
    <w:r>
      <w:rPr>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FF1798"/>
    <w:rsid w:val="00003D8F"/>
    <w:rsid w:val="00010E9F"/>
    <w:rsid w:val="00013984"/>
    <w:rsid w:val="00021465"/>
    <w:rsid w:val="0002146B"/>
    <w:rsid w:val="00025A2C"/>
    <w:rsid w:val="0003074F"/>
    <w:rsid w:val="000320D1"/>
    <w:rsid w:val="00033547"/>
    <w:rsid w:val="00043470"/>
    <w:rsid w:val="00044E78"/>
    <w:rsid w:val="0005553B"/>
    <w:rsid w:val="000669F4"/>
    <w:rsid w:val="000727C4"/>
    <w:rsid w:val="000757EB"/>
    <w:rsid w:val="00084478"/>
    <w:rsid w:val="00086D57"/>
    <w:rsid w:val="00093C69"/>
    <w:rsid w:val="00097AA5"/>
    <w:rsid w:val="000A471F"/>
    <w:rsid w:val="000A522C"/>
    <w:rsid w:val="000A747D"/>
    <w:rsid w:val="000C3BDC"/>
    <w:rsid w:val="000D0462"/>
    <w:rsid w:val="000E3686"/>
    <w:rsid w:val="000E5300"/>
    <w:rsid w:val="000E6A2B"/>
    <w:rsid w:val="000F2959"/>
    <w:rsid w:val="000F4331"/>
    <w:rsid w:val="000F57C6"/>
    <w:rsid w:val="00100256"/>
    <w:rsid w:val="00101837"/>
    <w:rsid w:val="00105DF4"/>
    <w:rsid w:val="001130DA"/>
    <w:rsid w:val="001152F6"/>
    <w:rsid w:val="001228FC"/>
    <w:rsid w:val="00127366"/>
    <w:rsid w:val="0013046F"/>
    <w:rsid w:val="00131855"/>
    <w:rsid w:val="00132B83"/>
    <w:rsid w:val="00132E7B"/>
    <w:rsid w:val="00142328"/>
    <w:rsid w:val="00143219"/>
    <w:rsid w:val="00151AF5"/>
    <w:rsid w:val="001634E9"/>
    <w:rsid w:val="0016618B"/>
    <w:rsid w:val="0017079B"/>
    <w:rsid w:val="00173D40"/>
    <w:rsid w:val="00183188"/>
    <w:rsid w:val="0018389B"/>
    <w:rsid w:val="0018599A"/>
    <w:rsid w:val="00191D2D"/>
    <w:rsid w:val="00195F8A"/>
    <w:rsid w:val="001B007F"/>
    <w:rsid w:val="001B12B1"/>
    <w:rsid w:val="001D432B"/>
    <w:rsid w:val="001F0594"/>
    <w:rsid w:val="001F3E3F"/>
    <w:rsid w:val="001F3F78"/>
    <w:rsid w:val="002043A7"/>
    <w:rsid w:val="002071A6"/>
    <w:rsid w:val="00207DFA"/>
    <w:rsid w:val="00212706"/>
    <w:rsid w:val="0021467C"/>
    <w:rsid w:val="0021654E"/>
    <w:rsid w:val="002241B7"/>
    <w:rsid w:val="002270AD"/>
    <w:rsid w:val="002326E5"/>
    <w:rsid w:val="00233310"/>
    <w:rsid w:val="00234044"/>
    <w:rsid w:val="0024133A"/>
    <w:rsid w:val="002429D2"/>
    <w:rsid w:val="002433BB"/>
    <w:rsid w:val="00246107"/>
    <w:rsid w:val="002474A2"/>
    <w:rsid w:val="00251AF0"/>
    <w:rsid w:val="0025404B"/>
    <w:rsid w:val="00265C9B"/>
    <w:rsid w:val="00267442"/>
    <w:rsid w:val="002703F9"/>
    <w:rsid w:val="00271DA2"/>
    <w:rsid w:val="00271ED1"/>
    <w:rsid w:val="0027232F"/>
    <w:rsid w:val="00273AEF"/>
    <w:rsid w:val="00274348"/>
    <w:rsid w:val="00274D2A"/>
    <w:rsid w:val="00276E92"/>
    <w:rsid w:val="00287E85"/>
    <w:rsid w:val="00293A52"/>
    <w:rsid w:val="002A0367"/>
    <w:rsid w:val="002A326C"/>
    <w:rsid w:val="002A5613"/>
    <w:rsid w:val="002B35A2"/>
    <w:rsid w:val="002B6F73"/>
    <w:rsid w:val="002C094D"/>
    <w:rsid w:val="002C2B5E"/>
    <w:rsid w:val="002C6599"/>
    <w:rsid w:val="002C7061"/>
    <w:rsid w:val="002D7C23"/>
    <w:rsid w:val="002E11D3"/>
    <w:rsid w:val="002E2F39"/>
    <w:rsid w:val="002E4C6C"/>
    <w:rsid w:val="002E72B2"/>
    <w:rsid w:val="002F5E6D"/>
    <w:rsid w:val="00302512"/>
    <w:rsid w:val="003036F4"/>
    <w:rsid w:val="00304395"/>
    <w:rsid w:val="003127E8"/>
    <w:rsid w:val="00315485"/>
    <w:rsid w:val="00336252"/>
    <w:rsid w:val="00336940"/>
    <w:rsid w:val="00340265"/>
    <w:rsid w:val="00343461"/>
    <w:rsid w:val="003437C4"/>
    <w:rsid w:val="003516A5"/>
    <w:rsid w:val="00355F1F"/>
    <w:rsid w:val="00357E29"/>
    <w:rsid w:val="00360419"/>
    <w:rsid w:val="00365035"/>
    <w:rsid w:val="00365B5A"/>
    <w:rsid w:val="00365EA2"/>
    <w:rsid w:val="003668AA"/>
    <w:rsid w:val="0038228E"/>
    <w:rsid w:val="003846A7"/>
    <w:rsid w:val="00387202"/>
    <w:rsid w:val="00395D40"/>
    <w:rsid w:val="003A444E"/>
    <w:rsid w:val="003B6206"/>
    <w:rsid w:val="003C4B24"/>
    <w:rsid w:val="003D5107"/>
    <w:rsid w:val="003E535A"/>
    <w:rsid w:val="003F17B0"/>
    <w:rsid w:val="003F2145"/>
    <w:rsid w:val="003F56A7"/>
    <w:rsid w:val="003F66C9"/>
    <w:rsid w:val="00401214"/>
    <w:rsid w:val="00403A4E"/>
    <w:rsid w:val="00414F56"/>
    <w:rsid w:val="004305DB"/>
    <w:rsid w:val="00431DBC"/>
    <w:rsid w:val="00451969"/>
    <w:rsid w:val="00463C27"/>
    <w:rsid w:val="004654DF"/>
    <w:rsid w:val="00466656"/>
    <w:rsid w:val="0047630F"/>
    <w:rsid w:val="004832A4"/>
    <w:rsid w:val="004944A0"/>
    <w:rsid w:val="0049532A"/>
    <w:rsid w:val="0049634C"/>
    <w:rsid w:val="00496B86"/>
    <w:rsid w:val="004B607A"/>
    <w:rsid w:val="004C00E7"/>
    <w:rsid w:val="004D5239"/>
    <w:rsid w:val="004D5E8A"/>
    <w:rsid w:val="004D6652"/>
    <w:rsid w:val="004E1CD4"/>
    <w:rsid w:val="004E1D62"/>
    <w:rsid w:val="004E6A01"/>
    <w:rsid w:val="004E6DC1"/>
    <w:rsid w:val="004E7750"/>
    <w:rsid w:val="004F26B4"/>
    <w:rsid w:val="004F69B9"/>
    <w:rsid w:val="00514D36"/>
    <w:rsid w:val="00517B68"/>
    <w:rsid w:val="005218C8"/>
    <w:rsid w:val="00526799"/>
    <w:rsid w:val="0053011D"/>
    <w:rsid w:val="00532E7D"/>
    <w:rsid w:val="00534756"/>
    <w:rsid w:val="00542240"/>
    <w:rsid w:val="00545DC2"/>
    <w:rsid w:val="005471EA"/>
    <w:rsid w:val="00551939"/>
    <w:rsid w:val="00556E40"/>
    <w:rsid w:val="005605FF"/>
    <w:rsid w:val="0056455F"/>
    <w:rsid w:val="00566577"/>
    <w:rsid w:val="005731D5"/>
    <w:rsid w:val="005743C5"/>
    <w:rsid w:val="005806A6"/>
    <w:rsid w:val="00580958"/>
    <w:rsid w:val="005826A3"/>
    <w:rsid w:val="005916E5"/>
    <w:rsid w:val="00597C06"/>
    <w:rsid w:val="005A376B"/>
    <w:rsid w:val="005A4E5A"/>
    <w:rsid w:val="005B0792"/>
    <w:rsid w:val="005B2CB9"/>
    <w:rsid w:val="005B4381"/>
    <w:rsid w:val="005B6A9F"/>
    <w:rsid w:val="005B7A71"/>
    <w:rsid w:val="005C0304"/>
    <w:rsid w:val="005C1997"/>
    <w:rsid w:val="005C7151"/>
    <w:rsid w:val="005D279E"/>
    <w:rsid w:val="005D72F1"/>
    <w:rsid w:val="005E43DA"/>
    <w:rsid w:val="005F0BDE"/>
    <w:rsid w:val="005F0E6B"/>
    <w:rsid w:val="005F13B4"/>
    <w:rsid w:val="005F44CC"/>
    <w:rsid w:val="005F5CA3"/>
    <w:rsid w:val="00604E24"/>
    <w:rsid w:val="00606B3E"/>
    <w:rsid w:val="006076BB"/>
    <w:rsid w:val="0061071C"/>
    <w:rsid w:val="00611E16"/>
    <w:rsid w:val="0062621D"/>
    <w:rsid w:val="00627F5E"/>
    <w:rsid w:val="006372F5"/>
    <w:rsid w:val="00640090"/>
    <w:rsid w:val="00643A96"/>
    <w:rsid w:val="0065350F"/>
    <w:rsid w:val="00656664"/>
    <w:rsid w:val="00657F09"/>
    <w:rsid w:val="006622CD"/>
    <w:rsid w:val="00667B0D"/>
    <w:rsid w:val="00667B45"/>
    <w:rsid w:val="00670BC0"/>
    <w:rsid w:val="006737CD"/>
    <w:rsid w:val="00677102"/>
    <w:rsid w:val="006907E8"/>
    <w:rsid w:val="00691C03"/>
    <w:rsid w:val="006924B9"/>
    <w:rsid w:val="00693AFD"/>
    <w:rsid w:val="00697858"/>
    <w:rsid w:val="006A047C"/>
    <w:rsid w:val="006B0098"/>
    <w:rsid w:val="006B169A"/>
    <w:rsid w:val="006B6DE2"/>
    <w:rsid w:val="006C2B8A"/>
    <w:rsid w:val="006C792E"/>
    <w:rsid w:val="006D11F1"/>
    <w:rsid w:val="006D5561"/>
    <w:rsid w:val="006E30F3"/>
    <w:rsid w:val="006E50A8"/>
    <w:rsid w:val="006F22A0"/>
    <w:rsid w:val="006F42AC"/>
    <w:rsid w:val="006F5B11"/>
    <w:rsid w:val="006F663C"/>
    <w:rsid w:val="0070013F"/>
    <w:rsid w:val="00700682"/>
    <w:rsid w:val="00707121"/>
    <w:rsid w:val="007157FB"/>
    <w:rsid w:val="007229D5"/>
    <w:rsid w:val="00723736"/>
    <w:rsid w:val="00730D12"/>
    <w:rsid w:val="007314CF"/>
    <w:rsid w:val="0073309F"/>
    <w:rsid w:val="00740B0E"/>
    <w:rsid w:val="00747EFC"/>
    <w:rsid w:val="007514E9"/>
    <w:rsid w:val="00752B17"/>
    <w:rsid w:val="0075447E"/>
    <w:rsid w:val="00755B7D"/>
    <w:rsid w:val="00757D72"/>
    <w:rsid w:val="0076271F"/>
    <w:rsid w:val="00762754"/>
    <w:rsid w:val="00763720"/>
    <w:rsid w:val="007645C0"/>
    <w:rsid w:val="007759B9"/>
    <w:rsid w:val="00776C50"/>
    <w:rsid w:val="00781904"/>
    <w:rsid w:val="00784288"/>
    <w:rsid w:val="0078485E"/>
    <w:rsid w:val="00791CA5"/>
    <w:rsid w:val="00794ED2"/>
    <w:rsid w:val="00795ABB"/>
    <w:rsid w:val="007A2018"/>
    <w:rsid w:val="007A5D96"/>
    <w:rsid w:val="007A75AB"/>
    <w:rsid w:val="007B0833"/>
    <w:rsid w:val="007C1FA7"/>
    <w:rsid w:val="007D0D2B"/>
    <w:rsid w:val="007D1371"/>
    <w:rsid w:val="007D64B0"/>
    <w:rsid w:val="007E3314"/>
    <w:rsid w:val="007E48AF"/>
    <w:rsid w:val="00805812"/>
    <w:rsid w:val="00806568"/>
    <w:rsid w:val="0081071C"/>
    <w:rsid w:val="008114DF"/>
    <w:rsid w:val="008120A0"/>
    <w:rsid w:val="00813590"/>
    <w:rsid w:val="00814E4D"/>
    <w:rsid w:val="00815FAD"/>
    <w:rsid w:val="00820F42"/>
    <w:rsid w:val="00826720"/>
    <w:rsid w:val="00835364"/>
    <w:rsid w:val="0083750B"/>
    <w:rsid w:val="008421A7"/>
    <w:rsid w:val="00854AFB"/>
    <w:rsid w:val="00870A07"/>
    <w:rsid w:val="0087312B"/>
    <w:rsid w:val="00877C2E"/>
    <w:rsid w:val="0089475A"/>
    <w:rsid w:val="008A30F8"/>
    <w:rsid w:val="008A5CB6"/>
    <w:rsid w:val="008B2315"/>
    <w:rsid w:val="008C1793"/>
    <w:rsid w:val="008C1987"/>
    <w:rsid w:val="008C2C68"/>
    <w:rsid w:val="008D4D83"/>
    <w:rsid w:val="008E6A8F"/>
    <w:rsid w:val="008F6EE5"/>
    <w:rsid w:val="008F74B2"/>
    <w:rsid w:val="008F7FF4"/>
    <w:rsid w:val="0090468C"/>
    <w:rsid w:val="00914276"/>
    <w:rsid w:val="009234DF"/>
    <w:rsid w:val="00923768"/>
    <w:rsid w:val="00924439"/>
    <w:rsid w:val="009313C3"/>
    <w:rsid w:val="009355EB"/>
    <w:rsid w:val="00945D72"/>
    <w:rsid w:val="00953050"/>
    <w:rsid w:val="009577F1"/>
    <w:rsid w:val="00961E73"/>
    <w:rsid w:val="00967C87"/>
    <w:rsid w:val="00972DB6"/>
    <w:rsid w:val="00972EE0"/>
    <w:rsid w:val="00973218"/>
    <w:rsid w:val="009774B9"/>
    <w:rsid w:val="00977826"/>
    <w:rsid w:val="00980192"/>
    <w:rsid w:val="009815AC"/>
    <w:rsid w:val="009B2231"/>
    <w:rsid w:val="009C4C1D"/>
    <w:rsid w:val="009D090C"/>
    <w:rsid w:val="009D610F"/>
    <w:rsid w:val="009D70AC"/>
    <w:rsid w:val="009E7BF9"/>
    <w:rsid w:val="00A01ACB"/>
    <w:rsid w:val="00A023A5"/>
    <w:rsid w:val="00A16F1B"/>
    <w:rsid w:val="00A22D5B"/>
    <w:rsid w:val="00A2313D"/>
    <w:rsid w:val="00A24BA3"/>
    <w:rsid w:val="00A25111"/>
    <w:rsid w:val="00A26EB7"/>
    <w:rsid w:val="00A378FD"/>
    <w:rsid w:val="00A37B42"/>
    <w:rsid w:val="00A40540"/>
    <w:rsid w:val="00A45360"/>
    <w:rsid w:val="00A468B2"/>
    <w:rsid w:val="00A50B19"/>
    <w:rsid w:val="00A550A2"/>
    <w:rsid w:val="00A71AB0"/>
    <w:rsid w:val="00A776C2"/>
    <w:rsid w:val="00A817CB"/>
    <w:rsid w:val="00AA0073"/>
    <w:rsid w:val="00AA410E"/>
    <w:rsid w:val="00AA4F6B"/>
    <w:rsid w:val="00AB2DE4"/>
    <w:rsid w:val="00AC4CEF"/>
    <w:rsid w:val="00AD3F6D"/>
    <w:rsid w:val="00AD40C9"/>
    <w:rsid w:val="00AD625D"/>
    <w:rsid w:val="00AE075A"/>
    <w:rsid w:val="00AE2010"/>
    <w:rsid w:val="00AE6D83"/>
    <w:rsid w:val="00AF2EBD"/>
    <w:rsid w:val="00AF6119"/>
    <w:rsid w:val="00B01227"/>
    <w:rsid w:val="00B02720"/>
    <w:rsid w:val="00B04359"/>
    <w:rsid w:val="00B07F77"/>
    <w:rsid w:val="00B22B58"/>
    <w:rsid w:val="00B3103B"/>
    <w:rsid w:val="00B42F71"/>
    <w:rsid w:val="00B525F3"/>
    <w:rsid w:val="00B56E2A"/>
    <w:rsid w:val="00B57961"/>
    <w:rsid w:val="00B6310D"/>
    <w:rsid w:val="00B64EAA"/>
    <w:rsid w:val="00B666EA"/>
    <w:rsid w:val="00B71020"/>
    <w:rsid w:val="00B75A68"/>
    <w:rsid w:val="00B84736"/>
    <w:rsid w:val="00B84886"/>
    <w:rsid w:val="00B9461D"/>
    <w:rsid w:val="00BA1247"/>
    <w:rsid w:val="00BB087A"/>
    <w:rsid w:val="00BB0A6A"/>
    <w:rsid w:val="00BB380E"/>
    <w:rsid w:val="00BB5281"/>
    <w:rsid w:val="00BB7CBA"/>
    <w:rsid w:val="00BD4C69"/>
    <w:rsid w:val="00BD62B2"/>
    <w:rsid w:val="00BF07D3"/>
    <w:rsid w:val="00BF0B39"/>
    <w:rsid w:val="00BF1F63"/>
    <w:rsid w:val="00BF590C"/>
    <w:rsid w:val="00BF7BFC"/>
    <w:rsid w:val="00C01BCF"/>
    <w:rsid w:val="00C072CD"/>
    <w:rsid w:val="00C1095A"/>
    <w:rsid w:val="00C14B0D"/>
    <w:rsid w:val="00C171A2"/>
    <w:rsid w:val="00C41486"/>
    <w:rsid w:val="00C463DE"/>
    <w:rsid w:val="00C466D0"/>
    <w:rsid w:val="00C51EE6"/>
    <w:rsid w:val="00C61FC1"/>
    <w:rsid w:val="00C6243E"/>
    <w:rsid w:val="00C64966"/>
    <w:rsid w:val="00C67108"/>
    <w:rsid w:val="00C67E61"/>
    <w:rsid w:val="00C71547"/>
    <w:rsid w:val="00C81FF1"/>
    <w:rsid w:val="00C83B28"/>
    <w:rsid w:val="00C93588"/>
    <w:rsid w:val="00CA26F2"/>
    <w:rsid w:val="00CA2DB8"/>
    <w:rsid w:val="00CA3C9D"/>
    <w:rsid w:val="00CB1A56"/>
    <w:rsid w:val="00CB4F59"/>
    <w:rsid w:val="00CC2D62"/>
    <w:rsid w:val="00CC5C17"/>
    <w:rsid w:val="00CC7086"/>
    <w:rsid w:val="00CD3B8C"/>
    <w:rsid w:val="00CD758A"/>
    <w:rsid w:val="00CE23B9"/>
    <w:rsid w:val="00CE504B"/>
    <w:rsid w:val="00CE6AF8"/>
    <w:rsid w:val="00CF371A"/>
    <w:rsid w:val="00CF58DF"/>
    <w:rsid w:val="00CF6AC6"/>
    <w:rsid w:val="00D14741"/>
    <w:rsid w:val="00D169F9"/>
    <w:rsid w:val="00D22FCD"/>
    <w:rsid w:val="00D27E07"/>
    <w:rsid w:val="00D319BA"/>
    <w:rsid w:val="00D43A12"/>
    <w:rsid w:val="00D505C5"/>
    <w:rsid w:val="00D553ED"/>
    <w:rsid w:val="00D57923"/>
    <w:rsid w:val="00D672A0"/>
    <w:rsid w:val="00D71BE5"/>
    <w:rsid w:val="00D739FD"/>
    <w:rsid w:val="00D8777B"/>
    <w:rsid w:val="00DA1841"/>
    <w:rsid w:val="00DA3454"/>
    <w:rsid w:val="00DA76E5"/>
    <w:rsid w:val="00DB056A"/>
    <w:rsid w:val="00DB1E07"/>
    <w:rsid w:val="00DB4497"/>
    <w:rsid w:val="00DC0AC5"/>
    <w:rsid w:val="00DC0E52"/>
    <w:rsid w:val="00DC5217"/>
    <w:rsid w:val="00DD0528"/>
    <w:rsid w:val="00DD605F"/>
    <w:rsid w:val="00DE3FD7"/>
    <w:rsid w:val="00E0294F"/>
    <w:rsid w:val="00E275BF"/>
    <w:rsid w:val="00E3119A"/>
    <w:rsid w:val="00E331EB"/>
    <w:rsid w:val="00E44423"/>
    <w:rsid w:val="00E455C0"/>
    <w:rsid w:val="00E5094D"/>
    <w:rsid w:val="00E51C7D"/>
    <w:rsid w:val="00E62884"/>
    <w:rsid w:val="00E64C23"/>
    <w:rsid w:val="00E66792"/>
    <w:rsid w:val="00E71245"/>
    <w:rsid w:val="00E7339E"/>
    <w:rsid w:val="00E874B8"/>
    <w:rsid w:val="00EA03D7"/>
    <w:rsid w:val="00EA14D1"/>
    <w:rsid w:val="00EA55CE"/>
    <w:rsid w:val="00EB2DF4"/>
    <w:rsid w:val="00EC00A8"/>
    <w:rsid w:val="00ED3F89"/>
    <w:rsid w:val="00ED5217"/>
    <w:rsid w:val="00EE307A"/>
    <w:rsid w:val="00EE4858"/>
    <w:rsid w:val="00EF42BC"/>
    <w:rsid w:val="00F02FC3"/>
    <w:rsid w:val="00F041EA"/>
    <w:rsid w:val="00F13674"/>
    <w:rsid w:val="00F16AED"/>
    <w:rsid w:val="00F16BCD"/>
    <w:rsid w:val="00F26BEE"/>
    <w:rsid w:val="00F32FAC"/>
    <w:rsid w:val="00F441B0"/>
    <w:rsid w:val="00F50447"/>
    <w:rsid w:val="00F51C2A"/>
    <w:rsid w:val="00F570FD"/>
    <w:rsid w:val="00F61FBE"/>
    <w:rsid w:val="00F73AE2"/>
    <w:rsid w:val="00FA16DF"/>
    <w:rsid w:val="00FB6B92"/>
    <w:rsid w:val="00FC0903"/>
    <w:rsid w:val="00FC09C4"/>
    <w:rsid w:val="00FC35AA"/>
    <w:rsid w:val="00FC6A44"/>
    <w:rsid w:val="00FD054C"/>
    <w:rsid w:val="00FD7044"/>
    <w:rsid w:val="00FF1798"/>
    <w:rsid w:val="00FF2A10"/>
    <w:rsid w:val="02D768B7"/>
    <w:rsid w:val="039B4076"/>
    <w:rsid w:val="04B55CF5"/>
    <w:rsid w:val="074B1751"/>
    <w:rsid w:val="07770ECE"/>
    <w:rsid w:val="10EB29FD"/>
    <w:rsid w:val="116B2E57"/>
    <w:rsid w:val="14F831F4"/>
    <w:rsid w:val="169E0FE1"/>
    <w:rsid w:val="1DDF3F11"/>
    <w:rsid w:val="223973EF"/>
    <w:rsid w:val="22AE5D73"/>
    <w:rsid w:val="25C84D0C"/>
    <w:rsid w:val="27711845"/>
    <w:rsid w:val="2B971F94"/>
    <w:rsid w:val="2C341A92"/>
    <w:rsid w:val="2C4442AB"/>
    <w:rsid w:val="2C66372C"/>
    <w:rsid w:val="30987AC8"/>
    <w:rsid w:val="314F2002"/>
    <w:rsid w:val="379C154A"/>
    <w:rsid w:val="3C8E2667"/>
    <w:rsid w:val="3F45735D"/>
    <w:rsid w:val="3F6C179B"/>
    <w:rsid w:val="42BD1349"/>
    <w:rsid w:val="435D349F"/>
    <w:rsid w:val="493F33BB"/>
    <w:rsid w:val="4E344AC0"/>
    <w:rsid w:val="4E6E0739"/>
    <w:rsid w:val="511A161C"/>
    <w:rsid w:val="5B75221C"/>
    <w:rsid w:val="5E7F7895"/>
    <w:rsid w:val="64184643"/>
    <w:rsid w:val="660E4AFE"/>
    <w:rsid w:val="673D776E"/>
    <w:rsid w:val="69D07728"/>
    <w:rsid w:val="6DCE7F90"/>
    <w:rsid w:val="6DFA33C6"/>
    <w:rsid w:val="73A433B9"/>
    <w:rsid w:val="749072AA"/>
    <w:rsid w:val="76B51884"/>
    <w:rsid w:val="78CF5AC2"/>
    <w:rsid w:val="7B756C9A"/>
    <w:rsid w:val="7D72325C"/>
    <w:rsid w:val="7FDB01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0"/>
    <w:pPr>
      <w:autoSpaceDE w:val="0"/>
      <w:autoSpaceDN w:val="0"/>
      <w:adjustRightInd w:val="0"/>
      <w:ind w:left="758"/>
      <w:jc w:val="left"/>
      <w:outlineLvl w:val="0"/>
    </w:pPr>
    <w:rPr>
      <w:rFonts w:ascii="华文仿宋" w:hAnsi="Times New Roman" w:eastAsia="华文仿宋" w:cs="Times New Roman"/>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16"/>
    <w:qFormat/>
    <w:uiPriority w:val="0"/>
    <w:rPr>
      <w:rFonts w:ascii="宋体" w:hAnsi="Courier New" w:cs="Courier New"/>
      <w:szCs w:val="21"/>
    </w:rPr>
  </w:style>
  <w:style w:type="paragraph" w:styleId="4">
    <w:name w:val="Date"/>
    <w:basedOn w:val="1"/>
    <w:next w:val="1"/>
    <w:link w:val="13"/>
    <w:unhideWhenUsed/>
    <w:qFormat/>
    <w:uiPriority w:val="99"/>
    <w:pPr>
      <w:ind w:left="100" w:leftChars="250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rFonts w:ascii="Times New Roman" w:hAnsi="Times New Roman" w:cs="Times New Roman"/>
      <w:b/>
      <w:bCs/>
    </w:rPr>
  </w:style>
  <w:style w:type="character" w:styleId="11">
    <w:name w:val="Emphasis"/>
    <w:basedOn w:val="9"/>
    <w:qFormat/>
    <w:uiPriority w:val="20"/>
    <w:rPr>
      <w:i/>
      <w:iCs/>
    </w:rPr>
  </w:style>
  <w:style w:type="paragraph" w:customStyle="1" w:styleId="12">
    <w:name w:val="1 Char"/>
    <w:basedOn w:val="1"/>
    <w:qFormat/>
    <w:uiPriority w:val="0"/>
    <w:pPr>
      <w:widowControl/>
      <w:jc w:val="left"/>
    </w:pPr>
    <w:rPr>
      <w:rFonts w:ascii="宋体" w:hAnsi="宋体" w:cs="Times New Roman"/>
      <w:snapToGrid w:val="0"/>
      <w:kern w:val="0"/>
      <w:sz w:val="24"/>
      <w:szCs w:val="24"/>
    </w:rPr>
  </w:style>
  <w:style w:type="character" w:customStyle="1" w:styleId="13">
    <w:name w:val="日期 Char"/>
    <w:basedOn w:val="9"/>
    <w:link w:val="4"/>
    <w:semiHidden/>
    <w:qFormat/>
    <w:uiPriority w:val="99"/>
  </w:style>
  <w:style w:type="character" w:customStyle="1" w:styleId="14">
    <w:name w:val="标题 1 Char"/>
    <w:basedOn w:val="9"/>
    <w:link w:val="2"/>
    <w:qFormat/>
    <w:uiPriority w:val="0"/>
    <w:rPr>
      <w:rFonts w:ascii="华文仿宋" w:hAnsi="Times New Roman" w:eastAsia="华文仿宋" w:cs="Times New Roman"/>
      <w:b/>
      <w:bCs/>
      <w:kern w:val="0"/>
      <w:sz w:val="32"/>
      <w:szCs w:val="32"/>
    </w:rPr>
  </w:style>
  <w:style w:type="character" w:customStyle="1" w:styleId="15">
    <w:name w:val="公文正文"/>
    <w:qFormat/>
    <w:uiPriority w:val="0"/>
    <w:rPr>
      <w:rFonts w:ascii="仿宋_GB2312" w:eastAsia="仿宋_GB2312"/>
      <w:sz w:val="32"/>
    </w:rPr>
  </w:style>
  <w:style w:type="character" w:customStyle="1" w:styleId="16">
    <w:name w:val="纯文本 Char"/>
    <w:basedOn w:val="9"/>
    <w:link w:val="3"/>
    <w:qFormat/>
    <w:uiPriority w:val="0"/>
    <w:rPr>
      <w:rFonts w:ascii="宋体" w:hAnsi="Courier New" w:eastAsia="宋体" w:cs="Courier New"/>
      <w:szCs w:val="21"/>
    </w:rPr>
  </w:style>
  <w:style w:type="character" w:customStyle="1" w:styleId="17">
    <w:name w:val="页眉 Char"/>
    <w:basedOn w:val="9"/>
    <w:link w:val="6"/>
    <w:semiHidden/>
    <w:qFormat/>
    <w:uiPriority w:val="99"/>
    <w:rPr>
      <w:sz w:val="18"/>
      <w:szCs w:val="18"/>
    </w:rPr>
  </w:style>
  <w:style w:type="character" w:customStyle="1" w:styleId="18">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1139</Words>
  <Characters>6495</Characters>
  <Lines>54</Lines>
  <Paragraphs>15</Paragraphs>
  <TotalTime>3</TotalTime>
  <ScaleCrop>false</ScaleCrop>
  <LinksUpToDate>false</LinksUpToDate>
  <CharactersWithSpaces>7619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2020-11-23T03:05:00Z</dcterms:created>
  <dc:creator>WQM</dc:creator>
  <cp:lastModifiedBy> 装傻</cp:lastModifiedBy>
  <cp:lastPrinted>2020-06-19T09:03:00Z</cp:lastPrinted>
  <dcterms:modified xsi:type="dcterms:W3CDTF">2024-04-16T01:43:02Z</dcterms:modified>
  <dc:title>内生动力强基层 深化改革建机制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