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红塔区投资促进局2019年度法治政府建设情况报告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根据市、区关于法治政府建设的工作要求，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</w:rPr>
        <w:t>全面推进法治政府建设，结合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</w:rPr>
        <w:t>实际，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我局制定了《红塔区招商合作局法治政府建设实施方案（2016年—2020年）》，并依据《实施方案》开展工作，现将2019年度工作情况报告如下：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sz w:val="32"/>
          <w:szCs w:val="32"/>
          <w:lang w:val="en-US" w:eastAsia="zh-CN"/>
        </w:rPr>
        <w:t xml:space="preserve"> 一、强化组织领导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 w:firstLineChars="225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我局高度重视法治政府建设工作，成立了法治政府建设工作领导小组，并依人事变动及时调整，局长李江湖任组长，副局长杨云鹏、马婕莹任副组长，成员有办公室主任李平、投资促进股股长普文俊。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 w:firstLineChars="225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领导小组下设办公室设在局办公室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，承担本局的政策法规职能、法治宣传教育、法治文化建设等工作职能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，办公室主任由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李平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同志兼任，负责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法治政府建设和依法治区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7" w:firstLineChars="196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局长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李江湖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同志为红塔区招商合作局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法治政府建设和依法治区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工作第一责任人，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并对分管的办公室承担主要责任；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副局长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杨云鹏、马婕莹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对所分管的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投资促进股、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投资服务股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上述两项工作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承担主要领导责任。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依法全面履行政府职能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我局依照“三定方案”明确的职责职能，不断完善各项规章制度，明确股室工作职责，做到有章、有据、有法可依可循。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鉴于我局无任何行政审批或许可事项，我局按照转变政府职能的总体要求，全力做好服务工作，积极配合招商引资企业做好相关行政审批工作，推进项目落地。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/>
        <w:jc w:val="both"/>
        <w:textAlignment w:val="auto"/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完善依法行政制度体系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加大规范性文件审查力度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。我局及时传达有关规范性文件制定的相关要求和制度，按要求开展了规定性文件清理工作，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2019年度没有制定规范性文件。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推进行政决策科学化、民主化、法治化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认真贯彻落实《云南省重大行政决策程序规定》和《玉溪市重大行政决策程序规定（试行）》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制定了《“三重一大”重大事项决策制度》、《红塔区投资促进局重大行政决策合法性审查工作制度》等行政决策制度，严格按照要求执行集体决策和主要领导末位表态制，；无重大偏差和失误；无追责问责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按要求与云南红塔律师事务所签订了《法律顾问合同书》,聘请郝志远律师为法律顾问；根据我局工作职能，牵涉法律问题主要涉及投资促进合作协议（合同），按照区法制办的要求，做到每签订一个协议，事前都提交法律顾问或区法制办审核，切实维护各方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强化对行政权力的制约和监督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我局结合党风廉政建设主体责任工作，完善了监督检查责任制度，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建立健全了监督检查机制，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由局长牵头，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局办公室具体负责，定期与不定期、明察与暗访相结合，及时检查全局各股（室）作风纪律、工作落实等情况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自觉接受党内监督、人大监督、民主监督、司法监督。在党委对党风廉政建设和反腐败工作的统一领导下，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局领导班子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切实履行主体责任，主要负责人是第一责任人，对本级政府本部门党风廉政建设负总责。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我局加强政府公开工作。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全面落实决策执行管理服务结果“五公开”工作机制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强力推进重点领域信息集中公开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，对重要工作信息、投资促进政策及时在红塔区政府信息公开网相关栏目公开发布发布；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进一步健全解读回应机制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建立行政机关主要负责人定期带头宣讲政策机制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积极组织做好本部门舆情监测工作，扩大舆情收集范围。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健全问责方式，加大问责力度，坚决纠正行政不作为、乱作为和慢作为，坚决克服懒政、庸政、怠政，坚决惩处失职、渎职。认真落实党风廉政建设责任制，坚持有错必纠、有责必问，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坚决整治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“四风”问题突出、发生顶风违纪问题。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六、</w:t>
      </w:r>
      <w:r>
        <w:rPr>
          <w:rFonts w:hint="eastAsia" w:ascii="方正兰亭超细黑简体" w:hAnsi="方正兰亭超细黑简体" w:eastAsia="方正兰亭超细黑简体" w:cs="方正兰亭超细黑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全面提高工作人员法治思维和依法行政能力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树立重视法治素养和法治能力的用人导向。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法制人才的培养，在相同条件下，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在关键岗位上，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优先使用法治素养好、依法办事能力强的干部。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我局每年专题研究年度普法工作，做到年初有计划、年终有总结。结合部门实际，制定了《关于学法用法制度的实施意见》和普法工作要点。已按要求在规定时间完成了网上学法用法考试。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落实“谁执法谁普法”的普法责任制，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结合社区挂钩包村、脱贫攻坚、创文创卫等深入开展“六进活动”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，深入开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展宪法、法律法规宣传教育，全面弘扬社会主义法治精神，积极引导公民、法人和其他组织尊法学法守法用法，依法维护自身权益。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利用国际禁毒日、宪法宣传日活动积极开展学法活动。一是利用国际禁毒日开展教育活动，学习《中华人民共和国禁毒法》；二是结合党组中心学习组、组织生活会、宪法宣传日活动等，组织学习了《宪法》、《中国共产党章程》、《关于新形势下党内政治生活的若干准则》、《中国共产党党内监督条例》、《中国共产党问责条例》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《监察法》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等；三是借助局学习例会、微信群等学法平台和阵地，同时结合惩治腐败案例、违法案例等开展了“以案释法”教育活动；四是结合脱贫攻坚、党基层组织建设、创文创卫等活动，积极开展法律“6+4”活动。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2019年12月2日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F28DC"/>
    <w:rsid w:val="03094386"/>
    <w:rsid w:val="17BA56AC"/>
    <w:rsid w:val="1C7B7CAC"/>
    <w:rsid w:val="22A47143"/>
    <w:rsid w:val="2AD379F3"/>
    <w:rsid w:val="2F062637"/>
    <w:rsid w:val="47C92FAC"/>
    <w:rsid w:val="50FF28DC"/>
    <w:rsid w:val="5C820B5F"/>
    <w:rsid w:val="685C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2018-01-08T00:51:00Z</dcterms:created>
  <dc:creator>Administrator</dc:creator>
  <cp:lastModifiedBy>Administrator</cp:lastModifiedBy>
  <dcterms:modified xsi:type="dcterms:W3CDTF">2024-03-18T02:42:40Z</dcterms:modified>
  <dc:title>红塔区招商合作局2017年度法治政府建设情况报告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