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玉溪市公安局红塔分局</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2018年政府信息公开工作年度报告</w:t>
      </w:r>
    </w:p>
    <w:p>
      <w:pPr>
        <w:spacing w:line="540" w:lineRule="exact"/>
        <w:jc w:val="center"/>
        <w:rPr>
          <w:rFonts w:eastAsia="方正仿宋_GBK"/>
          <w:szCs w:val="32"/>
        </w:rPr>
      </w:pPr>
    </w:p>
    <w:p>
      <w:pPr>
        <w:spacing w:line="560" w:lineRule="exact"/>
        <w:ind w:firstLine="640" w:firstLineChars="200"/>
        <w:rPr>
          <w:rFonts w:ascii="仿宋_GB2312"/>
          <w:szCs w:val="32"/>
        </w:rPr>
      </w:pPr>
      <w:r>
        <w:rPr>
          <w:rFonts w:hint="eastAsia" w:ascii="仿宋_GB2312"/>
          <w:szCs w:val="32"/>
        </w:rPr>
        <w:t>根据《中华人民共和国政府信息公开条例》（国务院令第492号）、《云南省政府信息公开规定》（云政发〔2013〕153号）关于“每年3月31日前公布本行政机关的政府信息公开工作年度报告”的规定，《国务院办公厅关于加强和规范政府信息公开情况统计报送工作的通知》（国办发〔2014〕32号）和《玉溪市红塔区人民政府办公室关于做好2018年度政务公开工作总结和政府信息公开年度报告编制发布工作的通知》（区政府办〔2019〕005）通知要求，</w:t>
      </w:r>
      <w:r>
        <w:rPr>
          <w:rFonts w:hint="eastAsia" w:ascii="仿宋_GB2312" w:hAnsi="仿宋_GB2312"/>
          <w:szCs w:val="32"/>
        </w:rPr>
        <w:t>现将玉溪市公安局红塔分局2018年度政府信息公开工作年度报告向社会公众公布,并接受监督。如对本报告有疑问、意见及建议，请与玉溪市公安局红塔分局政府信息公开领导小组办公室联系（地址：玉溪市红塔区珊瑚路68号，邮编：653100，电话：0877—2022571，传真：0877—2694003），邮箱：htfjbgs@163.com)。</w:t>
      </w:r>
    </w:p>
    <w:p>
      <w:pPr>
        <w:spacing w:line="540" w:lineRule="exact"/>
        <w:ind w:firstLine="627" w:firstLineChars="196"/>
        <w:rPr>
          <w:rFonts w:ascii="黑体" w:hAnsi="黑体" w:eastAsia="黑体"/>
          <w:szCs w:val="32"/>
        </w:rPr>
      </w:pPr>
      <w:r>
        <w:rPr>
          <w:rFonts w:hint="eastAsia" w:ascii="黑体" w:hAnsi="黑体" w:eastAsia="黑体"/>
          <w:szCs w:val="32"/>
        </w:rPr>
        <w:t>一、概述</w:t>
      </w:r>
    </w:p>
    <w:p>
      <w:pPr>
        <w:spacing w:line="540" w:lineRule="exact"/>
        <w:ind w:firstLine="627" w:firstLineChars="196"/>
        <w:rPr>
          <w:rFonts w:ascii="仿宋_GB2312"/>
          <w:szCs w:val="32"/>
        </w:rPr>
      </w:pPr>
      <w:r>
        <w:rPr>
          <w:rFonts w:hint="eastAsia" w:ascii="仿宋_GB2312" w:hAnsi="仿宋_GB2312"/>
          <w:szCs w:val="32"/>
        </w:rPr>
        <w:t>2018年，玉溪市公安局红塔分局以促进阳光执法、有效预防腐败为目标，以推进行政权力运行程序化和公开透明为重点，以门户网站建设作为推动政府信息公开工作的重要抓手，把警民网上互动交流作为倾听民意、回应民声的重要手段，把积极推行政府信息公开工作作为全面加强公安工作和队伍建设的一项重大举措，紧紧抓住监督行政权力和服务人民群众两条主线，努力提升公安机关社会管理和公共服务的能力和水平</w:t>
      </w:r>
    </w:p>
    <w:p>
      <w:pPr>
        <w:spacing w:line="540" w:lineRule="exact"/>
        <w:ind w:firstLine="630" w:firstLineChars="196"/>
        <w:rPr>
          <w:rFonts w:ascii="仿宋_GB2312" w:hAnsi="仿宋_GB2312"/>
          <w:szCs w:val="32"/>
        </w:rPr>
      </w:pPr>
      <w:r>
        <w:rPr>
          <w:rFonts w:hint="eastAsia" w:ascii="楷体_GB2312" w:hAnsi="仿宋_GB2312" w:eastAsia="楷体_GB2312"/>
          <w:b/>
          <w:bCs/>
          <w:szCs w:val="32"/>
        </w:rPr>
        <w:t>(一)强化组织领导。</w:t>
      </w:r>
      <w:r>
        <w:rPr>
          <w:rFonts w:hint="eastAsia" w:ascii="仿宋_GB2312" w:hAnsi="仿宋_GB2312"/>
          <w:szCs w:val="32"/>
        </w:rPr>
        <w:t>红塔分局认真贯彻落实国家、省、市、区全面推进政务公开工作的决策部署，将政务公开工作列入重要议事日程，纳入年度工作计划，成立政务公开领导小组，并确定由分局党委委员、副局长周莉波分管政务公开工作，领导小组下设办公室在指挥中心，明确相关部门办事人员具体负责日常工作。先后2次召开工作部署会，研究部署推进政务公开工作，年内多次对政务公开工作进行调研，研究解决具体问题，健全政务公开领导机制和工作机制，做到主要领导亲自推进部署，责任部门落实具体措施，经办人员积极主动。</w:t>
      </w:r>
    </w:p>
    <w:p>
      <w:pPr>
        <w:spacing w:line="540" w:lineRule="exact"/>
        <w:ind w:firstLine="630" w:firstLineChars="196"/>
        <w:rPr>
          <w:rFonts w:ascii="仿宋_GB2312"/>
          <w:szCs w:val="32"/>
        </w:rPr>
      </w:pPr>
      <w:r>
        <w:rPr>
          <w:rFonts w:hint="eastAsia" w:ascii="楷体_GB2312" w:hAnsi="仿宋_GB2312" w:eastAsia="楷体_GB2312"/>
          <w:b/>
          <w:bCs/>
          <w:szCs w:val="32"/>
        </w:rPr>
        <w:t>(二)健全工作机制</w:t>
      </w:r>
      <w:r>
        <w:rPr>
          <w:rFonts w:hint="eastAsia" w:ascii="仿宋_GB2312" w:hAnsi="仿宋_GB2312"/>
          <w:b/>
          <w:bCs/>
          <w:szCs w:val="32"/>
        </w:rPr>
        <w:t>。</w:t>
      </w:r>
      <w:r>
        <w:rPr>
          <w:rFonts w:hint="eastAsia" w:ascii="仿宋_GB2312" w:hAnsi="仿宋_GB2312"/>
          <w:szCs w:val="32"/>
        </w:rPr>
        <w:t>按照分工方案要求，围绕稳增长、促改革、调结构、惠民生和防风险工作，坚持创新发展理念，全面推进决策、执行、管理、服务、结果公开的“五公开”工作，对标对表，逐项抓好工作落实。积极修订完善政府信息公开目录和指南，加强政务信息公开人员配置，统筹做好政务信息公开工作，制定下发了《玉溪市公安局红塔分局2018年政务公开工作要点及分工方案》，将“重大决策听证、重要事项公示、重点工作通报、政务信息查询和政务信息公开”等各项责任任务逐一落实到全局各部门、派出所，确保了各项信息发布、回复的工作任务落到实处。同时，我局建立了《政务信息主动公开制度》、《政务信息依申请公开制度》、《政务信息公开保密审查制度》、《政务信息公开责任追究制度》等一系列工作制度，并在全局各部门、派出所进一步健全完善了联络员制度、信息交换机制等制度、机制。把政务信息公开工作纳入年度综合考核评价体系，建立考核奖惩机制，对信息上报公开实行月通报制度，对未完成任务指标以及对重要事项漏报公示、公开的，进行通报扣分，纳入年终对各部门的综合考核。</w:t>
      </w:r>
    </w:p>
    <w:p>
      <w:pPr>
        <w:spacing w:line="540" w:lineRule="exact"/>
        <w:ind w:firstLine="627" w:firstLineChars="196"/>
        <w:rPr>
          <w:rFonts w:ascii="黑体" w:hAnsi="黑体" w:eastAsia="黑体"/>
          <w:szCs w:val="32"/>
        </w:rPr>
      </w:pPr>
      <w:r>
        <w:rPr>
          <w:rFonts w:hint="eastAsia" w:ascii="黑体" w:hAnsi="黑体" w:eastAsia="黑体"/>
          <w:szCs w:val="32"/>
        </w:rPr>
        <w:t>二、主动公开政府信息情况</w:t>
      </w:r>
    </w:p>
    <w:p>
      <w:pPr>
        <w:spacing w:line="540" w:lineRule="exact"/>
        <w:ind w:firstLine="630" w:firstLineChars="196"/>
        <w:rPr>
          <w:rFonts w:ascii="楷体_GB2312" w:hAnsi="仿宋_GB2312" w:eastAsia="楷体_GB2312"/>
          <w:b/>
          <w:szCs w:val="32"/>
        </w:rPr>
      </w:pPr>
      <w:r>
        <w:rPr>
          <w:rFonts w:hint="eastAsia" w:ascii="楷体_GB2312" w:hAnsi="仿宋_GB2312" w:eastAsia="楷体_GB2312"/>
          <w:b/>
          <w:szCs w:val="32"/>
        </w:rPr>
        <w:t>（一）主动公开政府信息的数量</w:t>
      </w:r>
    </w:p>
    <w:p>
      <w:pPr>
        <w:spacing w:line="560" w:lineRule="exact"/>
        <w:ind w:firstLine="640" w:firstLineChars="200"/>
        <w:rPr>
          <w:rFonts w:ascii="仿宋_GB2312" w:hAnsi="仿宋_GB2312"/>
          <w:szCs w:val="32"/>
        </w:rPr>
      </w:pPr>
      <w:r>
        <w:rPr>
          <w:rFonts w:hint="eastAsia" w:ascii="仿宋_GB2312" w:hAnsi="仿宋_GB2312"/>
          <w:szCs w:val="32"/>
        </w:rPr>
        <w:t>2018年度，累计公开信息9166条，其中通过政务公开网站发布信息175条。</w:t>
      </w:r>
    </w:p>
    <w:p>
      <w:pPr>
        <w:spacing w:line="560" w:lineRule="exact"/>
        <w:ind w:firstLine="643" w:firstLineChars="200"/>
        <w:rPr>
          <w:rFonts w:ascii="仿宋_GB2312" w:hAnsi="仿宋_GB2312"/>
          <w:b/>
          <w:szCs w:val="32"/>
        </w:rPr>
      </w:pPr>
      <w:r>
        <w:rPr>
          <w:rFonts w:hint="eastAsia" w:ascii="仿宋_GB2312" w:hAnsi="仿宋_GB2312"/>
          <w:b/>
          <w:szCs w:val="32"/>
        </w:rPr>
        <w:t>（二）主动公开重点领域政府信息情况</w:t>
      </w:r>
    </w:p>
    <w:p>
      <w:pPr>
        <w:spacing w:line="560" w:lineRule="exact"/>
        <w:ind w:firstLine="640" w:firstLineChars="200"/>
        <w:rPr>
          <w:rFonts w:ascii="仿宋_GB2312" w:hAnsi="仿宋_GB2312"/>
          <w:szCs w:val="32"/>
        </w:rPr>
      </w:pPr>
      <w:r>
        <w:rPr>
          <w:rFonts w:hint="eastAsia" w:ascii="仿宋_GB2312" w:hAnsi="仿宋_GB2312"/>
          <w:szCs w:val="32"/>
        </w:rPr>
        <w:t>2018年，红塔分局按照要求，通过微博、微信、政务公开网站等形式，公开公安机关重点领域政府信息9166条。</w:t>
      </w:r>
    </w:p>
    <w:p>
      <w:pPr>
        <w:spacing w:line="560" w:lineRule="exact"/>
        <w:ind w:firstLine="643" w:firstLineChars="200"/>
        <w:rPr>
          <w:rFonts w:ascii="楷体_GB2312" w:hAnsi="仿宋_GB2312" w:eastAsia="楷体_GB2312"/>
          <w:b/>
          <w:szCs w:val="32"/>
        </w:rPr>
      </w:pPr>
      <w:r>
        <w:rPr>
          <w:rFonts w:hint="eastAsia" w:ascii="楷体_GB2312" w:hAnsi="仿宋_GB2312" w:eastAsia="楷体_GB2312"/>
          <w:b/>
          <w:szCs w:val="32"/>
        </w:rPr>
        <w:t>（三）主动公开政府信息的主要类别及数量</w:t>
      </w:r>
    </w:p>
    <w:p>
      <w:pPr>
        <w:spacing w:line="560" w:lineRule="exact"/>
        <w:ind w:firstLine="640" w:firstLineChars="200"/>
        <w:jc w:val="left"/>
        <w:rPr>
          <w:rFonts w:ascii="仿宋_GB2312" w:hAnsi="黑体"/>
          <w:szCs w:val="32"/>
        </w:rPr>
      </w:pPr>
      <w:r>
        <w:rPr>
          <w:rFonts w:hint="eastAsia" w:ascii="仿宋_GB2312" w:hAnsi="仿宋_GB2312"/>
          <w:szCs w:val="32"/>
        </w:rPr>
        <w:t>2018年，红塔分局严格落实《关于全面推进政务公开工作的意见》及其实施细则的相关要求，并将“五公开”纳入办文办会程序，参照国家、省、市和红塔区主动公开基本目录，</w:t>
      </w:r>
      <w:r>
        <w:rPr>
          <w:rFonts w:hint="eastAsia" w:ascii="仿宋_GB2312" w:hAnsi="黑体"/>
          <w:szCs w:val="32"/>
        </w:rPr>
        <w:t>新增公开了“推进面向转移落户人员的服务公开”、“政府信息公开年度报告”、“人大代表和政协委员提案办理工作”等三个重点领域信息公开专栏。全年共公开公安工作、法律法规规章、办事指南、通知公告、行政处罚、推进面向转移落户人员的服务公开、政府信息公开年度报告、人大代表和政协委员提案办理工作等八个专栏，并按期完成建设、发布、更新等工作。2018年，</w:t>
      </w:r>
      <w:r>
        <w:rPr>
          <w:rFonts w:hint="eastAsia" w:ascii="仿宋_GB2312" w:hAnsi="仿宋_GB2312"/>
          <w:szCs w:val="32"/>
        </w:rPr>
        <w:t>通过八个栏目共发布、公开信息175条。</w:t>
      </w:r>
    </w:p>
    <w:p>
      <w:pPr>
        <w:spacing w:line="560" w:lineRule="exact"/>
        <w:ind w:firstLine="643" w:firstLineChars="200"/>
        <w:rPr>
          <w:rFonts w:ascii="楷体_GB2312" w:hAnsi="仿宋_GB2312" w:eastAsia="楷体_GB2312"/>
          <w:b/>
          <w:szCs w:val="32"/>
        </w:rPr>
      </w:pPr>
      <w:r>
        <w:rPr>
          <w:rFonts w:hint="eastAsia" w:ascii="楷体_GB2312" w:hAnsi="仿宋_GB2312" w:eastAsia="楷体_GB2312"/>
          <w:b/>
          <w:szCs w:val="32"/>
        </w:rPr>
        <w:t>（四）主动公开政府信息的形式</w:t>
      </w:r>
    </w:p>
    <w:p>
      <w:pPr>
        <w:spacing w:line="560" w:lineRule="exact"/>
        <w:ind w:firstLine="640" w:firstLineChars="200"/>
        <w:rPr>
          <w:rFonts w:ascii="仿宋_GB2312" w:hAnsi="仿宋_GB2312"/>
          <w:szCs w:val="32"/>
        </w:rPr>
      </w:pPr>
      <w:r>
        <w:rPr>
          <w:rFonts w:hint="eastAsia" w:ascii="仿宋_GB2312" w:hAnsi="仿宋_GB2312"/>
          <w:szCs w:val="32"/>
        </w:rPr>
        <w:t>通过报刊、电视、政务公开栏、政务微信、电子显示屏、宣传单（册）等便于公众知晓的方式和渠道公开信息9489条。其中，</w:t>
      </w:r>
      <w:r>
        <w:rPr>
          <w:rFonts w:hint="eastAsia" w:ascii="仿宋_GB2312"/>
        </w:rPr>
        <w:t>在省级电视媒体发布电视新闻1条，在“警视窗”发布专题3条，发布新闻10条</w:t>
      </w:r>
      <w:r>
        <w:rPr>
          <w:rFonts w:hint="eastAsia" w:ascii="仿宋_GB2312" w:hAnsi="仿宋_GB2312"/>
          <w:szCs w:val="32"/>
        </w:rPr>
        <w:t>；各报刊媒体采用</w:t>
      </w:r>
      <w:r>
        <w:rPr>
          <w:rFonts w:hint="eastAsia" w:ascii="仿宋_GB2312"/>
        </w:rPr>
        <w:t>323篇次(其中:国家级媒体报刊刊登3篇，省级报刊、杂志刊登36篇、玉溪日报玉溪警方专版刊登消息93篇、通讯17篇；云南公安手机报报送并采用68条)</w:t>
      </w:r>
      <w:r>
        <w:rPr>
          <w:rFonts w:hint="eastAsia" w:ascii="仿宋_GB2312" w:hAnsi="仿宋_GB2312"/>
          <w:szCs w:val="32"/>
        </w:rPr>
        <w:t>；</w:t>
      </w:r>
      <w:r>
        <w:rPr>
          <w:rFonts w:hint="eastAsia" w:ascii="仿宋_GB2312"/>
        </w:rPr>
        <w:t>通过在腾讯微博、新浪微博，云南公安网、玉溪政府网、长安网以及玉溪本地网站“高古楼社区网上警务室”对分局的各项业务工作和网民开展互动，进行宣传。</w:t>
      </w:r>
      <w:r>
        <w:rPr>
          <w:rFonts w:hint="eastAsia" w:ascii="仿宋_GB2312"/>
          <w:lang w:eastAsia="zh-CN"/>
        </w:rPr>
        <w:t>截至</w:t>
      </w:r>
      <w:r>
        <w:rPr>
          <w:rFonts w:hint="eastAsia" w:ascii="仿宋_GB2312"/>
        </w:rPr>
        <w:t>2018年12月20日“红塔警方”新浪网官方微博有粉丝13232人，共发信息6764条。在云南公安网报送新闻信息165条，采用135条；在红塔区政务网发布信息61条，向玉溪长安网报送稿件135篇，采用95篇。2018年以来，红塔警方在官方微博发起了#致敬.缅怀.前行#、#警方提示#、#110，守护新时代美好生活#、#深情缅怀公安英烈#、#做自己的首席安全官—平安校园行#等微博话题。“红塔警方”在玉溪市人民广播电台</w:t>
      </w:r>
      <w:bookmarkStart w:id="0" w:name="_GoBack"/>
      <w:bookmarkEnd w:id="0"/>
      <w:r>
        <w:rPr>
          <w:rFonts w:hint="eastAsia" w:ascii="仿宋_GB2312"/>
        </w:rPr>
        <w:t>节目首播18期，重播17期。“红塔警方”头条号发布新闻1126条，现有粉丝2540人，累计阅读量达到132.5万次；“红塔警方”微信公众号发布了499条新闻，累积关注人数2464人。</w:t>
      </w:r>
      <w:r>
        <w:rPr>
          <w:rFonts w:hint="eastAsia" w:ascii="仿宋_GB2312" w:hAnsi="仿宋_GB2312"/>
          <w:szCs w:val="32"/>
        </w:rPr>
        <w:t>新兴媒体信息网络平台的应用实现了红塔警方新媒体应用“声、画、图、文”的良好结合。</w:t>
      </w:r>
    </w:p>
    <w:p>
      <w:pPr>
        <w:spacing w:line="560" w:lineRule="exact"/>
        <w:ind w:firstLine="643" w:firstLineChars="200"/>
        <w:rPr>
          <w:rFonts w:ascii="楷体_GB2312" w:eastAsia="楷体_GB2312"/>
          <w:b/>
          <w:szCs w:val="32"/>
        </w:rPr>
      </w:pPr>
      <w:r>
        <w:rPr>
          <w:rFonts w:hint="eastAsia" w:ascii="楷体_GB2312" w:hAnsi="仿宋_GB2312" w:eastAsia="楷体_GB2312"/>
          <w:b/>
          <w:szCs w:val="32"/>
        </w:rPr>
        <w:t>（</w:t>
      </w:r>
      <w:r>
        <w:rPr>
          <w:rFonts w:hint="eastAsia" w:ascii="楷体_GB2312" w:eastAsia="楷体_GB2312"/>
          <w:b/>
          <w:szCs w:val="32"/>
        </w:rPr>
        <w:t>五）开展政策解读工作情况，政策解读数量</w:t>
      </w:r>
    </w:p>
    <w:p>
      <w:pPr>
        <w:spacing w:line="560" w:lineRule="exact"/>
        <w:ind w:firstLine="640" w:firstLineChars="200"/>
        <w:rPr>
          <w:rFonts w:ascii="仿宋_GB2312" w:hAnsi="仿宋_GB2312"/>
          <w:szCs w:val="32"/>
        </w:rPr>
      </w:pPr>
      <w:r>
        <w:rPr>
          <w:rFonts w:hint="eastAsia" w:ascii="仿宋_GB2312" w:hAnsi="仿宋_GB2312"/>
          <w:szCs w:val="32"/>
        </w:rPr>
        <w:t>红塔分局按照要求制定《玉溪市公安局红塔分局政策文件解读制度》、《玉溪市公安局红塔分局新闻发言人制度》将公开要求落实到会议办理程序，将涉及公众利益、需要社会广泛关注知晓工作通过网络、新媒体以及召开新闻发布会向社会公开，解读重要政策措施。2018年共开展政策解读1次，新闻发布2次。4月8日，分局邀请省、市、区多家新闻媒体记者召开“打击整治枪爆违法犯罪”专项行动新闻发布会，向社会各界展示了红塔分局打击整治枪爆违法犯罪中做出的工作和取得的成效，并公布了举报电话。6月15日，分局邀请市、区各界媒体走进警营，召开2018年社会治安情况新闻通报会，分局副局长周莉波就红塔区2018年社会治安情况向媒体进行了通报，具体展示了红塔分局在打击违法犯罪中做出取得的主要成效。</w:t>
      </w:r>
    </w:p>
    <w:p>
      <w:pPr>
        <w:spacing w:line="560" w:lineRule="exact"/>
        <w:ind w:firstLine="643" w:firstLineChars="200"/>
        <w:rPr>
          <w:rFonts w:ascii="楷体_GB2312" w:eastAsia="楷体_GB2312"/>
          <w:b/>
          <w:szCs w:val="32"/>
        </w:rPr>
      </w:pPr>
      <w:r>
        <w:rPr>
          <w:rFonts w:hint="eastAsia" w:ascii="楷体_GB2312" w:eastAsia="楷体_GB2312"/>
          <w:b/>
          <w:szCs w:val="32"/>
        </w:rPr>
        <w:t>（六）回应社会关切情况，政务舆情处置回应情况</w:t>
      </w:r>
    </w:p>
    <w:p>
      <w:pPr>
        <w:spacing w:line="540" w:lineRule="exact"/>
        <w:ind w:firstLine="630" w:firstLineChars="196"/>
        <w:rPr>
          <w:rFonts w:ascii="仿宋_GB2312" w:hAnsi="仿宋_GB2312"/>
          <w:szCs w:val="32"/>
        </w:rPr>
      </w:pPr>
      <w:r>
        <w:rPr>
          <w:rFonts w:hint="eastAsia" w:ascii="仿宋_GB2312"/>
          <w:b/>
          <w:szCs w:val="32"/>
        </w:rPr>
        <w:t>一是</w:t>
      </w:r>
      <w:r>
        <w:rPr>
          <w:rFonts w:hint="eastAsia" w:ascii="仿宋_GB2312"/>
          <w:szCs w:val="32"/>
        </w:rPr>
        <w:t>用好新闻媒体。畅通媒体采访渠道，运用媒体发布信息、解读政策，引</w:t>
      </w:r>
      <w:r>
        <w:rPr>
          <w:rFonts w:hint="eastAsia" w:ascii="仿宋_GB2312" w:hAnsi="仿宋_GB2312"/>
          <w:szCs w:val="32"/>
        </w:rPr>
        <w:t>领舆论、推动工作，结合案件侦办、专项行动等开展情况先后2次组织召开新闻发布会,通过新闻宣传，发好公安声音，讲好警察故事，不断提升公安机关的公信力。</w:t>
      </w:r>
      <w:r>
        <w:rPr>
          <w:rFonts w:hint="eastAsia" w:ascii="仿宋_GB2312" w:hAnsi="仿宋_GB2312"/>
          <w:b/>
          <w:szCs w:val="32"/>
        </w:rPr>
        <w:t>二是</w:t>
      </w:r>
      <w:r>
        <w:rPr>
          <w:rFonts w:hint="eastAsia" w:ascii="仿宋_GB2312" w:hAnsi="仿宋_GB2312"/>
          <w:szCs w:val="32"/>
        </w:rPr>
        <w:t>加强网上舆情管控和引导力量建设，我局从加强网安队伍建设入手，落实2名专职民警、3名协勤组成舆情引导专业队伍，以及4名论坛版主为主体的辅助巡查队伍，基本实现上下贯通、覆盖全面、运转正常、监控有力的网络监控队伍建设，全面提高了涉警、涉稳舆情预防、引导和处置能力。</w:t>
      </w:r>
      <w:r>
        <w:rPr>
          <w:rFonts w:hint="eastAsia" w:ascii="仿宋_GB2312" w:hAnsi="仿宋_GB2312"/>
          <w:b/>
          <w:szCs w:val="32"/>
        </w:rPr>
        <w:t>三是</w:t>
      </w:r>
      <w:r>
        <w:rPr>
          <w:rFonts w:hint="eastAsia" w:ascii="仿宋_GB2312" w:hAnsi="仿宋_GB2312"/>
          <w:szCs w:val="32"/>
        </w:rPr>
        <w:t>加大对网上舆情信息的发现收集、分析研判和回应处置。分局根据网络舆情平台广阔、生成简单、复杂难控等特点，认真研究、准确把握涉警、涉军、涉党和负面炒作等重要舆情信息事件的形成要素、演变过程、发展规律，结合本地实际情况，制定和完善工作预案。对红塔区敏感事件，特别是今年城市拆迁、改建、城市综合体建设、金融投资、教师绩效工资、涉军群体、敏感节点等热点问题进行网上巡查、跟踪，及时收集、研判网上内幕性、深层次情报，全面系统掌握网上动向，并定期对收集到的舆情信息进行研判，采取有力工作措施，作好网上舆情信息的引导和疏导工作，把矛盾解决在本地网上、解决在萌芽状态，确保网上舆情信息总体平稳。2018年，成功查处网络谣言案件3起；围绕涉党政、涉警、涉军、涉城市拆迁、改建等热点问题的网上巡查跟踪，妥善处置互联网舆情4起，开展舆情引导880余次，上报互联网有害信息789条、舆情信息598条。</w:t>
      </w:r>
    </w:p>
    <w:p>
      <w:pPr>
        <w:spacing w:line="540" w:lineRule="exact"/>
        <w:ind w:firstLine="627" w:firstLineChars="196"/>
        <w:rPr>
          <w:rFonts w:ascii="黑体" w:hAnsi="黑体" w:eastAsia="黑体"/>
          <w:szCs w:val="32"/>
        </w:rPr>
      </w:pPr>
      <w:r>
        <w:rPr>
          <w:rFonts w:hint="eastAsia" w:ascii="黑体" w:hAnsi="黑体" w:eastAsia="黑体"/>
          <w:szCs w:val="32"/>
        </w:rPr>
        <w:t>三、政府信息依申请公开办理情况</w:t>
      </w:r>
    </w:p>
    <w:p>
      <w:pPr>
        <w:spacing w:line="600" w:lineRule="exact"/>
        <w:ind w:firstLine="640" w:firstLineChars="200"/>
        <w:rPr>
          <w:rFonts w:ascii="仿宋_GB2312" w:hAnsi="仿宋_GB2312" w:cs="仿宋_GB2312"/>
          <w:szCs w:val="32"/>
        </w:rPr>
      </w:pPr>
      <w:r>
        <w:rPr>
          <w:rFonts w:hint="eastAsia" w:ascii="仿宋_GB2312" w:hAnsi="仿宋_GB2312" w:cs="仿宋_GB2312"/>
          <w:szCs w:val="32"/>
        </w:rPr>
        <w:t>2018年，玉溪市公安局红塔分局未收到“依申请公开”政府信息。</w:t>
      </w:r>
    </w:p>
    <w:p>
      <w:pPr>
        <w:spacing w:line="540" w:lineRule="exact"/>
        <w:ind w:firstLine="627" w:firstLineChars="196"/>
        <w:rPr>
          <w:rFonts w:ascii="黑体" w:hAnsi="黑体" w:eastAsia="黑体"/>
          <w:szCs w:val="32"/>
        </w:rPr>
      </w:pPr>
      <w:r>
        <w:rPr>
          <w:rFonts w:hint="eastAsia" w:ascii="黑体" w:hAnsi="黑体" w:eastAsia="黑体"/>
          <w:szCs w:val="32"/>
        </w:rPr>
        <w:t>四、因政府信息公开申请行政复议、提起行政诉讼的情况</w:t>
      </w:r>
    </w:p>
    <w:p>
      <w:pPr>
        <w:spacing w:line="560" w:lineRule="exact"/>
        <w:ind w:firstLine="640" w:firstLineChars="200"/>
        <w:rPr>
          <w:rFonts w:ascii="仿宋_GB2312" w:hAnsi="仿宋_GB2312"/>
          <w:szCs w:val="32"/>
        </w:rPr>
      </w:pPr>
      <w:r>
        <w:rPr>
          <w:rFonts w:hint="eastAsia" w:ascii="仿宋_GB2312" w:hAnsi="仿宋_GB2312"/>
          <w:szCs w:val="32"/>
        </w:rPr>
        <w:t>2018年，玉溪市公安局红塔分局未因政府信息公开被申请行政复议，未被提起行政诉讼。</w:t>
      </w:r>
    </w:p>
    <w:p>
      <w:pPr>
        <w:spacing w:line="540" w:lineRule="exact"/>
        <w:ind w:firstLine="627" w:firstLineChars="196"/>
        <w:rPr>
          <w:rFonts w:ascii="黑体" w:hAnsi="黑体" w:eastAsia="黑体"/>
          <w:szCs w:val="32"/>
        </w:rPr>
      </w:pPr>
      <w:r>
        <w:rPr>
          <w:rFonts w:hint="eastAsia" w:ascii="黑体" w:hAnsi="黑体" w:eastAsia="黑体"/>
          <w:szCs w:val="32"/>
        </w:rPr>
        <w:t>五、存在的主要问题及改进措施</w:t>
      </w:r>
    </w:p>
    <w:p>
      <w:pPr>
        <w:spacing w:line="540" w:lineRule="exact"/>
        <w:ind w:firstLine="630" w:firstLineChars="196"/>
        <w:rPr>
          <w:rFonts w:ascii="楷体_GB2312" w:eastAsia="楷体_GB2312"/>
          <w:b/>
          <w:szCs w:val="32"/>
        </w:rPr>
      </w:pPr>
      <w:r>
        <w:rPr>
          <w:rFonts w:hint="eastAsia" w:ascii="楷体_GB2312" w:eastAsia="楷体_GB2312"/>
          <w:b/>
          <w:szCs w:val="32"/>
        </w:rPr>
        <w:t>（一）工作中存在的主要问题和困难</w:t>
      </w:r>
    </w:p>
    <w:p>
      <w:pPr>
        <w:spacing w:line="560" w:lineRule="exact"/>
        <w:ind w:firstLine="640" w:firstLineChars="200"/>
        <w:rPr>
          <w:rFonts w:ascii="仿宋_GB2312" w:hAnsi="仿宋_GB2312"/>
          <w:szCs w:val="32"/>
        </w:rPr>
      </w:pPr>
      <w:r>
        <w:rPr>
          <w:rFonts w:hint="eastAsia" w:ascii="仿宋_GB2312" w:hAnsi="仿宋_GB2312"/>
          <w:szCs w:val="32"/>
        </w:rPr>
        <w:t>2018年，玉溪市公安局红塔分局在政务信息公开工作在区委、区政府的正确领导下取得一些成绩，但是，与政府信息公开工作和人民群众的需求相比，还存在着一定的差距。一是政府信息公开的内容和形式还不够，需要进一步丰富；二是各部门政务公开工作重视程度有待提高；三是政务信息公开制度有待健全。</w:t>
      </w:r>
    </w:p>
    <w:p>
      <w:pPr>
        <w:spacing w:line="560" w:lineRule="exact"/>
        <w:ind w:firstLine="643" w:firstLineChars="200"/>
        <w:rPr>
          <w:rFonts w:ascii="仿宋_GB2312"/>
          <w:b/>
          <w:szCs w:val="32"/>
        </w:rPr>
      </w:pPr>
      <w:r>
        <w:rPr>
          <w:rFonts w:hint="eastAsia" w:ascii="仿宋_GB2312"/>
          <w:b/>
          <w:szCs w:val="32"/>
        </w:rPr>
        <w:t>（二）具体解决办法和改进措施</w:t>
      </w:r>
    </w:p>
    <w:p>
      <w:pPr>
        <w:spacing w:line="540" w:lineRule="exact"/>
        <w:ind w:firstLine="627" w:firstLineChars="196"/>
        <w:jc w:val="left"/>
        <w:rPr>
          <w:rFonts w:ascii="仿宋_GB2312"/>
          <w:szCs w:val="32"/>
        </w:rPr>
      </w:pPr>
      <w:r>
        <w:rPr>
          <w:rFonts w:hint="eastAsia" w:ascii="仿宋_GB2312" w:hAnsi="仿宋_GB2312"/>
          <w:bCs/>
          <w:szCs w:val="32"/>
        </w:rPr>
        <w:t>在2019年的工作中，红塔分局将进一步加强领导，提高认识</w:t>
      </w:r>
      <w:r>
        <w:rPr>
          <w:rFonts w:hint="eastAsia" w:ascii="仿宋_GB2312" w:hAnsi="仿宋_GB2312"/>
          <w:szCs w:val="32"/>
        </w:rPr>
        <w:t>，从全局出发，以科学发展观的高度来把握政务公开工作，进一步把政务公开工作纳入分局总体规划中，列入年度工作的重点任务之一，同安排、同部署、同落实。</w:t>
      </w:r>
      <w:r>
        <w:rPr>
          <w:rFonts w:hint="eastAsia" w:ascii="仿宋_GB2312" w:hAnsi="仿宋_GB2312"/>
          <w:bCs/>
          <w:szCs w:val="32"/>
        </w:rPr>
        <w:t>进一步</w:t>
      </w:r>
      <w:r>
        <w:rPr>
          <w:rFonts w:hint="eastAsia" w:ascii="仿宋_GB2312" w:hAnsi="仿宋_GB2312"/>
          <w:szCs w:val="32"/>
        </w:rPr>
        <w:t>健全制度，梳理和审查现有政府公开制度，针对工作中存在的突出问题和薄弱环节，切实抓好制度修订、完善工作，进一步建立科学合理、行之有效、具体明确、易于操作的措施体系，全面规范政务公开工作，尽可能扩大公开内容，真正立足于服务群众、接受监督，立足于办实事、重实效，全面做好政</w:t>
      </w:r>
      <w:r>
        <w:rPr>
          <w:rFonts w:hint="eastAsia" w:ascii="仿宋_GB2312" w:hAnsi="仿宋_GB2312"/>
          <w:bCs/>
          <w:szCs w:val="32"/>
        </w:rPr>
        <w:t>务公开工作，助力全区和谐社会以及经济建设的发展。</w:t>
      </w:r>
    </w:p>
    <w:p>
      <w:pPr>
        <w:spacing w:line="540" w:lineRule="exact"/>
        <w:ind w:firstLine="627" w:firstLineChars="196"/>
        <w:rPr>
          <w:rFonts w:ascii="黑体" w:hAnsi="黑体" w:eastAsia="黑体"/>
          <w:szCs w:val="32"/>
        </w:rPr>
      </w:pPr>
      <w:r>
        <w:rPr>
          <w:rFonts w:hint="eastAsia" w:ascii="黑体" w:hAnsi="黑体" w:eastAsia="黑体"/>
          <w:szCs w:val="32"/>
        </w:rPr>
        <w:t>六、需要说明的其他事项与附表</w:t>
      </w:r>
    </w:p>
    <w:p>
      <w:pPr>
        <w:spacing w:line="540" w:lineRule="exact"/>
        <w:ind w:firstLine="627" w:firstLineChars="196"/>
        <w:rPr>
          <w:rFonts w:ascii="仿宋_GB2312"/>
          <w:szCs w:val="32"/>
        </w:rPr>
      </w:pPr>
      <w:r>
        <w:rPr>
          <w:rFonts w:hint="eastAsia" w:ascii="仿宋_GB2312"/>
          <w:szCs w:val="32"/>
        </w:rPr>
        <w:t>（一）无需要说明的其他事项；</w:t>
      </w:r>
    </w:p>
    <w:p>
      <w:pPr>
        <w:spacing w:line="540" w:lineRule="exact"/>
        <w:ind w:firstLine="627" w:firstLineChars="196"/>
        <w:rPr>
          <w:rFonts w:ascii="仿宋_GB2312"/>
          <w:szCs w:val="32"/>
        </w:rPr>
      </w:pPr>
      <w:r>
        <w:rPr>
          <w:rFonts w:hint="eastAsia" w:ascii="仿宋_GB2312"/>
          <w:szCs w:val="32"/>
        </w:rPr>
        <w:t>（二）政府信息公开情况统计表。</w:t>
      </w:r>
    </w:p>
    <w:p>
      <w:pPr>
        <w:spacing w:line="540" w:lineRule="exact"/>
        <w:rPr>
          <w:rFonts w:ascii="仿宋_GB2312"/>
          <w:szCs w:val="32"/>
        </w:rPr>
      </w:pPr>
    </w:p>
    <w:p>
      <w:pPr>
        <w:spacing w:line="590" w:lineRule="exact"/>
        <w:rPr>
          <w:rFonts w:ascii="方正黑体_GBK" w:eastAsia="方正黑体_GBK"/>
          <w:szCs w:val="32"/>
        </w:rPr>
      </w:pPr>
      <w:r>
        <w:rPr>
          <w:rFonts w:hint="eastAsia" w:ascii="方正黑体_GBK" w:eastAsia="方正黑体_GBK"/>
          <w:szCs w:val="32"/>
        </w:rPr>
        <w:t>附件1</w:t>
      </w:r>
    </w:p>
    <w:p>
      <w:pPr>
        <w:spacing w:line="590" w:lineRule="exact"/>
        <w:rPr>
          <w:rFonts w:eastAsia="方正仿宋_GBK"/>
          <w:szCs w:val="32"/>
        </w:rPr>
      </w:pPr>
    </w:p>
    <w:p>
      <w:pPr>
        <w:spacing w:line="590" w:lineRule="exact"/>
        <w:jc w:val="center"/>
        <w:rPr>
          <w:rFonts w:ascii="方正小标宋_GBK" w:eastAsia="方正小标宋_GBK"/>
          <w:sz w:val="44"/>
          <w:szCs w:val="44"/>
        </w:rPr>
      </w:pPr>
      <w:r>
        <w:rPr>
          <w:rFonts w:hint="eastAsia" w:ascii="方正小标宋_GBK" w:eastAsia="方正小标宋_GBK"/>
          <w:sz w:val="44"/>
          <w:szCs w:val="44"/>
        </w:rPr>
        <w:t>政府信息公开情况统计表</w:t>
      </w:r>
    </w:p>
    <w:p>
      <w:pPr>
        <w:spacing w:line="590" w:lineRule="exact"/>
        <w:jc w:val="center"/>
        <w:rPr>
          <w:rFonts w:ascii="方正楷体_GBK" w:eastAsia="方正楷体_GBK"/>
          <w:szCs w:val="32"/>
        </w:rPr>
      </w:pPr>
      <w:r>
        <w:rPr>
          <w:rFonts w:hint="eastAsia" w:ascii="方正楷体_GBK" w:eastAsia="方正楷体_GBK"/>
          <w:szCs w:val="32"/>
        </w:rPr>
        <w:t>（2018年度）</w:t>
      </w:r>
    </w:p>
    <w:p>
      <w:pPr>
        <w:spacing w:line="400" w:lineRule="exact"/>
        <w:jc w:val="center"/>
        <w:rPr>
          <w:rFonts w:ascii="方正楷体_GBK" w:eastAsia="方正楷体_GBK"/>
          <w:szCs w:val="32"/>
        </w:rPr>
      </w:pPr>
    </w:p>
    <w:p>
      <w:pPr>
        <w:spacing w:line="590" w:lineRule="exact"/>
        <w:rPr>
          <w:rFonts w:eastAsia="方正仿宋_GBK"/>
          <w:sz w:val="28"/>
          <w:szCs w:val="28"/>
        </w:rPr>
      </w:pPr>
      <w:r>
        <w:rPr>
          <w:rFonts w:hint="eastAsia" w:eastAsia="方正仿宋_GBK"/>
          <w:sz w:val="28"/>
          <w:szCs w:val="28"/>
        </w:rPr>
        <w:t>填报单位（盖章）：玉溪市公安局红塔分局</w:t>
      </w:r>
    </w:p>
    <w:tbl>
      <w:tblPr>
        <w:tblStyle w:val="5"/>
        <w:tblW w:w="9039" w:type="dxa"/>
        <w:jc w:val="center"/>
        <w:tblLayout w:type="fixed"/>
        <w:tblCellMar>
          <w:top w:w="0" w:type="dxa"/>
          <w:left w:w="108" w:type="dxa"/>
          <w:bottom w:w="0" w:type="dxa"/>
          <w:right w:w="108" w:type="dxa"/>
        </w:tblCellMar>
      </w:tblPr>
      <w:tblGrid>
        <w:gridCol w:w="6741"/>
        <w:gridCol w:w="1155"/>
        <w:gridCol w:w="1143"/>
      </w:tblGrid>
      <w:tr>
        <w:tblPrEx>
          <w:tblCellMar>
            <w:top w:w="0" w:type="dxa"/>
            <w:left w:w="108" w:type="dxa"/>
            <w:bottom w:w="0" w:type="dxa"/>
            <w:right w:w="108" w:type="dxa"/>
          </w:tblCellMar>
        </w:tblPrEx>
        <w:trPr>
          <w:cantSplit/>
          <w:trHeight w:val="622" w:hRule="atLeast"/>
          <w:jc w:val="center"/>
        </w:trPr>
        <w:tc>
          <w:tcPr>
            <w:tcW w:w="6741" w:type="dxa"/>
            <w:tcBorders>
              <w:top w:val="single" w:color="0A0A0A" w:sz="4" w:space="0"/>
              <w:left w:val="single" w:color="0A0A0A" w:sz="4" w:space="0"/>
              <w:bottom w:val="single" w:color="0A0A0A" w:sz="4" w:space="0"/>
              <w:right w:val="single" w:color="0A0A0A" w:sz="4" w:space="0"/>
            </w:tcBorders>
            <w:vAlign w:val="bottom"/>
          </w:tcPr>
          <w:p>
            <w:pPr>
              <w:autoSpaceDN w:val="0"/>
              <w:spacing w:after="144" w:line="420" w:lineRule="exact"/>
              <w:jc w:val="center"/>
              <w:rPr>
                <w:rFonts w:ascii="方正黑体_GBK" w:hAnsi="仿宋_GB2312" w:eastAsia="方正黑体_GBK" w:cs="黑体"/>
                <w:bCs/>
                <w:sz w:val="28"/>
                <w:szCs w:val="28"/>
              </w:rPr>
            </w:pPr>
            <w:r>
              <w:rPr>
                <w:rFonts w:hint="eastAsia" w:ascii="方正黑体_GBK" w:hAnsi="仿宋_GB2312" w:eastAsia="方正黑体_GBK" w:cs="黑体"/>
                <w:bCs/>
                <w:sz w:val="28"/>
                <w:szCs w:val="28"/>
              </w:rPr>
              <w:t>统　计　指　标</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黑体_GBK" w:hAnsi="仿宋_GB2312" w:eastAsia="方正黑体_GBK" w:cs="黑体"/>
                <w:bCs/>
                <w:sz w:val="28"/>
                <w:szCs w:val="28"/>
              </w:rPr>
            </w:pPr>
            <w:r>
              <w:rPr>
                <w:rFonts w:hint="eastAsia" w:ascii="方正黑体_GBK" w:hAnsi="仿宋_GB2312" w:eastAsia="方正黑体_GBK" w:cs="黑体"/>
                <w:bCs/>
                <w:sz w:val="28"/>
                <w:szCs w:val="28"/>
              </w:rPr>
              <w:t>单位</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黑体_GBK" w:hAnsi="仿宋_GB2312" w:eastAsia="方正黑体_GBK" w:cs="黑体"/>
                <w:bCs/>
                <w:sz w:val="28"/>
                <w:szCs w:val="28"/>
              </w:rPr>
            </w:pPr>
            <w:r>
              <w:rPr>
                <w:rFonts w:hint="eastAsia" w:ascii="方正黑体_GBK" w:hAnsi="仿宋_GB2312" w:eastAsia="方正黑体_GBK" w:cs="黑体"/>
                <w:bCs/>
                <w:sz w:val="28"/>
                <w:szCs w:val="28"/>
              </w:rPr>
              <w:t>统计数</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ascii="方正黑体_GBK" w:hAnsi="仿宋_GB2312" w:eastAsia="方正黑体_GBK"/>
                <w:sz w:val="28"/>
                <w:szCs w:val="28"/>
              </w:rPr>
            </w:pPr>
            <w:r>
              <w:rPr>
                <w:rFonts w:hint="eastAsia" w:ascii="方正黑体_GBK" w:hAnsi="仿宋_GB2312" w:eastAsia="方正黑体_GBK" w:cs="黑体"/>
                <w:sz w:val="28"/>
                <w:szCs w:val="28"/>
              </w:rPr>
              <w:t>一、主动公开情况</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仿宋_GB2312" w:hAnsi="仿宋_GB2312"/>
                <w:sz w:val="28"/>
                <w:szCs w:val="28"/>
              </w:rPr>
            </w:pPr>
            <w:r>
              <w:rPr>
                <w:rFonts w:hint="eastAsia" w:ascii="仿宋_GB2312" w:hAnsi="仿宋_GB2312"/>
                <w:sz w:val="28"/>
                <w:szCs w:val="28"/>
              </w:rPr>
              <w:t>——</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方正楷体_GBK" w:hAnsi="仿宋_GB2312" w:eastAsia="方正楷体_GBK"/>
                <w:sz w:val="28"/>
                <w:szCs w:val="28"/>
              </w:rPr>
              <w:t>（一）主动公开政府信息数</w:t>
            </w:r>
            <w:r>
              <w:rPr>
                <w:rFonts w:hint="eastAsia" w:ascii="仿宋_GB2312" w:hAnsi="仿宋_GB2312"/>
                <w:sz w:val="28"/>
                <w:szCs w:val="28"/>
              </w:rPr>
              <w:br w:type="textWrapping"/>
            </w:r>
            <w:r>
              <w:rPr>
                <w:rFonts w:hint="eastAsia" w:ascii="方正仿宋_GBK" w:hAnsi="仿宋_GB2312" w:eastAsia="方正仿宋_GBK"/>
                <w:sz w:val="28"/>
                <w:szCs w:val="28"/>
              </w:rPr>
              <w:t>（不同渠道和方式公开相同信息计</w:t>
            </w:r>
            <w:r>
              <w:rPr>
                <w:rFonts w:eastAsia="方正仿宋_GBK"/>
                <w:sz w:val="28"/>
                <w:szCs w:val="28"/>
              </w:rPr>
              <w:t>1</w:t>
            </w:r>
            <w:r>
              <w:rPr>
                <w:rFonts w:hint="eastAsia" w:ascii="方正仿宋_GBK" w:hAnsi="仿宋_GB2312" w:eastAsia="方正仿宋_GBK"/>
                <w:sz w:val="28"/>
                <w:szCs w:val="28"/>
              </w:rPr>
              <w:t>条）</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条</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ind w:firstLine="140" w:firstLineChars="50"/>
              <w:textAlignment w:val="center"/>
              <w:rPr>
                <w:rFonts w:ascii="仿宋_GB2312" w:hAnsi="仿宋_GB2312"/>
                <w:sz w:val="28"/>
                <w:szCs w:val="28"/>
              </w:rPr>
            </w:pPr>
            <w:r>
              <w:rPr>
                <w:rFonts w:hint="eastAsia" w:ascii="仿宋_GB2312" w:hAnsi="仿宋_GB2312"/>
                <w:sz w:val="28"/>
                <w:szCs w:val="28"/>
              </w:rPr>
              <w:t>9166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方正仿宋_GBK" w:hAnsi="仿宋_GB2312" w:eastAsia="方正仿宋_GBK"/>
                <w:sz w:val="28"/>
                <w:szCs w:val="28"/>
              </w:rPr>
            </w:pPr>
            <w:r>
              <w:rPr>
                <w:rFonts w:hint="eastAsia" w:ascii="方正仿宋_GBK" w:hAnsi="仿宋_GB2312" w:eastAsia="方正仿宋_GBK"/>
                <w:sz w:val="28"/>
                <w:szCs w:val="28"/>
              </w:rPr>
              <w:t>其中：主动公开规范性文件数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条</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ind w:firstLine="840" w:firstLineChars="300"/>
              <w:textAlignment w:val="center"/>
              <w:rPr>
                <w:rFonts w:ascii="方正仿宋_GBK" w:hAnsi="仿宋_GB2312" w:eastAsia="方正仿宋_GBK"/>
                <w:sz w:val="28"/>
                <w:szCs w:val="28"/>
              </w:rPr>
            </w:pPr>
            <w:r>
              <w:rPr>
                <w:rFonts w:hint="eastAsia" w:ascii="方正仿宋_GBK" w:hAnsi="仿宋_GB2312" w:eastAsia="方正仿宋_GBK"/>
                <w:sz w:val="28"/>
                <w:szCs w:val="28"/>
              </w:rPr>
              <w:t>制发规范性文件总数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件</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楷体_GB2312" w:hAnsi="仿宋_GB2312" w:eastAsia="楷体_GB2312"/>
                <w:sz w:val="28"/>
                <w:szCs w:val="28"/>
              </w:rPr>
            </w:pPr>
            <w:r>
              <w:rPr>
                <w:rFonts w:hint="eastAsia" w:ascii="楷体_GB2312" w:hAnsi="仿宋_GB2312" w:eastAsia="楷体_GB2312"/>
                <w:sz w:val="28"/>
                <w:szCs w:val="28"/>
              </w:rPr>
              <w:t>（二）通过不同渠道和方式公开政府信息的情况</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仿宋_GB2312" w:hAnsi="仿宋_GB2312"/>
                <w:sz w:val="28"/>
                <w:szCs w:val="28"/>
              </w:rPr>
            </w:pPr>
            <w:r>
              <w:rPr>
                <w:rFonts w:hint="eastAsia" w:ascii="仿宋_GB2312" w:hAnsi="仿宋_GB2312"/>
                <w:sz w:val="28"/>
                <w:szCs w:val="28"/>
              </w:rPr>
              <w:t>——</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eastAsia="方正仿宋_GBK"/>
                <w:sz w:val="28"/>
                <w:szCs w:val="28"/>
              </w:rPr>
            </w:pPr>
            <w:r>
              <w:rPr>
                <w:rFonts w:eastAsia="方正仿宋_GBK"/>
                <w:sz w:val="28"/>
                <w:szCs w:val="28"/>
              </w:rPr>
              <w:t>1</w:t>
            </w:r>
            <w:r>
              <w:rPr>
                <w:rFonts w:hint="eastAsia" w:ascii="方正仿宋_GBK" w:eastAsia="方正仿宋_GBK"/>
                <w:sz w:val="28"/>
                <w:szCs w:val="28"/>
              </w:rPr>
              <w:t>．</w:t>
            </w:r>
            <w:r>
              <w:rPr>
                <w:rFonts w:eastAsia="方正仿宋_GBK"/>
                <w:sz w:val="28"/>
                <w:szCs w:val="28"/>
              </w:rPr>
              <w:t>政府公报公开政府信息数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条</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0</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eastAsia="方正仿宋_GBK"/>
                <w:sz w:val="28"/>
                <w:szCs w:val="28"/>
              </w:rPr>
            </w:pPr>
            <w:r>
              <w:rPr>
                <w:rFonts w:eastAsia="方正仿宋_GBK"/>
                <w:sz w:val="28"/>
                <w:szCs w:val="28"/>
              </w:rPr>
              <w:t>2</w:t>
            </w:r>
            <w:r>
              <w:rPr>
                <w:rFonts w:hint="eastAsia" w:ascii="方正仿宋_GBK" w:eastAsia="方正仿宋_GBK"/>
                <w:sz w:val="28"/>
                <w:szCs w:val="28"/>
              </w:rPr>
              <w:t>．</w:t>
            </w:r>
            <w:r>
              <w:rPr>
                <w:rFonts w:eastAsia="方正仿宋_GBK"/>
                <w:sz w:val="28"/>
                <w:szCs w:val="28"/>
              </w:rPr>
              <w:t>政府网站公开政府信息数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条</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617</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eastAsia="方正仿宋_GBK"/>
                <w:sz w:val="28"/>
                <w:szCs w:val="28"/>
              </w:rPr>
            </w:pPr>
            <w:r>
              <w:rPr>
                <w:rFonts w:eastAsia="方正仿宋_GBK"/>
                <w:sz w:val="28"/>
                <w:szCs w:val="28"/>
              </w:rPr>
              <w:t>3</w:t>
            </w:r>
            <w:r>
              <w:rPr>
                <w:rFonts w:hint="eastAsia" w:ascii="方正仿宋_GBK" w:eastAsia="方正仿宋_GBK"/>
                <w:sz w:val="28"/>
                <w:szCs w:val="28"/>
              </w:rPr>
              <w:t>．</w:t>
            </w:r>
            <w:r>
              <w:rPr>
                <w:rFonts w:eastAsia="方正仿宋_GBK"/>
                <w:sz w:val="28"/>
                <w:szCs w:val="28"/>
              </w:rPr>
              <w:t>政务微博公开政府信息数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条</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7890</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eastAsia="方正仿宋_GBK"/>
                <w:sz w:val="28"/>
                <w:szCs w:val="28"/>
              </w:rPr>
            </w:pPr>
            <w:r>
              <w:rPr>
                <w:rFonts w:eastAsia="方正仿宋_GBK"/>
                <w:sz w:val="28"/>
                <w:szCs w:val="28"/>
              </w:rPr>
              <w:t>4</w:t>
            </w:r>
            <w:r>
              <w:rPr>
                <w:rFonts w:hint="eastAsia" w:ascii="方正仿宋_GBK" w:eastAsia="方正仿宋_GBK"/>
                <w:sz w:val="28"/>
                <w:szCs w:val="28"/>
              </w:rPr>
              <w:t>．</w:t>
            </w:r>
            <w:r>
              <w:rPr>
                <w:rFonts w:eastAsia="方正仿宋_GBK"/>
                <w:sz w:val="28"/>
                <w:szCs w:val="28"/>
              </w:rPr>
              <w:t>政务微信公开政府信息数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条</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612</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eastAsia="方正仿宋_GBK"/>
                <w:sz w:val="28"/>
                <w:szCs w:val="28"/>
              </w:rPr>
            </w:pPr>
            <w:r>
              <w:rPr>
                <w:rFonts w:eastAsia="方正仿宋_GBK"/>
                <w:sz w:val="28"/>
                <w:szCs w:val="28"/>
              </w:rPr>
              <w:t>5</w:t>
            </w:r>
            <w:r>
              <w:rPr>
                <w:rFonts w:hint="eastAsia" w:ascii="方正仿宋_GBK" w:eastAsia="方正仿宋_GBK"/>
                <w:sz w:val="28"/>
                <w:szCs w:val="28"/>
              </w:rPr>
              <w:t>．</w:t>
            </w:r>
            <w:r>
              <w:rPr>
                <w:rFonts w:eastAsia="方正仿宋_GBK"/>
                <w:sz w:val="28"/>
                <w:szCs w:val="28"/>
              </w:rPr>
              <w:t>其他方式公开政府信息数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条</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47</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ascii="方正黑体_GBK" w:hAnsi="仿宋_GB2312" w:eastAsia="方正黑体_GBK"/>
                <w:sz w:val="28"/>
                <w:szCs w:val="28"/>
              </w:rPr>
            </w:pPr>
            <w:r>
              <w:rPr>
                <w:rFonts w:hint="eastAsia" w:ascii="方正黑体_GBK" w:hAnsi="仿宋_GB2312" w:eastAsia="方正黑体_GBK" w:cs="黑体"/>
                <w:sz w:val="28"/>
                <w:szCs w:val="28"/>
              </w:rPr>
              <w:t>二、回应解读情况</w:t>
            </w:r>
          </w:p>
        </w:tc>
        <w:tc>
          <w:tcPr>
            <w:tcW w:w="2298" w:type="dxa"/>
            <w:gridSpan w:val="2"/>
            <w:tcBorders>
              <w:top w:val="single" w:color="0A0A0A" w:sz="4" w:space="0"/>
              <w:left w:val="single" w:color="0A0A0A" w:sz="4" w:space="0"/>
              <w:bottom w:val="single" w:color="0A0A0A" w:sz="4" w:space="0"/>
              <w:right w:val="single" w:color="0A0A0A" w:sz="4" w:space="0"/>
            </w:tcBorders>
            <w:vAlign w:val="center"/>
          </w:tcPr>
          <w:p>
            <w:pPr>
              <w:autoSpaceDN w:val="0"/>
              <w:spacing w:after="144" w:line="420" w:lineRule="exact"/>
              <w:jc w:val="center"/>
              <w:rPr>
                <w:rFonts w:ascii="仿宋_GB2312" w:hAnsi="仿宋_GB2312"/>
                <w:sz w:val="28"/>
                <w:szCs w:val="28"/>
              </w:rPr>
            </w:pPr>
            <w:r>
              <w:rPr>
                <w:rFonts w:hint="eastAsia" w:ascii="仿宋_GB2312" w:hAnsi="仿宋_GB2312"/>
                <w:sz w:val="28"/>
                <w:szCs w:val="28"/>
              </w:rPr>
              <w:t>——</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after="144" w:line="420" w:lineRule="exact"/>
              <w:jc w:val="left"/>
              <w:rPr>
                <w:rFonts w:ascii="仿宋_GB2312" w:hAnsi="仿宋_GB2312"/>
                <w:sz w:val="28"/>
                <w:szCs w:val="28"/>
              </w:rPr>
            </w:pPr>
            <w:r>
              <w:rPr>
                <w:rFonts w:hint="eastAsia" w:ascii="方正楷体_GBK" w:hAnsi="仿宋_GB2312" w:eastAsia="方正楷体_GBK"/>
                <w:sz w:val="28"/>
                <w:szCs w:val="28"/>
              </w:rPr>
              <w:t>（一）回应公众关注热点或重大舆情数</w:t>
            </w:r>
            <w:r>
              <w:rPr>
                <w:rFonts w:hint="eastAsia" w:ascii="仿宋_GB2312" w:hAnsi="仿宋_GB2312"/>
                <w:sz w:val="28"/>
                <w:szCs w:val="28"/>
              </w:rPr>
              <w:br w:type="textWrapping"/>
            </w:r>
            <w:r>
              <w:rPr>
                <w:rFonts w:eastAsia="方正仿宋_GBK"/>
                <w:sz w:val="28"/>
                <w:szCs w:val="28"/>
              </w:rPr>
              <w:t>（不同方式回应同一热点或舆情计1次）</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次</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65</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ascii="方正楷体_GBK" w:hAnsi="仿宋_GB2312" w:eastAsia="方正楷体_GBK"/>
                <w:sz w:val="28"/>
                <w:szCs w:val="28"/>
              </w:rPr>
            </w:pPr>
            <w:r>
              <w:rPr>
                <w:rFonts w:hint="eastAsia" w:ascii="方正楷体_GBK" w:hAnsi="仿宋_GB2312" w:eastAsia="方正楷体_GBK"/>
                <w:sz w:val="28"/>
                <w:szCs w:val="28"/>
              </w:rPr>
              <w:t>（二）通过不同渠道和方式回应解读的情况</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仿宋_GB2312" w:hAnsi="仿宋_GB2312"/>
                <w:sz w:val="28"/>
                <w:szCs w:val="28"/>
              </w:rPr>
            </w:pPr>
            <w:r>
              <w:rPr>
                <w:rFonts w:hint="eastAsia" w:ascii="仿宋_GB2312" w:hAnsi="仿宋_GB2312"/>
                <w:sz w:val="28"/>
                <w:szCs w:val="28"/>
              </w:rPr>
              <w:t>——</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eastAsia="方正仿宋_GBK"/>
                <w:sz w:val="28"/>
                <w:szCs w:val="28"/>
              </w:rPr>
            </w:pPr>
            <w:r>
              <w:rPr>
                <w:rFonts w:hint="eastAsia" w:eastAsia="方正仿宋_GBK"/>
                <w:sz w:val="28"/>
                <w:szCs w:val="28"/>
              </w:rPr>
              <w:t>1．参加或举办新闻发布会总次数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次</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2</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eastAsia="方正仿宋_GBK"/>
                <w:sz w:val="28"/>
                <w:szCs w:val="28"/>
              </w:rPr>
            </w:pPr>
            <w:r>
              <w:rPr>
                <w:rFonts w:hint="eastAsia" w:eastAsia="方正仿宋_GBK"/>
                <w:sz w:val="28"/>
                <w:szCs w:val="28"/>
              </w:rPr>
              <w:t>其中：主要负责同志参加新闻发布会次数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次</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2</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eastAsia="方正仿宋_GBK"/>
                <w:sz w:val="28"/>
                <w:szCs w:val="28"/>
              </w:rPr>
            </w:pPr>
            <w:r>
              <w:rPr>
                <w:rFonts w:hint="eastAsia" w:eastAsia="方正仿宋_GBK"/>
                <w:sz w:val="28"/>
                <w:szCs w:val="28"/>
              </w:rPr>
              <w:t>2．政府网站在线访谈次数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次</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xml:space="preserve">  0</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eastAsia="方正仿宋_GBK"/>
                <w:sz w:val="28"/>
                <w:szCs w:val="28"/>
              </w:rPr>
            </w:pPr>
            <w:r>
              <w:rPr>
                <w:rFonts w:hint="eastAsia" w:eastAsia="方正仿宋_GBK"/>
                <w:sz w:val="28"/>
                <w:szCs w:val="28"/>
              </w:rPr>
              <w:t>其中：主要负责同志参加政府网站在线访谈次数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次</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0</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eastAsia="方正仿宋_GBK"/>
                <w:sz w:val="28"/>
                <w:szCs w:val="28"/>
              </w:rPr>
            </w:pPr>
            <w:r>
              <w:rPr>
                <w:rFonts w:hint="eastAsia" w:eastAsia="方正仿宋_GBK"/>
                <w:sz w:val="28"/>
                <w:szCs w:val="28"/>
              </w:rPr>
              <w:t>3．政策解读稿件发布数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篇</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1</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eastAsia="方正仿宋_GBK"/>
                <w:sz w:val="28"/>
                <w:szCs w:val="28"/>
              </w:rPr>
            </w:pPr>
            <w:r>
              <w:rPr>
                <w:rFonts w:hint="eastAsia" w:eastAsia="方正仿宋_GBK"/>
                <w:sz w:val="28"/>
                <w:szCs w:val="28"/>
              </w:rPr>
              <w:t>4．微博微信回应事件数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次</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1</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eastAsia="方正仿宋_GBK"/>
                <w:sz w:val="28"/>
                <w:szCs w:val="28"/>
              </w:rPr>
            </w:pPr>
            <w:r>
              <w:rPr>
                <w:rFonts w:hint="eastAsia" w:eastAsia="方正仿宋_GBK"/>
                <w:sz w:val="28"/>
                <w:szCs w:val="28"/>
              </w:rPr>
              <w:t>5．其他方式回应事件数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次</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233</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ascii="黑体" w:hAnsi="仿宋_GB2312" w:eastAsia="黑体"/>
                <w:sz w:val="28"/>
                <w:szCs w:val="28"/>
              </w:rPr>
            </w:pPr>
            <w:r>
              <w:rPr>
                <w:rFonts w:hint="eastAsia" w:ascii="方正黑体_GBK" w:hAnsi="仿宋_GB2312" w:eastAsia="方正黑体_GBK" w:cs="黑体"/>
                <w:sz w:val="28"/>
                <w:szCs w:val="28"/>
              </w:rPr>
              <w:t>三、依申请公开情况</w:t>
            </w:r>
          </w:p>
        </w:tc>
        <w:tc>
          <w:tcPr>
            <w:tcW w:w="2298" w:type="dxa"/>
            <w:gridSpan w:val="2"/>
            <w:tcBorders>
              <w:top w:val="single" w:color="0A0A0A" w:sz="4" w:space="0"/>
              <w:left w:val="single" w:color="0A0A0A" w:sz="4" w:space="0"/>
              <w:bottom w:val="single" w:color="0A0A0A" w:sz="4" w:space="0"/>
              <w:right w:val="single" w:color="0A0A0A" w:sz="4" w:space="0"/>
            </w:tcBorders>
            <w:vAlign w:val="center"/>
          </w:tcPr>
          <w:p>
            <w:pPr>
              <w:autoSpaceDN w:val="0"/>
              <w:spacing w:after="144" w:line="420" w:lineRule="exact"/>
              <w:jc w:val="center"/>
              <w:rPr>
                <w:rFonts w:ascii="仿宋_GB2312" w:hAnsi="仿宋_GB2312"/>
                <w:sz w:val="28"/>
                <w:szCs w:val="28"/>
              </w:rPr>
            </w:pPr>
            <w:r>
              <w:rPr>
                <w:rFonts w:hint="eastAsia" w:ascii="仿宋_GB2312" w:hAnsi="仿宋_GB2312"/>
                <w:sz w:val="28"/>
                <w:szCs w:val="28"/>
              </w:rPr>
              <w:t>——</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ascii="楷体_GB2312" w:hAnsi="仿宋_GB2312" w:eastAsia="楷体_GB2312"/>
                <w:sz w:val="28"/>
                <w:szCs w:val="28"/>
              </w:rPr>
            </w:pPr>
            <w:r>
              <w:rPr>
                <w:rFonts w:hint="eastAsia" w:ascii="方正楷体_GBK" w:hAnsi="仿宋_GB2312" w:eastAsia="方正楷体_GBK"/>
                <w:sz w:val="28"/>
                <w:szCs w:val="28"/>
              </w:rPr>
              <w:t>（一）收到申请数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件</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eastAsia="方正仿宋_GBK"/>
                <w:sz w:val="28"/>
                <w:szCs w:val="28"/>
              </w:rPr>
            </w:pPr>
            <w:r>
              <w:rPr>
                <w:rFonts w:hint="eastAsia" w:eastAsia="方正仿宋_GBK"/>
                <w:sz w:val="28"/>
                <w:szCs w:val="28"/>
              </w:rPr>
              <w:t>1．当面申请数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件</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eastAsia="方正仿宋_GBK"/>
                <w:sz w:val="28"/>
                <w:szCs w:val="28"/>
              </w:rPr>
            </w:pPr>
            <w:r>
              <w:rPr>
                <w:rFonts w:hint="eastAsia" w:eastAsia="方正仿宋_GBK"/>
                <w:sz w:val="28"/>
                <w:szCs w:val="28"/>
              </w:rPr>
              <w:t>2．传真申请数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件</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eastAsia="方正仿宋_GBK"/>
                <w:sz w:val="28"/>
                <w:szCs w:val="28"/>
              </w:rPr>
            </w:pPr>
            <w:r>
              <w:rPr>
                <w:rFonts w:hint="eastAsia" w:eastAsia="方正仿宋_GBK"/>
                <w:sz w:val="28"/>
                <w:szCs w:val="28"/>
              </w:rPr>
              <w:t>3．网络申请数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件</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eastAsia="方正仿宋_GBK"/>
                <w:sz w:val="28"/>
                <w:szCs w:val="28"/>
              </w:rPr>
            </w:pPr>
            <w:r>
              <w:rPr>
                <w:rFonts w:hint="eastAsia" w:eastAsia="方正仿宋_GBK"/>
                <w:sz w:val="28"/>
                <w:szCs w:val="28"/>
              </w:rPr>
              <w:t>4．信函申请数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件</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ascii="楷体_GB2312" w:hAnsi="仿宋_GB2312" w:eastAsia="楷体_GB2312"/>
                <w:sz w:val="28"/>
                <w:szCs w:val="28"/>
              </w:rPr>
            </w:pPr>
            <w:r>
              <w:rPr>
                <w:rFonts w:hint="eastAsia" w:ascii="方正楷体_GBK" w:hAnsi="仿宋_GB2312" w:eastAsia="方正楷体_GBK"/>
                <w:sz w:val="28"/>
                <w:szCs w:val="28"/>
              </w:rPr>
              <w:t>（二）申请办结数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件</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eastAsia="方正仿宋_GBK"/>
                <w:sz w:val="28"/>
                <w:szCs w:val="28"/>
              </w:rPr>
            </w:pPr>
            <w:r>
              <w:rPr>
                <w:rFonts w:hint="eastAsia" w:eastAsia="方正仿宋_GBK"/>
                <w:sz w:val="28"/>
                <w:szCs w:val="28"/>
              </w:rPr>
              <w:t>1．按时办结数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件</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eastAsia="方正仿宋_GBK"/>
                <w:sz w:val="28"/>
                <w:szCs w:val="28"/>
              </w:rPr>
            </w:pPr>
            <w:r>
              <w:rPr>
                <w:rFonts w:hint="eastAsia" w:eastAsia="方正仿宋_GBK"/>
                <w:sz w:val="28"/>
                <w:szCs w:val="28"/>
              </w:rPr>
              <w:t>2．延期办结数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件</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ascii="楷体_GB2312" w:hAnsi="仿宋_GB2312" w:eastAsia="楷体_GB2312"/>
                <w:sz w:val="28"/>
                <w:szCs w:val="28"/>
              </w:rPr>
            </w:pPr>
            <w:r>
              <w:rPr>
                <w:rFonts w:hint="eastAsia" w:ascii="方正楷体_GBK" w:hAnsi="仿宋_GB2312" w:eastAsia="方正楷体_GBK"/>
                <w:sz w:val="28"/>
                <w:szCs w:val="28"/>
              </w:rPr>
              <w:t>（三）申请答复数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件</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eastAsia="方正仿宋_GBK"/>
                <w:sz w:val="28"/>
                <w:szCs w:val="28"/>
              </w:rPr>
            </w:pPr>
            <w:r>
              <w:rPr>
                <w:rFonts w:eastAsia="方正仿宋_GBK"/>
                <w:sz w:val="28"/>
                <w:szCs w:val="28"/>
              </w:rPr>
              <w:t>1．属于已主动公开范围数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件</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eastAsia="方正仿宋_GBK"/>
                <w:sz w:val="28"/>
                <w:szCs w:val="28"/>
              </w:rPr>
            </w:pPr>
            <w:r>
              <w:rPr>
                <w:rFonts w:eastAsia="方正仿宋_GBK"/>
                <w:sz w:val="28"/>
                <w:szCs w:val="28"/>
              </w:rPr>
              <w:t>2．同意公开答复数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件</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eastAsia="方正仿宋_GBK"/>
                <w:sz w:val="28"/>
                <w:szCs w:val="28"/>
              </w:rPr>
            </w:pPr>
            <w:r>
              <w:rPr>
                <w:rFonts w:eastAsia="方正仿宋_GBK"/>
                <w:sz w:val="28"/>
                <w:szCs w:val="28"/>
              </w:rPr>
              <w:t>3．同意部分公开答复数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件</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eastAsia="方正仿宋_GBK"/>
                <w:sz w:val="28"/>
                <w:szCs w:val="28"/>
              </w:rPr>
            </w:pPr>
            <w:r>
              <w:rPr>
                <w:rFonts w:eastAsia="方正仿宋_GBK"/>
                <w:sz w:val="28"/>
                <w:szCs w:val="28"/>
              </w:rPr>
              <w:t>4．不同意公开答复数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件</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ind w:firstLine="560" w:firstLineChars="200"/>
              <w:jc w:val="left"/>
              <w:textAlignment w:val="center"/>
              <w:rPr>
                <w:rFonts w:eastAsia="方正仿宋_GBK"/>
                <w:sz w:val="28"/>
                <w:szCs w:val="28"/>
              </w:rPr>
            </w:pPr>
            <w:r>
              <w:rPr>
                <w:rFonts w:eastAsia="方正仿宋_GBK"/>
                <w:sz w:val="28"/>
                <w:szCs w:val="28"/>
              </w:rPr>
              <w:t>其中：涉及国家秘密</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件</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ind w:firstLine="1400" w:firstLineChars="500"/>
              <w:jc w:val="left"/>
              <w:textAlignment w:val="center"/>
              <w:rPr>
                <w:rFonts w:eastAsia="方正仿宋_GBK"/>
                <w:sz w:val="28"/>
                <w:szCs w:val="28"/>
              </w:rPr>
            </w:pPr>
            <w:r>
              <w:rPr>
                <w:rFonts w:eastAsia="方正仿宋_GBK"/>
                <w:sz w:val="28"/>
                <w:szCs w:val="28"/>
              </w:rPr>
              <w:t>涉及商业秘密</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件</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ind w:firstLine="1400" w:firstLineChars="500"/>
              <w:jc w:val="left"/>
              <w:textAlignment w:val="center"/>
              <w:rPr>
                <w:rFonts w:eastAsia="方正仿宋_GBK"/>
                <w:sz w:val="28"/>
                <w:szCs w:val="28"/>
              </w:rPr>
            </w:pPr>
            <w:r>
              <w:rPr>
                <w:rFonts w:eastAsia="方正仿宋_GBK"/>
                <w:sz w:val="28"/>
                <w:szCs w:val="28"/>
              </w:rPr>
              <w:t>涉及个人隐私</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件</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ind w:firstLine="1400" w:firstLineChars="500"/>
              <w:jc w:val="left"/>
              <w:textAlignment w:val="center"/>
              <w:rPr>
                <w:rFonts w:eastAsia="方正仿宋_GBK"/>
                <w:sz w:val="28"/>
                <w:szCs w:val="28"/>
              </w:rPr>
            </w:pPr>
            <w:r>
              <w:rPr>
                <w:rFonts w:eastAsia="方正仿宋_GBK"/>
                <w:sz w:val="28"/>
                <w:szCs w:val="28"/>
              </w:rPr>
              <w:t>危及国家安全、公共安全、经济安全和社会稳定</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件</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ind w:firstLine="1400" w:firstLineChars="500"/>
              <w:jc w:val="left"/>
              <w:textAlignment w:val="center"/>
              <w:rPr>
                <w:rFonts w:ascii="方正仿宋_GBK" w:hAnsi="仿宋_GB2312" w:eastAsia="方正仿宋_GBK"/>
                <w:sz w:val="28"/>
                <w:szCs w:val="28"/>
              </w:rPr>
            </w:pPr>
            <w:r>
              <w:rPr>
                <w:rFonts w:hint="eastAsia" w:ascii="方正仿宋_GBK" w:hAnsi="仿宋_GB2312" w:eastAsia="方正仿宋_GBK"/>
                <w:sz w:val="28"/>
                <w:szCs w:val="28"/>
              </w:rPr>
              <w:t>不属《条例》所指政府信息</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件</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ind w:firstLine="1400" w:firstLineChars="500"/>
              <w:jc w:val="left"/>
              <w:textAlignment w:val="center"/>
              <w:rPr>
                <w:rFonts w:ascii="方正仿宋_GBK" w:hAnsi="仿宋_GB2312" w:eastAsia="方正仿宋_GBK"/>
                <w:sz w:val="28"/>
                <w:szCs w:val="28"/>
              </w:rPr>
            </w:pPr>
            <w:r>
              <w:rPr>
                <w:rFonts w:hint="eastAsia" w:ascii="方正仿宋_GBK" w:hAnsi="仿宋_GB2312" w:eastAsia="方正仿宋_GBK"/>
                <w:sz w:val="28"/>
                <w:szCs w:val="28"/>
              </w:rPr>
              <w:t>法</w:t>
            </w:r>
            <w:r>
              <w:rPr>
                <w:rFonts w:eastAsia="方正仿宋_GBK"/>
                <w:sz w:val="28"/>
                <w:szCs w:val="28"/>
              </w:rPr>
              <w:t>律法规规定的其</w:t>
            </w:r>
            <w:r>
              <w:rPr>
                <w:rFonts w:hint="eastAsia" w:ascii="方正仿宋_GBK" w:hAnsi="仿宋_GB2312" w:eastAsia="方正仿宋_GBK"/>
                <w:sz w:val="28"/>
                <w:szCs w:val="28"/>
              </w:rPr>
              <w:t>他情形</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件</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eastAsia="方正仿宋_GBK"/>
                <w:sz w:val="28"/>
                <w:szCs w:val="28"/>
              </w:rPr>
            </w:pPr>
            <w:r>
              <w:rPr>
                <w:rFonts w:hint="eastAsia" w:eastAsia="方正仿宋_GBK"/>
                <w:sz w:val="28"/>
                <w:szCs w:val="28"/>
              </w:rPr>
              <w:t>5．不属于本行政机关公开数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件</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eastAsia="方正仿宋_GBK"/>
                <w:sz w:val="28"/>
                <w:szCs w:val="28"/>
              </w:rPr>
            </w:pPr>
            <w:r>
              <w:rPr>
                <w:rFonts w:hint="eastAsia" w:eastAsia="方正仿宋_GBK"/>
                <w:sz w:val="28"/>
                <w:szCs w:val="28"/>
              </w:rPr>
              <w:t>6．申请信息不存在数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件</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eastAsia="方正仿宋_GBK"/>
                <w:sz w:val="28"/>
                <w:szCs w:val="28"/>
              </w:rPr>
            </w:pPr>
            <w:r>
              <w:rPr>
                <w:rFonts w:hint="eastAsia" w:eastAsia="方正仿宋_GBK"/>
                <w:sz w:val="28"/>
                <w:szCs w:val="28"/>
              </w:rPr>
              <w:t>7．告知作出更改补充数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件</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eastAsia="方正仿宋_GBK"/>
                <w:sz w:val="28"/>
                <w:szCs w:val="28"/>
              </w:rPr>
            </w:pPr>
            <w:r>
              <w:rPr>
                <w:rFonts w:hint="eastAsia" w:eastAsia="方正仿宋_GBK"/>
                <w:sz w:val="28"/>
                <w:szCs w:val="28"/>
              </w:rPr>
              <w:t>8．告知通过其他途径办理数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件</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ascii="黑体" w:hAnsi="仿宋_GB2312" w:eastAsia="黑体"/>
                <w:sz w:val="28"/>
                <w:szCs w:val="28"/>
              </w:rPr>
            </w:pPr>
            <w:r>
              <w:rPr>
                <w:rFonts w:hint="eastAsia" w:ascii="方正黑体_GBK" w:hAnsi="仿宋_GB2312" w:eastAsia="方正黑体_GBK" w:cs="黑体"/>
                <w:sz w:val="28"/>
                <w:szCs w:val="28"/>
              </w:rPr>
              <w:t>四、行政复议数量</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件</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ascii="楷体_GB2312" w:hAnsi="仿宋_GB2312" w:eastAsia="楷体_GB2312"/>
                <w:sz w:val="28"/>
                <w:szCs w:val="28"/>
              </w:rPr>
            </w:pPr>
            <w:r>
              <w:rPr>
                <w:rFonts w:hint="eastAsia" w:ascii="方正楷体_GBK" w:hAnsi="仿宋_GB2312" w:eastAsia="方正楷体_GBK"/>
                <w:sz w:val="28"/>
                <w:szCs w:val="28"/>
              </w:rPr>
              <w:t>（一）维持具体行政行为数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件</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ascii="楷体_GB2312" w:hAnsi="仿宋_GB2312" w:eastAsia="楷体_GB2312"/>
                <w:sz w:val="28"/>
                <w:szCs w:val="28"/>
              </w:rPr>
            </w:pPr>
            <w:r>
              <w:rPr>
                <w:rFonts w:hint="eastAsia" w:ascii="方正楷体_GBK" w:hAnsi="仿宋_GB2312" w:eastAsia="方正楷体_GBK"/>
                <w:sz w:val="28"/>
                <w:szCs w:val="28"/>
              </w:rPr>
              <w:t>（二）被依法纠错数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件</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ascii="楷体_GB2312" w:hAnsi="仿宋_GB2312" w:eastAsia="楷体_GB2312"/>
                <w:sz w:val="28"/>
                <w:szCs w:val="28"/>
              </w:rPr>
            </w:pPr>
            <w:r>
              <w:rPr>
                <w:rFonts w:hint="eastAsia" w:ascii="方正楷体_GBK" w:hAnsi="仿宋_GB2312" w:eastAsia="方正楷体_GBK"/>
                <w:sz w:val="28"/>
                <w:szCs w:val="28"/>
              </w:rPr>
              <w:t>（三）其他情形数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件</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ascii="黑体" w:hAnsi="仿宋_GB2312" w:eastAsia="黑体"/>
                <w:sz w:val="28"/>
                <w:szCs w:val="28"/>
              </w:rPr>
            </w:pPr>
            <w:r>
              <w:rPr>
                <w:rFonts w:hint="eastAsia" w:ascii="方正黑体_GBK" w:hAnsi="仿宋_GB2312" w:eastAsia="方正黑体_GBK" w:cs="黑体"/>
                <w:sz w:val="28"/>
                <w:szCs w:val="28"/>
              </w:rPr>
              <w:t>五、行政诉讼数量</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件</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ascii="楷体_GB2312" w:hAnsi="仿宋_GB2312" w:eastAsia="楷体_GB2312"/>
                <w:sz w:val="28"/>
                <w:szCs w:val="28"/>
              </w:rPr>
            </w:pPr>
            <w:r>
              <w:rPr>
                <w:rFonts w:hint="eastAsia" w:ascii="方正楷体_GBK" w:hAnsi="仿宋_GB2312" w:eastAsia="方正楷体_GBK"/>
                <w:sz w:val="28"/>
                <w:szCs w:val="28"/>
              </w:rPr>
              <w:t>（一）维持具体行政行为或者驳回原告诉讼请求数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件</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ascii="方正楷体_GBK" w:hAnsi="仿宋_GB2312" w:eastAsia="方正楷体_GBK"/>
                <w:sz w:val="28"/>
                <w:szCs w:val="28"/>
              </w:rPr>
            </w:pPr>
            <w:r>
              <w:rPr>
                <w:rFonts w:hint="eastAsia" w:ascii="方正楷体_GBK" w:hAnsi="仿宋_GB2312" w:eastAsia="方正楷体_GBK"/>
                <w:sz w:val="28"/>
                <w:szCs w:val="28"/>
              </w:rPr>
              <w:t>（二）被依法纠错数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件</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ascii="方正楷体_GBK" w:hAnsi="仿宋_GB2312" w:eastAsia="方正楷体_GBK"/>
                <w:sz w:val="28"/>
                <w:szCs w:val="28"/>
              </w:rPr>
            </w:pPr>
            <w:r>
              <w:rPr>
                <w:rFonts w:hint="eastAsia" w:ascii="方正楷体_GBK" w:hAnsi="仿宋_GB2312" w:eastAsia="方正楷体_GBK"/>
                <w:sz w:val="28"/>
                <w:szCs w:val="28"/>
              </w:rPr>
              <w:t>（三）其他情形数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件</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ascii="方正黑体_GBK" w:hAnsi="仿宋_GB2312" w:eastAsia="方正黑体_GBK" w:cs="黑体"/>
                <w:sz w:val="28"/>
                <w:szCs w:val="28"/>
              </w:rPr>
            </w:pPr>
            <w:r>
              <w:rPr>
                <w:rFonts w:hint="eastAsia" w:ascii="方正黑体_GBK" w:hAnsi="仿宋_GB2312" w:eastAsia="方正黑体_GBK" w:cs="黑体"/>
                <w:sz w:val="28"/>
                <w:szCs w:val="28"/>
              </w:rPr>
              <w:t>六、举报投诉数量</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件</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ascii="方正黑体_GBK" w:hAnsi="仿宋_GB2312" w:eastAsia="方正黑体_GBK" w:cs="黑体"/>
                <w:sz w:val="28"/>
                <w:szCs w:val="28"/>
              </w:rPr>
            </w:pPr>
            <w:r>
              <w:rPr>
                <w:rFonts w:hint="eastAsia" w:ascii="方正黑体_GBK" w:hAnsi="仿宋_GB2312" w:eastAsia="方正黑体_GBK" w:cs="黑体"/>
                <w:sz w:val="28"/>
                <w:szCs w:val="28"/>
              </w:rPr>
              <w:t>七、依申请公开信息收取的费用</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万元</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ascii="方正黑体_GBK" w:hAnsi="仿宋_GB2312" w:eastAsia="方正黑体_GBK" w:cs="黑体"/>
                <w:sz w:val="28"/>
                <w:szCs w:val="28"/>
              </w:rPr>
            </w:pPr>
            <w:r>
              <w:rPr>
                <w:rFonts w:hint="eastAsia" w:ascii="方正黑体_GBK" w:hAnsi="仿宋_GB2312" w:eastAsia="方正黑体_GBK" w:cs="黑体"/>
                <w:sz w:val="28"/>
                <w:szCs w:val="28"/>
              </w:rPr>
              <w:t>八、机构建设和保障经费情况</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仿宋_GB2312" w:hAnsi="仿宋_GB2312"/>
                <w:sz w:val="28"/>
                <w:szCs w:val="28"/>
              </w:rPr>
            </w:pPr>
            <w:r>
              <w:rPr>
                <w:rFonts w:hint="eastAsia" w:ascii="仿宋_GB2312" w:hAnsi="仿宋_GB2312"/>
                <w:sz w:val="28"/>
                <w:szCs w:val="28"/>
              </w:rPr>
              <w:t>——</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ascii="方正楷体_GBK" w:hAnsi="仿宋_GB2312" w:eastAsia="方正楷体_GBK"/>
                <w:sz w:val="28"/>
                <w:szCs w:val="28"/>
              </w:rPr>
            </w:pPr>
            <w:r>
              <w:rPr>
                <w:rFonts w:hint="eastAsia" w:ascii="方正楷体_GBK" w:hAnsi="仿宋_GB2312" w:eastAsia="方正楷体_GBK"/>
                <w:sz w:val="28"/>
                <w:szCs w:val="28"/>
              </w:rPr>
              <w:t>（一）政府信息公开工作专门机构数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个</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1</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ascii="方正楷体_GBK" w:hAnsi="仿宋_GB2312" w:eastAsia="方正楷体_GBK"/>
                <w:sz w:val="28"/>
                <w:szCs w:val="28"/>
              </w:rPr>
            </w:pPr>
            <w:r>
              <w:rPr>
                <w:rFonts w:hint="eastAsia" w:ascii="方正楷体_GBK" w:hAnsi="仿宋_GB2312" w:eastAsia="方正楷体_GBK"/>
                <w:sz w:val="28"/>
                <w:szCs w:val="28"/>
              </w:rPr>
              <w:t>（二）设置政府信息公开查阅点数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个</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1</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ascii="方正楷体_GBK" w:hAnsi="仿宋_GB2312" w:eastAsia="方正楷体_GBK"/>
                <w:sz w:val="28"/>
                <w:szCs w:val="28"/>
              </w:rPr>
            </w:pPr>
            <w:r>
              <w:rPr>
                <w:rFonts w:hint="eastAsia" w:ascii="方正楷体_GBK" w:hAnsi="仿宋_GB2312" w:eastAsia="方正楷体_GBK"/>
                <w:sz w:val="28"/>
                <w:szCs w:val="28"/>
              </w:rPr>
              <w:t>（三）从事政府信息公开工作人员数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人</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30</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ind w:firstLine="560" w:firstLineChars="200"/>
              <w:jc w:val="left"/>
              <w:textAlignment w:val="center"/>
              <w:rPr>
                <w:rFonts w:eastAsia="方正仿宋_GBK"/>
                <w:sz w:val="28"/>
                <w:szCs w:val="28"/>
              </w:rPr>
            </w:pPr>
            <w:r>
              <w:rPr>
                <w:rFonts w:eastAsia="方正仿宋_GBK"/>
                <w:sz w:val="28"/>
                <w:szCs w:val="28"/>
              </w:rPr>
              <w:t>1．专职人员数（不包括政府公报及政府网站工作人员数）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人</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0</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ind w:firstLine="560" w:firstLineChars="200"/>
              <w:jc w:val="left"/>
              <w:textAlignment w:val="center"/>
              <w:rPr>
                <w:rFonts w:eastAsia="方正仿宋_GBK"/>
                <w:sz w:val="28"/>
                <w:szCs w:val="28"/>
              </w:rPr>
            </w:pPr>
            <w:r>
              <w:rPr>
                <w:rFonts w:eastAsia="方正仿宋_GBK"/>
                <w:sz w:val="28"/>
                <w:szCs w:val="28"/>
              </w:rPr>
              <w:t>2．兼职人员数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人</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30</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ascii="楷体_GB2312" w:hAnsi="仿宋_GB2312" w:eastAsia="楷体_GB2312"/>
                <w:sz w:val="28"/>
                <w:szCs w:val="28"/>
              </w:rPr>
            </w:pPr>
            <w:r>
              <w:rPr>
                <w:rFonts w:hint="eastAsia" w:ascii="方正楷体_GBK" w:hAnsi="仿宋_GB2312" w:eastAsia="方正楷体_GBK"/>
                <w:sz w:val="28"/>
                <w:szCs w:val="28"/>
              </w:rPr>
              <w:t>（四）政府信息公开专项经费（不包括用于政府公报编辑管理及政府网站建设维护等方面的经费）</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仿宋_GB2312" w:hAnsi="仿宋_GB2312"/>
                <w:sz w:val="28"/>
                <w:szCs w:val="28"/>
              </w:rPr>
            </w:pPr>
            <w:r>
              <w:rPr>
                <w:rFonts w:hint="eastAsia" w:ascii="方正仿宋_GBK" w:hAnsi="仿宋_GB2312" w:eastAsia="方正仿宋_GBK"/>
                <w:sz w:val="28"/>
                <w:szCs w:val="28"/>
              </w:rPr>
              <w:t>万元</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ascii="方正黑体_GBK" w:hAnsi="仿宋_GB2312" w:eastAsia="方正黑体_GBK"/>
                <w:sz w:val="28"/>
                <w:szCs w:val="28"/>
              </w:rPr>
            </w:pPr>
            <w:r>
              <w:rPr>
                <w:rFonts w:hint="eastAsia" w:ascii="方正黑体_GBK" w:hAnsi="仿宋_GB2312" w:eastAsia="方正黑体_GBK" w:cs="黑体"/>
                <w:sz w:val="28"/>
                <w:szCs w:val="28"/>
              </w:rPr>
              <w:t>九、政府信息公开会议和培训情况</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仿宋_GB2312" w:hAnsi="仿宋_GB2312"/>
                <w:sz w:val="28"/>
                <w:szCs w:val="28"/>
              </w:rPr>
            </w:pPr>
            <w:r>
              <w:rPr>
                <w:rFonts w:hint="eastAsia" w:ascii="仿宋_GB2312" w:hAnsi="仿宋_GB2312"/>
                <w:sz w:val="28"/>
                <w:szCs w:val="28"/>
              </w:rPr>
              <w:t>——</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ascii="方正楷体_GBK" w:hAnsi="仿宋_GB2312" w:eastAsia="方正楷体_GBK"/>
                <w:sz w:val="28"/>
                <w:szCs w:val="28"/>
              </w:rPr>
            </w:pPr>
            <w:r>
              <w:rPr>
                <w:rFonts w:hint="eastAsia" w:ascii="方正楷体_GBK" w:hAnsi="仿宋_GB2312" w:eastAsia="方正楷体_GBK"/>
                <w:sz w:val="28"/>
                <w:szCs w:val="28"/>
              </w:rPr>
              <w:t>（一）召开政府信息公开工作会议或专题会议数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次</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1</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ascii="方正楷体_GBK" w:hAnsi="仿宋_GB2312" w:eastAsia="方正楷体_GBK"/>
                <w:sz w:val="28"/>
                <w:szCs w:val="28"/>
              </w:rPr>
            </w:pPr>
            <w:r>
              <w:rPr>
                <w:rFonts w:hint="eastAsia" w:ascii="方正楷体_GBK" w:hAnsi="仿宋_GB2312" w:eastAsia="方正楷体_GBK"/>
                <w:sz w:val="28"/>
                <w:szCs w:val="28"/>
              </w:rPr>
              <w:t>（二）举办各类培训班数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次</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r>
        <w:tblPrEx>
          <w:tblCellMar>
            <w:top w:w="0" w:type="dxa"/>
            <w:left w:w="108" w:type="dxa"/>
            <w:bottom w:w="0" w:type="dxa"/>
            <w:right w:w="108" w:type="dxa"/>
          </w:tblCellMar>
        </w:tblPrEx>
        <w:trPr>
          <w:cantSplit/>
          <w:jc w:val="center"/>
        </w:trPr>
        <w:tc>
          <w:tcPr>
            <w:tcW w:w="6741"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left"/>
              <w:textAlignment w:val="center"/>
              <w:rPr>
                <w:rFonts w:ascii="方正楷体_GBK" w:hAnsi="仿宋_GB2312" w:eastAsia="方正楷体_GBK"/>
                <w:sz w:val="28"/>
                <w:szCs w:val="28"/>
              </w:rPr>
            </w:pPr>
            <w:r>
              <w:rPr>
                <w:rFonts w:hint="eastAsia" w:ascii="方正楷体_GBK" w:hAnsi="仿宋_GB2312" w:eastAsia="方正楷体_GBK"/>
                <w:sz w:val="28"/>
                <w:szCs w:val="28"/>
              </w:rPr>
              <w:t>（三）接受培训人员数</w:t>
            </w:r>
          </w:p>
        </w:tc>
        <w:tc>
          <w:tcPr>
            <w:tcW w:w="1155"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jc w:val="center"/>
              <w:textAlignment w:val="center"/>
              <w:rPr>
                <w:rFonts w:ascii="方正仿宋_GBK" w:hAnsi="仿宋_GB2312" w:eastAsia="方正仿宋_GBK"/>
                <w:sz w:val="28"/>
                <w:szCs w:val="28"/>
              </w:rPr>
            </w:pPr>
            <w:r>
              <w:rPr>
                <w:rFonts w:hint="eastAsia" w:ascii="方正仿宋_GBK" w:hAnsi="仿宋_GB2312" w:eastAsia="方正仿宋_GBK"/>
                <w:sz w:val="28"/>
                <w:szCs w:val="28"/>
              </w:rPr>
              <w:t>人次</w:t>
            </w:r>
          </w:p>
        </w:tc>
        <w:tc>
          <w:tcPr>
            <w:tcW w:w="1143" w:type="dxa"/>
            <w:tcBorders>
              <w:top w:val="single" w:color="0A0A0A" w:sz="4" w:space="0"/>
              <w:left w:val="single" w:color="0A0A0A" w:sz="4" w:space="0"/>
              <w:bottom w:val="single" w:color="0A0A0A" w:sz="4" w:space="0"/>
              <w:right w:val="single" w:color="0A0A0A" w:sz="4" w:space="0"/>
            </w:tcBorders>
            <w:vAlign w:val="center"/>
          </w:tcPr>
          <w:p>
            <w:pPr>
              <w:autoSpaceDN w:val="0"/>
              <w:spacing w:line="420" w:lineRule="exact"/>
              <w:textAlignment w:val="center"/>
              <w:rPr>
                <w:rFonts w:ascii="仿宋_GB2312" w:hAnsi="仿宋_GB2312"/>
                <w:sz w:val="28"/>
                <w:szCs w:val="28"/>
              </w:rPr>
            </w:pPr>
            <w:r>
              <w:rPr>
                <w:rFonts w:hint="eastAsia" w:ascii="仿宋_GB2312" w:hAnsi="仿宋_GB2312"/>
                <w:sz w:val="28"/>
                <w:szCs w:val="28"/>
              </w:rPr>
              <w:t>　</w:t>
            </w:r>
          </w:p>
        </w:tc>
      </w:tr>
    </w:tbl>
    <w:p>
      <w:pPr>
        <w:spacing w:line="500" w:lineRule="exact"/>
        <w:rPr>
          <w:rFonts w:eastAsia="方正仿宋_GBK"/>
          <w:sz w:val="28"/>
          <w:szCs w:val="28"/>
        </w:rPr>
      </w:pPr>
      <w:r>
        <w:rPr>
          <w:rFonts w:hint="eastAsia" w:eastAsia="方正仿宋_GBK"/>
          <w:sz w:val="28"/>
          <w:szCs w:val="28"/>
        </w:rPr>
        <w:t>单位负责人：牛旺林　　　　　　      审 核 人： 罗宁波</w:t>
      </w:r>
    </w:p>
    <w:p>
      <w:pPr>
        <w:spacing w:line="500" w:lineRule="exact"/>
        <w:rPr>
          <w:rFonts w:eastAsia="方正仿宋_GBK"/>
          <w:sz w:val="28"/>
          <w:szCs w:val="28"/>
        </w:rPr>
      </w:pPr>
      <w:r>
        <w:rPr>
          <w:rFonts w:hint="eastAsia" w:eastAsia="方正仿宋_GBK"/>
          <w:sz w:val="28"/>
          <w:szCs w:val="28"/>
        </w:rPr>
        <w:t>填  报  人：唐玉琼                    联系电话： 0877-2694029</w:t>
      </w:r>
    </w:p>
    <w:p>
      <w:pPr>
        <w:spacing w:line="500" w:lineRule="exact"/>
        <w:rPr>
          <w:rFonts w:eastAsia="方正仿宋_GBK"/>
          <w:sz w:val="28"/>
          <w:szCs w:val="28"/>
        </w:rPr>
      </w:pPr>
      <w:r>
        <w:rPr>
          <w:rFonts w:hint="eastAsia" w:eastAsia="方正仿宋_GBK"/>
          <w:sz w:val="28"/>
          <w:szCs w:val="28"/>
        </w:rPr>
        <w:t>填报日期：2019年1月9日</w:t>
      </w:r>
    </w:p>
    <w:p>
      <w:pPr>
        <w:spacing w:line="590" w:lineRule="exact"/>
        <w:rPr>
          <w:rFonts w:eastAsia="方正仿宋_GBK"/>
          <w:szCs w:val="32"/>
        </w:rPr>
      </w:pPr>
    </w:p>
    <w:p/>
    <w:p>
      <w:pPr>
        <w:spacing w:line="540" w:lineRule="exact"/>
        <w:ind w:firstLine="627" w:firstLineChars="196"/>
        <w:rPr>
          <w:rFonts w:ascii="仿宋_GB2312"/>
          <w:szCs w:val="32"/>
        </w:rPr>
      </w:pPr>
    </w:p>
    <w:p>
      <w:pPr>
        <w:spacing w:line="540" w:lineRule="exact"/>
        <w:ind w:firstLine="627" w:firstLineChars="196"/>
        <w:rPr>
          <w:rFonts w:ascii="仿宋_GB2312"/>
          <w:szCs w:val="32"/>
        </w:rPr>
      </w:pPr>
    </w:p>
    <w:p>
      <w:pPr>
        <w:spacing w:line="540" w:lineRule="exact"/>
        <w:ind w:firstLine="627" w:firstLineChars="196"/>
        <w:rPr>
          <w:rFonts w:ascii="仿宋_GB2312"/>
          <w:szCs w:val="32"/>
        </w:rPr>
      </w:pPr>
    </w:p>
    <w:p>
      <w:pPr>
        <w:spacing w:line="540" w:lineRule="exact"/>
        <w:ind w:firstLine="627" w:firstLineChars="196"/>
        <w:rPr>
          <w:rFonts w:ascii="仿宋_GB2312"/>
          <w:szCs w:val="32"/>
        </w:rPr>
      </w:pPr>
      <w:r>
        <w:rPr>
          <w:rFonts w:hint="eastAsia" w:ascii="仿宋_GB2312"/>
          <w:szCs w:val="32"/>
        </w:rPr>
        <w:t xml:space="preserve">                           </w:t>
      </w:r>
    </w:p>
    <w:p>
      <w:pPr>
        <w:spacing w:line="540" w:lineRule="exact"/>
        <w:ind w:firstLine="627" w:firstLineChars="196"/>
        <w:rPr>
          <w:rFonts w:ascii="仿宋_GB2312"/>
          <w:szCs w:val="32"/>
        </w:rPr>
      </w:pPr>
    </w:p>
    <w:p>
      <w:pPr>
        <w:spacing w:line="540" w:lineRule="exact"/>
        <w:rPr>
          <w:rFonts w:eastAsia="方正仿宋_GBK"/>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48143"/>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w:t>
            </w:r>
            <w:r>
              <w:rPr>
                <w:b/>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NhYmNlMzY1NzgxODIyNjk5MjkyNmQ4NmJmNDNlZjcifQ=="/>
  </w:docVars>
  <w:rsids>
    <w:rsidRoot w:val="00E065E1"/>
    <w:rsid w:val="000357EC"/>
    <w:rsid w:val="000433B1"/>
    <w:rsid w:val="00047E2E"/>
    <w:rsid w:val="000A1EF4"/>
    <w:rsid w:val="00101842"/>
    <w:rsid w:val="001A7B16"/>
    <w:rsid w:val="003742EC"/>
    <w:rsid w:val="004507A6"/>
    <w:rsid w:val="004A6988"/>
    <w:rsid w:val="00511FA6"/>
    <w:rsid w:val="005678FD"/>
    <w:rsid w:val="00571AF8"/>
    <w:rsid w:val="005A263A"/>
    <w:rsid w:val="005E6FE9"/>
    <w:rsid w:val="00651E68"/>
    <w:rsid w:val="00777F8E"/>
    <w:rsid w:val="008136F0"/>
    <w:rsid w:val="0093212B"/>
    <w:rsid w:val="009403A6"/>
    <w:rsid w:val="009C5862"/>
    <w:rsid w:val="00A16F43"/>
    <w:rsid w:val="00A72BD4"/>
    <w:rsid w:val="00AB33BE"/>
    <w:rsid w:val="00B215D7"/>
    <w:rsid w:val="00B679F0"/>
    <w:rsid w:val="00BE4632"/>
    <w:rsid w:val="00BF3A3A"/>
    <w:rsid w:val="00C56C26"/>
    <w:rsid w:val="00CE72B7"/>
    <w:rsid w:val="00D731BA"/>
    <w:rsid w:val="00E065E1"/>
    <w:rsid w:val="00E834DC"/>
    <w:rsid w:val="00E920C9"/>
    <w:rsid w:val="00F07E7F"/>
    <w:rsid w:val="00F95EE6"/>
    <w:rsid w:val="00FC3A8B"/>
    <w:rsid w:val="182859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before="100" w:beforeAutospacing="1" w:after="100" w:afterAutospacing="1"/>
      <w:jc w:val="left"/>
    </w:pPr>
    <w:rPr>
      <w:rFonts w:eastAsia="宋体"/>
      <w:kern w:val="0"/>
      <w:sz w:val="24"/>
      <w:szCs w:val="20"/>
    </w:rPr>
  </w:style>
  <w:style w:type="character" w:customStyle="1" w:styleId="7">
    <w:name w:val="页眉 Char"/>
    <w:basedOn w:val="6"/>
    <w:link w:val="3"/>
    <w:autoRedefine/>
    <w:semiHidden/>
    <w:qFormat/>
    <w:uiPriority w:val="99"/>
    <w:rPr>
      <w:rFonts w:ascii="Times New Roman" w:hAnsi="Times New Roman" w:eastAsia="仿宋_GB2312" w:cs="Times New Roman"/>
      <w:sz w:val="18"/>
      <w:szCs w:val="18"/>
    </w:rPr>
  </w:style>
  <w:style w:type="character" w:customStyle="1" w:styleId="8">
    <w:name w:val="页脚 Char"/>
    <w:basedOn w:val="6"/>
    <w:link w:val="2"/>
    <w:autoRedefine/>
    <w:qFormat/>
    <w:uiPriority w:val="99"/>
    <w:rPr>
      <w:rFonts w:ascii="Times New Roman" w:hAnsi="Times New Roman" w:eastAsia="仿宋_GB2312" w:cs="Times New Roman"/>
      <w:sz w:val="18"/>
      <w:szCs w:val="18"/>
    </w:rPr>
  </w:style>
  <w:style w:type="paragraph" w:styleId="9">
    <w:name w:val="List Paragraph"/>
    <w:basedOn w:val="1"/>
    <w:autoRedefine/>
    <w:qFormat/>
    <w:uiPriority w:val="34"/>
    <w:pPr>
      <w:ind w:firstLine="420" w:firstLineChars="200"/>
    </w:pPr>
  </w:style>
  <w:style w:type="paragraph" w:customStyle="1" w:styleId="10">
    <w:name w:val="p0"/>
    <w:basedOn w:val="1"/>
    <w:uiPriority w:val="0"/>
    <w:pPr>
      <w:widowControl/>
      <w:spacing w:after="200" w:line="276" w:lineRule="auto"/>
    </w:pPr>
    <w:rPr>
      <w:rFonts w:eastAsia="宋体"/>
      <w:kern w:val="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808</Words>
  <Characters>4610</Characters>
  <Lines>38</Lines>
  <Paragraphs>10</Paragraphs>
  <TotalTime>75</TotalTime>
  <ScaleCrop>false</ScaleCrop>
  <LinksUpToDate>false</LinksUpToDate>
  <CharactersWithSpaces>5408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2018-01-22T09:03:00Z</dcterms:created>
  <dc:creator>Microsoft</dc:creator>
  <cp:lastModifiedBy>Administrator</cp:lastModifiedBy>
  <cp:lastPrinted>2018-02-26T03:10:00Z</cp:lastPrinted>
  <dcterms:modified xsi:type="dcterms:W3CDTF">2024-02-22T03:36:25Z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CDF010551E934F47B610247BF5572AFB_12</vt:lpwstr>
  </property>
</Properties>
</file>