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color w:val="auto"/>
          <w:sz w:val="36"/>
          <w:szCs w:val="36"/>
        </w:rPr>
      </w:pPr>
      <w:r>
        <w:rPr>
          <w:rFonts w:hint="eastAsia" w:ascii="方正小标宋_GBK" w:hAnsi="方正小标宋_GBK" w:eastAsia="方正小标宋_GBK" w:cs="方正小标宋_GBK"/>
          <w:color w:val="auto"/>
          <w:sz w:val="36"/>
          <w:szCs w:val="36"/>
        </w:rPr>
        <w:t>202</w:t>
      </w:r>
      <w:r>
        <w:rPr>
          <w:rFonts w:hint="eastAsia" w:ascii="方正小标宋_GBK" w:hAnsi="方正小标宋_GBK" w:eastAsia="方正小标宋_GBK" w:cs="方正小标宋_GBK"/>
          <w:color w:val="auto"/>
          <w:sz w:val="36"/>
          <w:szCs w:val="36"/>
          <w:lang w:val="en-US" w:eastAsia="zh-CN"/>
        </w:rPr>
        <w:t>2</w:t>
      </w:r>
      <w:r>
        <w:rPr>
          <w:rFonts w:hint="eastAsia" w:ascii="方正小标宋_GBK" w:hAnsi="方正小标宋_GBK" w:eastAsia="方正小标宋_GBK" w:cs="方正小标宋_GBK"/>
          <w:color w:val="auto"/>
          <w:sz w:val="36"/>
          <w:szCs w:val="36"/>
        </w:rPr>
        <w:t>年</w:t>
      </w:r>
      <w:bookmarkStart w:id="0" w:name="_GoBack"/>
      <w:bookmarkEnd w:id="0"/>
      <w:r>
        <w:rPr>
          <w:rFonts w:hint="eastAsia" w:ascii="方正小标宋_GBK" w:hAnsi="方正小标宋_GBK" w:eastAsia="方正小标宋_GBK" w:cs="方正小标宋_GBK"/>
          <w:color w:val="auto"/>
          <w:sz w:val="36"/>
          <w:szCs w:val="36"/>
        </w:rPr>
        <w:t>重大政策和重点项目等绩效目标说明</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方正仿宋_GBK" w:hAnsi="方正仿宋_GBK" w:eastAsia="方正仿宋_GBK" w:cs="方正仿宋_GBK"/>
          <w:color w:val="auto"/>
          <w:sz w:val="32"/>
          <w:szCs w:val="32"/>
        </w:rPr>
      </w:pPr>
    </w:p>
    <w:p>
      <w:pPr>
        <w:keepNext w:val="0"/>
        <w:keepLines w:val="0"/>
        <w:pageBreakBefore w:val="0"/>
        <w:widowControl w:val="0"/>
        <w:numPr>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一、红塔工业园区综合业务和产业发展项目专项补助资金4060万元，绩效目标说明：新开工亿元以上项目个数&gt;=个；标准厂房建设面积完成任务数&gt;=50000平方米；每年外出招商引资累计完成次数&gt;=100次；给予以奖代补资金累计完成补助入园企业户数&gt;=3户；红塔工业园区和园区建设投资公司组织实施的建设项目工程验收合格率=100%；项目开展时间为１年&lt;=2022-12-31年-月-日；招商引资完成任务数&gt;=231800万元；主营业务收入完成任务数&gt;=2890000万元；公共财政收入完成任务数&gt;=4919万元；工业增加值完成任务数&gt;=535000万元；固定资产投资完成任务数&gt;=150000万元；做大做强红塔工业园区建设投资公司资产规模&gt;=500000万元；园区建设投资公司融资规模&gt;=300000万元；红塔工业园区观音山片区、北城片区和大营街片区的入园企业对园区各项工作职能服务评价的满意程度=100%。</w:t>
      </w:r>
    </w:p>
    <w:p>
      <w:pPr>
        <w:keepNext w:val="0"/>
        <w:keepLines w:val="0"/>
        <w:pageBreakBefore w:val="0"/>
        <w:widowControl w:val="0"/>
        <w:numPr>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二、玉交集团棚户区改造项目（非税收入）补助资金1900万元，绩效目标说明：工程总量&gt;=94097.53平方米；安全事故发生率&lt;=0%；竣工验收合格率&gt;=100%；计划完工率&gt;=100%；计划开工率&gt;=100%；工期控制率&lt;=100%；改善居民生活环境=改善%；设计功能实现率&gt;=100%；使用年限=70年；受益人群满意度&gt;=99%。</w:t>
      </w:r>
    </w:p>
    <w:p>
      <w:pPr>
        <w:keepNext w:val="0"/>
        <w:keepLines w:val="0"/>
        <w:pageBreakBefore w:val="0"/>
        <w:widowControl w:val="0"/>
        <w:numPr>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三、乡（街道）集镇管护经费1320万元，绩效目标说明：乡（街道）市政设施管护=11个；道路清扫保洁=11个；人居环境整治=11个；考核达标率=100%；下水道清疏&lt;=2022年6月30日；提升乡街道人居环境=100%；群众满意度&gt;=70%。</w:t>
      </w:r>
    </w:p>
    <w:p>
      <w:pPr>
        <w:keepNext w:val="0"/>
        <w:keepLines w:val="0"/>
        <w:pageBreakBefore w:val="0"/>
        <w:widowControl w:val="0"/>
        <w:numPr>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四、城乡人居环境建管经费2000万元，绩效目标说明：桥梁安全检测=11座；市政设施管护&gt;=31798.42655平方米；下水道清疏=16000立方米；验收合格率=100%；项目实施时间&lt;=2022-12-31年-月-日；乡街道纳入人居环境整治&gt;=100%；群众满意度&gt;=90%。</w:t>
      </w:r>
    </w:p>
    <w:p>
      <w:pPr>
        <w:keepNext w:val="0"/>
        <w:keepLines w:val="0"/>
        <w:pageBreakBefore w:val="0"/>
        <w:widowControl w:val="0"/>
        <w:numPr>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五、红塔区中心城区道路清扫费、五险、慰问经费5000万元，绩效目标说明：环卫管护面积&gt;=5612199平方米（公里、亩）；管护的公厕个数&gt;=35座；洒水车、洗地车洒水、降尘、冲洗覆盖范围&gt;=5612199平方米（公里、亩）；城市环境卫生干净率&gt;95%；公厕、垃圾箱、垃圾分类亭、果皮箱设施完好率&gt;=95%；城市道路各种设施损坏及时维复率&gt;=95%；环卫管护案件处理时效&lt;=12小时；带动就业人数&gt;=1200人；环卫管护项目覆盖社区数=89个；环卫管护经费项目可持续影响年度&gt;=5年；市民满意度&gt;90%。</w:t>
      </w:r>
    </w:p>
    <w:p>
      <w:pPr>
        <w:keepNext w:val="0"/>
        <w:keepLines w:val="0"/>
        <w:pageBreakBefore w:val="0"/>
        <w:widowControl w:val="0"/>
        <w:numPr>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六、红塔区生活垃圾转运系统建设项目运营经费4000万元，绩效目标说明：日垃圾收集量&gt;=560吨；垃圾清运范围&gt;=5612199平方米（公里、亩）；清运垃圾箱点个数&gt;=2360个；生活垃圾日产日清率=100%；垃圾箱完好率&gt;=95%；垃圾清运案件处理时效&lt;=2小时；清运垃圾单价&lt;=220元/吨；带动就业人数&gt;=350人；生活垃圾收集转运覆盖社区数=89个；垃圾箱旁边地面卫生清洁率&gt;=95%；垃圾收集转运可持续影响年度&gt;=5年；服务对象满意度&gt;90%。</w:t>
      </w:r>
    </w:p>
    <w:p>
      <w:pPr>
        <w:keepNext w:val="0"/>
        <w:keepLines w:val="0"/>
        <w:pageBreakBefore w:val="0"/>
        <w:widowControl w:val="0"/>
        <w:numPr>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七、玉溪城区所属绿化管护经费2000万元，绩效目标说明：绿化管护人员=320人；绿化管护合同=22项；绿化管护面积&gt;=2043815平方米；绿化管护投入洒水车&gt;=20辆；绿化管护投入设备（绿篱机及油锯）&gt;=80台；绿化管护投入剪草机=27台；绿化管护合格率&gt;=95%；绿化管护费支付金额&lt;20000000.00元；受益人群覆盖率=95%；解决就业岗位&gt;=320人；吸收二氧化碳数量&gt;=209304吨；氧气产生量绿化管护区乔木株年数释放氧气吨数=114162吨；项目持续发挥作用期限&gt;5年；群众满意度&gt;=95%。</w:t>
      </w:r>
    </w:p>
    <w:p>
      <w:pPr>
        <w:keepNext w:val="0"/>
        <w:keepLines w:val="0"/>
        <w:pageBreakBefore w:val="0"/>
        <w:widowControl w:val="0"/>
        <w:numPr>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八、生活垃圾处置经费2100万元，绩效目标说明：日处理生活垃圾量&gt;=550吨；年垃圾处理天数&gt;=333天；生活垃圾有效计量准确率=100%；项目开展时间=12月；垃圾处理单价=96吨；生活垃圾无害化、减量化、资源化=加强%；生活垃圾环境污染监测防治处理=100%；项目运营期=30年；服务对象满意度&gt;=90%。</w:t>
      </w:r>
    </w:p>
    <w:p>
      <w:pPr>
        <w:keepNext w:val="0"/>
        <w:keepLines w:val="0"/>
        <w:pageBreakBefore w:val="0"/>
        <w:widowControl w:val="0"/>
        <w:numPr>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九、村（社区）工作者基础工资及村（居）民小组工作人员生活补贴经费9503.06万元，绩效目标说明：发放村（社区）工资工资人数&lt;=1229人次；发放村（居）民小组工作人员生活补贴人数&lt;=2100人次；购买村（社区）工作者保险人数&lt;=1229人次；购买村（居）民小组工作人员人数&lt;=2100人次；资金到位后发放及时率=100%；村（社区）工作者及小组干部购买意外伤害保险经费=200元/人/年；村（社区）工作者基础工资&lt;=3255元/月；村（社区）工作者绩效奖励&lt;=976.5元/月；村（社区）工作者社会保险定额补助=800元/月；极大调动了社区工作者的积极性&gt;=90%；受益对象满意度&gt;=85%。</w:t>
      </w:r>
    </w:p>
    <w:p>
      <w:pPr>
        <w:keepNext w:val="0"/>
        <w:keepLines w:val="0"/>
        <w:pageBreakBefore w:val="0"/>
        <w:widowControl w:val="0"/>
        <w:numPr>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十、警务辅助人员经费3212.64万元，绩效目标说明：支付工资人数&gt;=858人；采购警服数量&gt;=2574人；警服验收合格率=100%；每月20日前及时支付工资&lt;=20天；维护社会稳定发展=提升%；警务辅助人员满意度&gt;=95%。</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方正仿宋_GBK" w:hAnsi="方正仿宋_GBK" w:eastAsia="方正仿宋_GBK" w:cs="方正仿宋_GBK"/>
          <w:color w:val="auto"/>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方正仿宋_GBK" w:hAnsi="方正仿宋_GBK" w:eastAsia="方正仿宋_GBK" w:cs="方正仿宋_GBK"/>
          <w:color w:val="auto"/>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760" w:firstLineChars="18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红塔区财政局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440" w:firstLineChars="1700"/>
        <w:jc w:val="left"/>
        <w:textAlignment w:val="auto"/>
        <w:rPr>
          <w:rFonts w:hint="eastAsia" w:ascii="方正仿宋_GBK" w:hAnsi="方正仿宋_GBK" w:eastAsia="方正仿宋_GBK" w:cs="方正仿宋_GBK"/>
          <w:color w:val="auto"/>
          <w:sz w:val="32"/>
          <w:szCs w:val="32"/>
          <w:lang w:eastAsia="zh-CN"/>
        </w:rPr>
      </w:pPr>
      <w:r>
        <w:rPr>
          <w:rFonts w:hint="eastAsia" w:ascii="仿宋_GB2312" w:hAnsi="仿宋_GB2312" w:eastAsia="仿宋_GB2312" w:cs="仿宋_GB2312"/>
          <w:color w:val="auto"/>
          <w:sz w:val="32"/>
          <w:szCs w:val="32"/>
          <w:lang w:val="en-US" w:eastAsia="zh-CN"/>
        </w:rPr>
        <w:t>2021年1月25日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楷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5D3D94"/>
    <w:rsid w:val="00466F74"/>
    <w:rsid w:val="0A1C4135"/>
    <w:rsid w:val="321636A8"/>
    <w:rsid w:val="3452363C"/>
    <w:rsid w:val="34FF27C5"/>
    <w:rsid w:val="46A9087D"/>
    <w:rsid w:val="47471D77"/>
    <w:rsid w:val="4C7D2716"/>
    <w:rsid w:val="57D877E3"/>
    <w:rsid w:val="585D3D94"/>
    <w:rsid w:val="5B0D6A7B"/>
    <w:rsid w:val="61A96DC7"/>
    <w:rsid w:val="62D832A4"/>
    <w:rsid w:val="7DB43432"/>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玉溪市红塔区党政机关单位</Company>
  <Pages>1</Pages>
  <Words>0</Words>
  <Characters>0</Characters>
  <Lines>0</Lines>
  <Paragraphs>0</Paragraphs>
  <ScaleCrop>false</ScaleCrop>
  <LinksUpToDate>false</LinksUpToDate>
  <CharactersWithSpaces>0</CharactersWithSpaces>
  <Application>WPS Office_10.8.0.5950_F1E327BC-269C-435d-A152-05C5408002CA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2021-02-05T02:35:00Z</dcterms:created>
  <dc:creator>pxp</dc:creator>
  <cp:lastModifiedBy>pxp</cp:lastModifiedBy>
  <dcterms:modified xsi:type="dcterms:W3CDTF">2022-01-26T03:12:26Z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2052-10.8.0.5950</vt:lpwstr>
  </property>
</Properties>
</file>