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关于202</w:t>
      </w:r>
      <w:r>
        <w:rPr>
          <w:rFonts w:hint="eastAsia" w:ascii="方正小标宋_GBK" w:hAnsi="方正小标宋_GBK" w:eastAsia="方正小标宋_GBK" w:cs="方正小标宋_GBK"/>
          <w:sz w:val="44"/>
          <w:szCs w:val="44"/>
          <w:lang w:val="en-US" w:eastAsia="zh-CN"/>
        </w:rPr>
        <w:t>2</w:t>
      </w:r>
      <w:r>
        <w:rPr>
          <w:rFonts w:hint="eastAsia" w:ascii="方正小标宋_GBK" w:hAnsi="方正小标宋_GBK" w:eastAsia="方正小标宋_GBK" w:cs="方正小标宋_GBK"/>
          <w:sz w:val="44"/>
          <w:szCs w:val="44"/>
        </w:rPr>
        <w:t>年度转移支付预算安排情况说明</w:t>
      </w:r>
    </w:p>
    <w:p>
      <w:pPr>
        <w:rPr>
          <w:rFonts w:hint="eastAsia" w:ascii="方正仿宋_GBK" w:hAnsi="方正仿宋_GBK" w:eastAsia="方正仿宋_GBK" w:cs="方正仿宋_GBK"/>
          <w:sz w:val="32"/>
          <w:szCs w:val="32"/>
        </w:rPr>
      </w:pPr>
      <w:bookmarkStart w:id="0" w:name="_GoBack"/>
    </w:p>
    <w:bookmarkEnd w:id="0"/>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现将202</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年度转移支付预算安排情况说明如下：</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1.根据全省统一的一体化系统，乡（街道）资金在支付中作为县区本级资金支付，故无对下转移支付支出。</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2.202</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年中央、省提前下达县红塔区区一般性转移支付</w:t>
      </w:r>
      <w:r>
        <w:rPr>
          <w:rFonts w:hint="eastAsia" w:ascii="方正仿宋_GBK" w:hAnsi="方正仿宋_GBK" w:eastAsia="方正仿宋_GBK" w:cs="方正仿宋_GBK"/>
          <w:sz w:val="32"/>
          <w:szCs w:val="32"/>
          <w:lang w:val="en-US" w:eastAsia="zh-CN"/>
        </w:rPr>
        <w:t>51,974</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w:t>
      </w:r>
      <w:r>
        <w:rPr>
          <w:rFonts w:hint="eastAsia" w:ascii="Times New Roman" w:hAnsi="Times New Roman" w:eastAsia="方正仿宋_GBK"/>
          <w:sz w:val="32"/>
          <w:szCs w:val="32"/>
          <w:lang w:eastAsia="zh-CN"/>
        </w:rPr>
        <w:t>根据</w:t>
      </w:r>
      <w:r>
        <w:rPr>
          <w:rFonts w:ascii="Times New Roman" w:hAnsi="Times New Roman" w:eastAsia="方正仿宋_GBK"/>
          <w:sz w:val="32"/>
          <w:szCs w:val="32"/>
        </w:rPr>
        <w:t>《关于进一步深化预算管理制度改革的意见》（国发</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2021﹞</w:t>
      </w:r>
      <w:r>
        <w:rPr>
          <w:rFonts w:ascii="Times New Roman" w:hAnsi="Times New Roman" w:eastAsia="方正仿宋_GBK"/>
          <w:sz w:val="32"/>
          <w:szCs w:val="32"/>
        </w:rPr>
        <w:t>5号）</w:t>
      </w:r>
      <w:r>
        <w:rPr>
          <w:rFonts w:hint="eastAsia" w:ascii="Times New Roman" w:hAnsi="Times New Roman" w:eastAsia="方正仿宋_GBK"/>
          <w:sz w:val="32"/>
          <w:szCs w:val="32"/>
        </w:rPr>
        <w:t>文件</w:t>
      </w:r>
      <w:r>
        <w:rPr>
          <w:rFonts w:hint="eastAsia" w:ascii="Times New Roman" w:hAnsi="Times New Roman" w:eastAsia="方正仿宋_GBK"/>
          <w:sz w:val="32"/>
          <w:szCs w:val="32"/>
          <w:lang w:eastAsia="zh-CN"/>
        </w:rPr>
        <w:t>精神，</w:t>
      </w:r>
      <w:r>
        <w:rPr>
          <w:rFonts w:ascii="Times New Roman" w:hAnsi="Times New Roman" w:eastAsia="方正仿宋_GBK"/>
          <w:sz w:val="32"/>
          <w:szCs w:val="32"/>
        </w:rPr>
        <w:t>下级政府应当严格按照提前下达</w:t>
      </w:r>
      <w:r>
        <w:rPr>
          <w:rFonts w:hint="eastAsia" w:ascii="Times New Roman" w:hAnsi="Times New Roman" w:eastAsia="方正仿宋_GBK"/>
          <w:sz w:val="32"/>
          <w:szCs w:val="32"/>
          <w:lang w:eastAsia="zh-CN"/>
        </w:rPr>
        <w:t>转移支付</w:t>
      </w:r>
      <w:r>
        <w:rPr>
          <w:rFonts w:ascii="Times New Roman" w:hAnsi="Times New Roman" w:eastAsia="方正仿宋_GBK"/>
          <w:sz w:val="32"/>
          <w:szCs w:val="32"/>
        </w:rPr>
        <w:t>数如实编制预算，</w:t>
      </w:r>
      <w:r>
        <w:rPr>
          <w:rFonts w:hint="eastAsia" w:ascii="Times New Roman" w:hAnsi="Times New Roman" w:eastAsia="方正仿宋_GBK"/>
          <w:sz w:val="32"/>
          <w:szCs w:val="32"/>
          <w:lang w:eastAsia="zh-CN"/>
        </w:rPr>
        <w:t>由于草案编制时，全区尚未收到上级</w:t>
      </w:r>
      <w:r>
        <w:rPr>
          <w:rFonts w:ascii="Times New Roman" w:hAnsi="Times New Roman" w:eastAsia="方正仿宋_GBK"/>
          <w:sz w:val="32"/>
          <w:szCs w:val="32"/>
        </w:rPr>
        <w:t>提前下达</w:t>
      </w:r>
      <w:r>
        <w:rPr>
          <w:rFonts w:hint="eastAsia" w:ascii="Times New Roman" w:hAnsi="Times New Roman" w:eastAsia="方正仿宋_GBK"/>
          <w:sz w:val="32"/>
          <w:szCs w:val="32"/>
          <w:lang w:eastAsia="zh-CN"/>
        </w:rPr>
        <w:t>的转移支付，故仅按照上年执行数将上级下达的财力性转移支付列入预算，</w:t>
      </w:r>
      <w:r>
        <w:rPr>
          <w:rFonts w:hint="eastAsia" w:ascii="方正仿宋_GBK" w:hAnsi="方正仿宋_GBK" w:eastAsia="方正仿宋_GBK" w:cs="方正仿宋_GBK"/>
          <w:sz w:val="32"/>
          <w:szCs w:val="32"/>
        </w:rPr>
        <w:t>其中：返还性收入15585万元；一般性转移支付补助收入</w:t>
      </w:r>
      <w:r>
        <w:rPr>
          <w:rFonts w:hint="eastAsia" w:ascii="方正仿宋_GBK" w:hAnsi="方正仿宋_GBK" w:eastAsia="方正仿宋_GBK" w:cs="方正仿宋_GBK"/>
          <w:sz w:val="32"/>
          <w:szCs w:val="32"/>
          <w:lang w:val="en-US" w:eastAsia="zh-CN"/>
        </w:rPr>
        <w:t>47972</w:t>
      </w:r>
      <w:r>
        <w:rPr>
          <w:rFonts w:hint="eastAsia" w:ascii="方正仿宋_GBK" w:hAnsi="方正仿宋_GBK" w:eastAsia="方正仿宋_GBK" w:cs="方正仿宋_GBK"/>
          <w:sz w:val="32"/>
          <w:szCs w:val="32"/>
        </w:rPr>
        <w:t>万元。</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使用情况：返还性收入和一般性转移支付补助收入中的财力性部分主要用于人员供养支出、部门（单位）和乡街道正常运转支出、民生支出。一般性转移支付补助收入中的共同财权事权支出及专项转移支付补助收入根据上级下达专项用途安排支出。</w:t>
      </w: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玉溪市红塔区财政局 </w:t>
      </w:r>
    </w:p>
    <w:p>
      <w:pPr>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25</w:t>
      </w:r>
      <w:r>
        <w:rPr>
          <w:rFonts w:hint="eastAsia" w:ascii="方正仿宋_GBK" w:hAnsi="方正仿宋_GBK" w:eastAsia="方正仿宋_GBK" w:cs="方正仿宋_GBK"/>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黑体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10022FF" w:usb1="C000E47F" w:usb2="00000029" w:usb3="00000000" w:csb0="200001DF" w:csb1="20000000"/>
  </w:font>
  <w:font w:name="Times">
    <w:altName w:val="Times New Roman"/>
    <w:panose1 w:val="02020603050405020304"/>
    <w:charset w:val="00"/>
    <w:family w:val="roman"/>
    <w:pitch w:val="default"/>
    <w:sig w:usb0="00000000" w:usb1="00000000" w:usb2="00000009" w:usb3="00000000" w:csb0="0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方正中等线_GBK">
    <w:panose1 w:val="03000509000000000000"/>
    <w:charset w:val="86"/>
    <w:family w:val="auto"/>
    <w:pitch w:val="default"/>
    <w:sig w:usb0="00000001" w:usb1="080E0000" w:usb2="00000000" w:usb3="00000000" w:csb0="00040000" w:csb1="00000000"/>
  </w:font>
  <w:font w:name="方正幼线_GBK">
    <w:panose1 w:val="03000509000000000000"/>
    <w:charset w:val="86"/>
    <w:family w:val="auto"/>
    <w:pitch w:val="default"/>
    <w:sig w:usb0="00000001" w:usb1="080E0000" w:usb2="00000000" w:usb3="00000000" w:csb0="00040000" w:csb1="00000000"/>
  </w:font>
  <w:font w:name="方正中等线简体">
    <w:panose1 w:val="02010601030101010101"/>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书宋繁体">
    <w:panose1 w:val="02010601030101010101"/>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卡通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大标宋繁体">
    <w:panose1 w:val="02010601030101010101"/>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方正姚体_GBK">
    <w:panose1 w:val="03000509000000000000"/>
    <w:charset w:val="86"/>
    <w:family w:val="auto"/>
    <w:pitch w:val="default"/>
    <w:sig w:usb0="00000001" w:usb1="080E0000" w:usb2="00000000" w:usb3="00000000" w:csb0="00040000" w:csb1="00000000"/>
  </w:font>
  <w:font w:name="方正小标宋繁体">
    <w:panose1 w:val="02010601030101010101"/>
    <w:charset w:val="86"/>
    <w:family w:val="auto"/>
    <w:pitch w:val="default"/>
    <w:sig w:usb0="00000001" w:usb1="080E0000" w:usb2="00000000" w:usb3="00000000" w:csb0="00040000" w:csb1="00000000"/>
  </w:font>
  <w:font w:name="方正新报宋_GBK">
    <w:panose1 w:val="03000509000000000000"/>
    <w:charset w:val="86"/>
    <w:family w:val="auto"/>
    <w:pitch w:val="default"/>
    <w:sig w:usb0="00000001" w:usb1="080E0000" w:usb2="00000000" w:usb3="00000000" w:csb0="00040000" w:csb1="00000000"/>
  </w:font>
  <w:font w:name="方正新书宋繁体">
    <w:panose1 w:val="02010601030101010101"/>
    <w:charset w:val="86"/>
    <w:family w:val="auto"/>
    <w:pitch w:val="default"/>
    <w:sig w:usb0="00000001" w:usb1="080E0000" w:usb2="00000000" w:usb3="00000000" w:csb0="00040000" w:csb1="00000000"/>
  </w:font>
  <w:font w:name="方正报宋繁体">
    <w:panose1 w:val="02010601030101010101"/>
    <w:charset w:val="86"/>
    <w:family w:val="auto"/>
    <w:pitch w:val="default"/>
    <w:sig w:usb0="00000001" w:usb1="080E0000" w:usb2="00000000" w:usb3="00000000" w:csb0="00040000" w:csb1="00000000"/>
  </w:font>
  <w:font w:name="方正报宋简体">
    <w:panose1 w:val="02010601030101010101"/>
    <w:charset w:val="86"/>
    <w:family w:val="auto"/>
    <w:pitch w:val="default"/>
    <w:sig w:usb0="00000001" w:usb1="080E0000" w:usb2="00000000" w:usb3="00000000" w:csb0="00040000" w:csb1="00000000"/>
  </w:font>
  <w:font w:name="方正报宋_GBK">
    <w:panose1 w:val="03000509000000000000"/>
    <w:charset w:val="86"/>
    <w:family w:val="auto"/>
    <w:pitch w:val="default"/>
    <w:sig w:usb0="00000001" w:usb1="080E0000" w:usb2="00000000" w:usb3="00000000" w:csb0="00040000" w:csb1="00000000"/>
  </w:font>
  <w:font w:name="方正彩云繁体">
    <w:panose1 w:val="03000509000000000000"/>
    <w:charset w:val="86"/>
    <w:family w:val="auto"/>
    <w:pitch w:val="default"/>
    <w:sig w:usb0="00000001" w:usb1="080E0000" w:usb2="00000000" w:usb3="00000000" w:csb0="00040000" w:csb1="00000000"/>
  </w:font>
  <w:font w:name="方正彩云简体">
    <w:panose1 w:val="02010601030101010101"/>
    <w:charset w:val="86"/>
    <w:family w:val="auto"/>
    <w:pitch w:val="default"/>
    <w:sig w:usb0="00000001" w:usb1="080E0000" w:usb2="00000000" w:usb3="00000000" w:csb0="00040000" w:csb1="00000000"/>
  </w:font>
  <w:font w:name="方正彩云_GBK">
    <w:panose1 w:val="03000509000000000000"/>
    <w:charset w:val="86"/>
    <w:family w:val="auto"/>
    <w:pitch w:val="default"/>
    <w:sig w:usb0="00000001" w:usb1="080E0000" w:usb2="00000000" w:usb3="00000000" w:csb0="00040000" w:csb1="00000000"/>
  </w:font>
  <w:font w:name="方正康体繁体">
    <w:panose1 w:val="02010601030101010101"/>
    <w:charset w:val="86"/>
    <w:family w:val="auto"/>
    <w:pitch w:val="default"/>
    <w:sig w:usb0="00000001" w:usb1="080E0000" w:usb2="00000000" w:usb3="00000000" w:csb0="00040000" w:csb1="00000000"/>
  </w:font>
  <w:font w:name="方正康体简体">
    <w:panose1 w:val="02010601030101010101"/>
    <w:charset w:val="86"/>
    <w:family w:val="auto"/>
    <w:pitch w:val="default"/>
    <w:sig w:usb0="00000001" w:usb1="080E0000" w:usb2="00000000" w:usb3="00000000" w:csb0="00040000" w:csb1="00000000"/>
  </w:font>
  <w:font w:name="方正康体_GBK">
    <w:panose1 w:val="03000509000000000000"/>
    <w:charset w:val="86"/>
    <w:family w:val="auto"/>
    <w:pitch w:val="default"/>
    <w:sig w:usb0="00000001" w:usb1="080E0000" w:usb2="00000000" w:usb3="00000000" w:csb0="00040000" w:csb1="00000000"/>
  </w:font>
  <w:font w:name="方正幼线繁体">
    <w:panose1 w:val="02010601030101010101"/>
    <w:charset w:val="86"/>
    <w:family w:val="auto"/>
    <w:pitch w:val="default"/>
    <w:sig w:usb0="00000001" w:usb1="080E0000" w:usb2="00000000" w:usb3="00000000" w:csb0="00040000" w:csb1="00000000"/>
  </w:font>
  <w:font w:name="方正黄草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黑体繁体">
    <w:panose1 w:val="02010601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仿宋繁体">
    <w:panose1 w:val="02010601030101010101"/>
    <w:charset w:val="86"/>
    <w:family w:val="auto"/>
    <w:pitch w:val="default"/>
    <w:sig w:usb0="00000001" w:usb1="080E0000" w:usb2="00000000" w:usb3="00000000" w:csb0="00040000" w:csb1="00000000"/>
  </w:font>
  <w:font w:name="方正楷体繁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MT Extra">
    <w:panose1 w:val="05050102010205020202"/>
    <w:charset w:val="00"/>
    <w:family w:val="auto"/>
    <w:pitch w:val="default"/>
    <w:sig w:usb0="80000000" w:usb1="00000000" w:usb2="00000000" w:usb3="00000000" w:csb0="00000000" w:csb1="00000000"/>
  </w:font>
  <w:font w:name="Segoe UI Symbol">
    <w:panose1 w:val="020B0502040204020203"/>
    <w:charset w:val="00"/>
    <w:family w:val="auto"/>
    <w:pitch w:val="default"/>
    <w:sig w:usb0="8000006F" w:usb1="1200FBEF" w:usb2="0064C000" w:usb3="00000002" w:csb0="00000001" w:csb1="40000000"/>
  </w:font>
  <w:font w:name="Batang">
    <w:panose1 w:val="02030600000101010101"/>
    <w:charset w:val="81"/>
    <w:family w:val="auto"/>
    <w:pitch w:val="default"/>
    <w:sig w:usb0="B00002AF" w:usb1="69D77CFB" w:usb2="00000030" w:usb3="00000000" w:csb0="4008009F" w:csb1="DFD70000"/>
  </w:font>
  <w:font w:name="MingLiU">
    <w:panose1 w:val="02020509000000000000"/>
    <w:charset w:val="88"/>
    <w:family w:val="modern"/>
    <w:pitch w:val="default"/>
    <w:sig w:usb0="A00002FF" w:usb1="28CFFCFA" w:usb2="00000016" w:usb3="00000000" w:csb0="00100001" w:csb1="00000000"/>
  </w:font>
  <w:font w:name="等线">
    <w:altName w:val="微软雅黑"/>
    <w:panose1 w:val="00000000000000000000"/>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274554"/>
    <w:rsid w:val="7927455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玉溪市红塔区党政机关单位</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2022-01-26T03:14:00Z</dcterms:created>
  <dc:creator>pxp</dc:creator>
  <cp:lastModifiedBy>pxp</cp:lastModifiedBy>
  <dcterms:modified xsi:type="dcterms:W3CDTF">2022-01-26T03:23:37Z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