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红塔区医疗保障局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widowControl w:val="0"/>
        <w:spacing w:line="590" w:lineRule="exact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中华人民共和国政府信息公开条例》（以下简称《条例》）规定编制年度报告。本报告主要由政府信息公开工作总体情况、主动公开政府信息情况、收到和处理政府信息公开申请情况、政府信息公开行政复议和行政诉讼情况、存在的主要问题和需要改进情况、其他需要报告事项等六部分组成。本报告所列数据的统计时限为2022年1月1日至2022年12月31日。如对本报告有疑问和意见，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红塔区医疗保障局办公室联系（地址：玉溪市红塔区凯恒综合楼，抚仙路14号，电话：0877-2069012，邮箱：htqylbzj@126.com）。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按照政务公开的相关要求红塔区医疗保障局认真开展政务公开工作，不断夯实规范公开基础，提升公开质量。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（一）主动公开方面。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年内共在玉溪市人民政府网公开各类信息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56条：其中包含信息公开指南、制度、目录5条，政府信息公开年度报告1条，通知公告信息6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条，政府文件信息2条，医保工作及相关会议信息37条，单位预决算公开信息5条。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（二）依申请公开方面。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不存在行政事业性收费不涉及相关收费目录公开，年内无申请公开情况，政府依申请公开工作不涉及。因医疗保障局涉及系统政策多为执行上级下发政策，无自行制定医保政策的权利，所以年内不涉及政策文件解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（三）政府信息管理方面。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成立红塔区医疗保障局政府信息公开管理领导小组，明确由办公室专门负责政府信息公开管理工作，专人负责此项工作。按照时间要求、内容要求及时信息发布工作，对于新申请协议管理的定点医药机构条件、拟通过的定点医药机构等，及时在网站进行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（四）政府信息公开平台建设方面。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由专人进行网站的维护管理。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（五）监督保障方面。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信息发布按照三审三校及保密审查的要求，严格审查后方可进行发布。对于区政府政务公开群通知的错敏信息，及时进行修改完善。年底积极完成考核工作。</w:t>
      </w:r>
    </w:p>
    <w:p>
      <w:pPr>
        <w:widowControl w:val="0"/>
        <w:spacing w:line="59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二、主动公开政府信息情况</w:t>
      </w:r>
    </w:p>
    <w:p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收到和处理政府信息公开申请情况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tbl>
      <w:tblPr>
        <w:tblStyle w:val="7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政府信息公开行政复议、行政诉讼情况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tbl>
      <w:tblPr>
        <w:tblStyle w:val="7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结果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尚未</w:t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lang w:bidi="ar"/>
              </w:rPr>
              <w:t> 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0"/>
        </w:rPr>
      </w:pPr>
      <w:r>
        <w:rPr>
          <w:rFonts w:hint="default" w:ascii="Times New Roman" w:hAnsi="Times New Roman" w:eastAsia="方正楷体_GBK" w:cs="Times New Roman"/>
          <w:sz w:val="32"/>
          <w:szCs w:val="30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一是公开的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效性有待加强；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二是公开的内容需要进一步丰富；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三是政府信息公开平台的运营维护能力较弱。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0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0"/>
        </w:rPr>
        <w:t>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0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0"/>
          <w:lang w:eastAsia="zh-CN"/>
        </w:rPr>
        <w:t>进一步调动干部职工撰写信息的积极性，丰富信息公布的广度、深度。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2.提高时效性，对于新的</w:t>
      </w:r>
      <w:r>
        <w:rPr>
          <w:rFonts w:hint="default" w:ascii="Times New Roman" w:hAnsi="Times New Roman" w:eastAsia="方正仿宋_GBK" w:cs="Times New Roman"/>
          <w:sz w:val="32"/>
          <w:szCs w:val="30"/>
          <w:lang w:eastAsia="zh-CN"/>
        </w:rPr>
        <w:t>医保政策调整、通知公告，第一时间进行公布</w:t>
      </w:r>
      <w:r>
        <w:rPr>
          <w:rFonts w:hint="default" w:ascii="Times New Roman" w:hAnsi="Times New Roman" w:eastAsia="方正仿宋_GBK" w:cs="Times New Roman"/>
          <w:sz w:val="32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0"/>
          <w:lang w:eastAsia="zh-CN"/>
        </w:rPr>
        <w:t>强化政府信息公开平台运营维护能力，尽可能调整计算机专业的人员进行管理。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2022年度未收取政府信息公开信息处理费。</w:t>
      </w:r>
      <w:r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0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红塔区医疗保障局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2023年1月16日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14" w:right="1531" w:bottom="1304" w:left="1531" w:header="136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02CD"/>
    <w:multiLevelType w:val="singleLevel"/>
    <w:tmpl w:val="0E1F02C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53C74"/>
    <w:rsid w:val="00320E61"/>
    <w:rsid w:val="01E17FD0"/>
    <w:rsid w:val="02C063A0"/>
    <w:rsid w:val="06A9238D"/>
    <w:rsid w:val="07F02DED"/>
    <w:rsid w:val="09002E4D"/>
    <w:rsid w:val="098B5461"/>
    <w:rsid w:val="099648B3"/>
    <w:rsid w:val="0A0575B5"/>
    <w:rsid w:val="16A71A4E"/>
    <w:rsid w:val="17723089"/>
    <w:rsid w:val="18F24E7C"/>
    <w:rsid w:val="1E492D2C"/>
    <w:rsid w:val="22D54741"/>
    <w:rsid w:val="233F08EF"/>
    <w:rsid w:val="26FC04D6"/>
    <w:rsid w:val="2A253C74"/>
    <w:rsid w:val="302706E2"/>
    <w:rsid w:val="309A0631"/>
    <w:rsid w:val="34A76E69"/>
    <w:rsid w:val="37573624"/>
    <w:rsid w:val="3A501327"/>
    <w:rsid w:val="3C146358"/>
    <w:rsid w:val="3CE67199"/>
    <w:rsid w:val="43E60919"/>
    <w:rsid w:val="441B4570"/>
    <w:rsid w:val="44E85FDB"/>
    <w:rsid w:val="4750547A"/>
    <w:rsid w:val="47F71266"/>
    <w:rsid w:val="493455FE"/>
    <w:rsid w:val="49540FE1"/>
    <w:rsid w:val="4A5872AF"/>
    <w:rsid w:val="50B74138"/>
    <w:rsid w:val="521F1A42"/>
    <w:rsid w:val="529F2227"/>
    <w:rsid w:val="56C415C7"/>
    <w:rsid w:val="59212D9B"/>
    <w:rsid w:val="59332E15"/>
    <w:rsid w:val="5A01230C"/>
    <w:rsid w:val="5A8B1141"/>
    <w:rsid w:val="5C5920DD"/>
    <w:rsid w:val="5E8271F5"/>
    <w:rsid w:val="60B56D75"/>
    <w:rsid w:val="66381C53"/>
    <w:rsid w:val="66CF7C8F"/>
    <w:rsid w:val="68591FB9"/>
    <w:rsid w:val="6A1C2EBE"/>
    <w:rsid w:val="6A5258D1"/>
    <w:rsid w:val="711B19FA"/>
    <w:rsid w:val="73767AFA"/>
    <w:rsid w:val="77721DA3"/>
    <w:rsid w:val="78257CDD"/>
    <w:rsid w:val="7A8F44C7"/>
    <w:rsid w:val="7C545DD1"/>
    <w:rsid w:val="7E0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2022-01-26T02:01:00Z</dcterms:created>
  <dc:creator>凌霄</dc:creator>
  <cp:lastModifiedBy>Administrator</cp:lastModifiedBy>
  <dcterms:modified xsi:type="dcterms:W3CDTF">2023-08-24T07:35:34Z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