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玉溪市红塔区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发展和改革局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关于召开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红塔区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  <w:t>公办幼儿园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保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eastAsia="zh-CN"/>
        </w:rPr>
        <w:t>育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教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eastAsia="zh-CN"/>
        </w:rPr>
        <w:t>育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</w:rPr>
        <w:t>费收费标准调整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听证会的公告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号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raditional Arabic" w:hAnsi="Traditional Arabic" w:eastAsia="仿宋_GB2312" w:cs="Traditional Arabic"/>
          <w:color w:val="auto"/>
          <w:sz w:val="32"/>
          <w:szCs w:val="32"/>
        </w:rPr>
      </w:pPr>
      <w:r>
        <w:rPr>
          <w:rFonts w:ascii="Traditional Arabic" w:hAnsi="Traditional Arabic" w:eastAsia="仿宋_GB2312" w:cs="Traditional Arabic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3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费收费标准调整方案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kern w:val="0"/>
          <w:sz w:val="32"/>
          <w:szCs w:val="32"/>
        </w:rPr>
        <w:t>已经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0"/>
          <w:sz w:val="32"/>
          <w:szCs w:val="32"/>
          <w:lang w:eastAsia="zh-CN"/>
        </w:rPr>
        <w:t>司法局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kern w:val="0"/>
          <w:sz w:val="32"/>
          <w:szCs w:val="32"/>
        </w:rPr>
        <w:t>审查，根据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《玉溪市重大决策听证制度实施细则（试行）》，现将听证报告予以公布。需要了解听证会其他有关情况的，可以与该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起草单位联系。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公办幼儿园保教费收费标准调整方案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kern w:val="0"/>
          <w:sz w:val="32"/>
          <w:szCs w:val="32"/>
        </w:rPr>
        <w:t>》听证报告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玉溪市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红塔区发展和改革局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none"/>
          <w:lang w:val="en-US" w:eastAsia="zh-CN"/>
        </w:rPr>
        <w:t>红塔区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公办幼儿园保教费收费标准调整方案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听证报告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为规范政府制定价格行为，提高政府制定价格的科学性、公正性和透明度,切实保护消费者和经营者的合法权益，根据《中华人民共和国价格法》、《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auto"/>
        </w:rPr>
        <w:t>玉溪市红塔区人民政府重大决策听证制度实施细则（试行）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》等有关法律、法规规定，2022年5月24日8:30—11:00在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区发展和改革局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709会议室，召开《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费收费标准调整方案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听证会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》，对《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费收费标准调整方案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》举行公开听证，充分听取社会各方面的意见和建议。现将听证会情况报告如下：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szCs w:val="32"/>
        </w:rPr>
        <w:t>听证的事由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根据《中华人民共和国价格法》、《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玉溪市红塔区人民政府重大决策听证制度实施细则（试行）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》等有关法律、法规规定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区发展和改革局、区财政局、区教体局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zh-CN"/>
        </w:rPr>
        <w:t>对《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费收费标准调整方案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zh-CN"/>
        </w:rPr>
        <w:t>》进行听证。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二、会议前期准备工作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（一）发布1号公告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《玉溪市红塔区人民政府重大决策听证制度实施细则（试行）》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规定，区发展和改革局于2022年4月20日，在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发展和改革局公开网站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发布听证会公告（第1号），公布了听证事项、听证会时间和地点、听证会参加人产生方式和名额、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报名时间、方式和要求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等，向社会公开征集听证会参加人。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（二）确定听证会参加人员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日前，按照程序确定了听证主持人1名、决策发言人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听证人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，含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听证主持人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名、听证代表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名，并将《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公办幼儿园保教费收费标准调整方案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》及相关材料在听证会举行3日前送达听证代表。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本次听证会通过自愿报名、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区发展和改革局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邀请等方式产生听证代表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名，包括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幼儿家长、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代表、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政协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经济领域专家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、法律工作者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政府有关部门和其他人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；旁听人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。邀请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  <w:lang w:eastAsia="zh-CN"/>
        </w:rPr>
        <w:t>纪委监委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司法局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2名同志担任听证监察人；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区发展和改革局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2名同志担任听证记录人。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（三） 发布第2号公告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5月9日，在云南省人民政府重大决策听证公开网站发布听证会公告（第2号），公布了听证会时间和地点、听证会有关人员名单，包括：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听证主持人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听证人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听证代表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听证监察人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（四）准备材料和会场布置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日前，起草了听证主持人、决策发言人使用的材料和会场发放的材料；完成了会场布置的各项工作。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szCs w:val="32"/>
        </w:rPr>
        <w:t>三、听证会举行情况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（一）听证会的时间、地点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0—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：00，听证会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在区发改局709会议室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举行。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（二）听证会的参加人员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听证主持人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>夏恩来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听证人（决策发言人）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>夏恩来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8" w:leftChars="304" w:hanging="120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 xml:space="preserve">毅杰   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何双强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  <w:lang w:eastAsia="zh-CN"/>
        </w:rPr>
        <w:t>价格收费管理和调控监测股股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万忠林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  <w:lang w:eastAsia="zh-CN"/>
        </w:rPr>
        <w:t>价格收费管理和调控监测股干部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38" w:leftChars="304" w:hanging="120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李红珍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教育体育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val="en-US" w:eastAsia="zh-CN"/>
        </w:rPr>
        <w:t>计财股负责人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听证监察人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司法局干部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可莉新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纪委监委驻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区发改局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纪检组长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听证代表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应到会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旁听人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实到会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听证代表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洛河彝族乡中心幼儿园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高仓中心幼儿园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秦诗琪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春和中心幼儿园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闭春伟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红塔区第二幼儿园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任茜茜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洛河乡洛河村委会三组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刘津余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玉溪市公安局高速公路交巡警大队辅警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桂梦卿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得胜家具建材馆四楼A区23号帅丰集成灶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周静洁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李棋街道兰溪瑞园2幢501号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期丛彬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小石桥乡玉苗村委会  党总支委员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春和街道办事处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雷琼玉  李棋中心幼儿园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</w:rPr>
        <w:t>郭家鹏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</w:rPr>
        <w:t>玉河社区居务监督委员会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玉兴派出所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蒋美艳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大地财产保险股份有限公司玉溪中心支公司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高仓社区高仓58幢20号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李昌东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北城街道大营社区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云南滇兴律师事务所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专职律师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律师）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李继荣  玉溪永信会计师事务所  所长（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专家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谢志明  区人大常委会  社教委主任委员（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人大代表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  艳  红塔区（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政协委员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陈俊岐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 红塔区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市场监管局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谢光伟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 xml:space="preserve">  红塔区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张静萍  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李棋街道玉河社区一组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王  梅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李棋街道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品香号古树茶·法人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/>
          <w:lang w:eastAsia="zh-CN"/>
        </w:rPr>
        <w:t>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/>
          <w:lang w:eastAsia="zh-CN"/>
        </w:rPr>
        <w:t>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研和街道研和社区一组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新闻媒体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向永祥  红塔区融媒体中心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刘歆旎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红塔区融媒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玉溪日报社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听证会参加人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36名。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（三）听证会的议程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1.听证主持人宣读听证会会场纪律、注意事项；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2.听证主持人介绍听证会参加人、听证代表及听证代表的构成和产生办法；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万忠林向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宣读说明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红塔区公办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幼儿园幼儿保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成本监审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主要内容；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何双强向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宣读说明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公办幼儿园保教费收费标准调整方案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主要内容；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听证代表对《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公办幼儿园保教费收费标准调整方案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》发表意见、建议和提问；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.决策发言人回答提问并就听证代表的发言内容进行交流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区发展和改革局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何双强就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听证代表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意见、建议和提问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进行答辩；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.听证主持人做听证总结；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.听证代表审阅听证记录并签字。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szCs w:val="32"/>
        </w:rPr>
        <w:t>四、听证代表对《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方正楷体_GBK" w:hAnsi="方正楷体_GBK" w:eastAsia="方正楷体_GBK" w:cs="方正楷体_GBK"/>
          <w:bCs/>
          <w:color w:val="auto"/>
          <w:kern w:val="0"/>
          <w:sz w:val="32"/>
          <w:szCs w:val="32"/>
        </w:rPr>
        <w:t>公办幼儿园保教费收费标准调整方案</w:t>
      </w:r>
      <w:r>
        <w:rPr>
          <w:rFonts w:hint="eastAsia" w:ascii="方正楷体_GBK" w:hAnsi="方正楷体_GBK" w:eastAsia="方正楷体_GBK" w:cs="方正楷体_GBK"/>
          <w:b w:val="0"/>
          <w:color w:val="auto"/>
          <w:sz w:val="32"/>
          <w:szCs w:val="32"/>
        </w:rPr>
        <w:t>》的意见和建议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的总体意见。21位听证会参加人均认为本次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公办幼儿园保教费收费标准调整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依据充分、理由充足，对《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公办幼儿园保教费收费标准调整方案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》无异议，同意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发展和改革局、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教育体育局、</w:t>
      </w:r>
      <w:r>
        <w:rPr>
          <w:rFonts w:hint="eastAsia" w:ascii="仿宋_GB2312" w:hAnsi="仿宋_GB2312" w:eastAsia="仿宋_GB2312" w:cs="仿宋_GB2312"/>
          <w:b w:val="0"/>
          <w:color w:val="auto"/>
          <w:spacing w:val="-1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财政局拟调整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红塔区公办幼儿园保育教育费收费标准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。其中，3位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代表认为调整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收费标准，有利于幼儿园软件硬件的配备，保证幼儿园正常教育教学，办好更优质的学前教育。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（二）关于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幼儿园不收费或者降低收费标准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。1位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代表认为：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疫情影响下，居民整体收入不理想，有部分家长受延长义务教育年限、幼儿园有可能列入义务教育的传闻影响，对幼儿园不收费或者降低收费标准的期望很强烈。此次上调收费标准涨幅在40%-44%之间，有部分家长可能会产生心理落差及不满情绪。同意收费标准调整，但适当降低调整幅度，建议同步完善对社会困难群体的优惠减免等保障措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（三）关于对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贫困家庭收费减免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问题。3位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代表认为，调整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幼儿园收费标准，对困难家庭影响较大，应对困难家庭给予减免和补助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其中，1位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代表认为：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可适当提高收费标准，能改善办园条件，提高教学质量。另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代表认为：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为减轻二胎及贫困家庭压力，建议适当下调调整幅度。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五、对主要意见的采纳处理情况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听证人对听证代表提出的意见和建议进行认真研究后，做出如下处理：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红塔区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公办幼儿园保育教育费收费标准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2015年秋季开学至今七年未作调整。对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红塔区公办幼儿园保育教育费收费标准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，目的是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补偿办园成本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提升办园质量，促进教育公平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。这次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调整收费标准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统筹考虑政府投入、经济社会发展水平和人民群众承受能力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的前提下，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合理分担幼儿教育成本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政府平均承担72%，家庭平均承担28%，政府投入为主，家庭承担为辅。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（二）对于经济困难儿童、孤儿、残疾儿童的资助和收费减免政策，按省发改委、省教育厅、省财政厅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《云南省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发展和改革委员会、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省教育厅、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省财政厅关于印发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幼儿园收费管理暂行办法实施细则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（云发改物价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[2014]638号）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等相关政策执行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</w:t>
      </w:r>
      <w:r>
        <w:rPr>
          <w:rFonts w:hint="eastAsia" w:ascii="方正楷体_GBK" w:hAnsi="方正楷体_GBK" w:eastAsia="方正楷体_GBK" w:cs="方正楷体_GBK"/>
          <w:bCs/>
          <w:color w:val="auto"/>
          <w:kern w:val="0"/>
          <w:sz w:val="32"/>
          <w:szCs w:val="32"/>
        </w:rPr>
        <w:t>调整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val="en-US" w:eastAsia="zh-CN"/>
        </w:rPr>
        <w:t>红塔区</w:t>
      </w:r>
      <w:r>
        <w:rPr>
          <w:rFonts w:hint="eastAsia" w:ascii="方正楷体_GBK" w:hAnsi="方正楷体_GBK" w:eastAsia="方正楷体_GBK" w:cs="方正楷体_GBK"/>
          <w:bCs/>
          <w:color w:val="auto"/>
          <w:kern w:val="0"/>
          <w:sz w:val="32"/>
          <w:szCs w:val="32"/>
        </w:rPr>
        <w:t>公办幼儿园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保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育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教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育</w:t>
      </w:r>
      <w:r>
        <w:rPr>
          <w:rFonts w:hint="eastAsia" w:ascii="方正楷体_GBK" w:hAnsi="方正楷体_GBK" w:eastAsia="方正楷体_GBK" w:cs="方正楷体_GBK"/>
          <w:bCs/>
          <w:color w:val="auto"/>
          <w:kern w:val="0"/>
          <w:sz w:val="32"/>
          <w:szCs w:val="32"/>
        </w:rPr>
        <w:t>费收费标准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6"/>
          <w:sz w:val="32"/>
          <w:szCs w:val="32"/>
        </w:rPr>
        <w:t>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非义务教育实行以政府投入为主、受教育者合理分担、其他多种渠道筹措经费的投入机制，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统筹考虑政府投入、经济社会发展水平和人民群众承受能力，合理调整幼儿保育教育费标准。拟调整红塔区公办幼儿园保育教育费收费标准为：省一级一等幼儿园由现行每月每生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360元调整为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600元，省一级二等幼儿园由现行每月每生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320元调整为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550元，省一级三等及以下幼儿园和未评定等级幼儿园由现行每月每生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280元调整为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500元。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83" w:right="1746" w:bottom="1383" w:left="17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954904"/>
      <w:docPartObj>
        <w:docPartGallery w:val="autotext"/>
      </w:docPartObj>
    </w:sdtPr>
    <w:sdtEndPr>
      <w:rPr>
        <w:rFonts w:hint="eastAsia" w:ascii="方正仿宋_GBK" w:eastAsia="方正仿宋_GBK"/>
        <w:sz w:val="24"/>
        <w:szCs w:val="24"/>
      </w:rPr>
    </w:sdtEndPr>
    <w:sdtContent>
      <w:p>
        <w:pPr>
          <w:pStyle w:val="3"/>
          <w:jc w:val="center"/>
          <w:rPr>
            <w:rFonts w:hint="eastAsia" w:ascii="方正仿宋_GBK" w:eastAsia="方正仿宋_GBK"/>
            <w:sz w:val="24"/>
            <w:szCs w:val="24"/>
          </w:rPr>
        </w:pPr>
        <w:r>
          <w:rPr>
            <w:rFonts w:hint="eastAsia" w:ascii="方正仿宋_GBK" w:eastAsia="方正仿宋_GBK"/>
            <w:sz w:val="24"/>
            <w:szCs w:val="24"/>
          </w:rPr>
          <w:fldChar w:fldCharType="begin"/>
        </w:r>
        <w:r>
          <w:rPr>
            <w:rFonts w:hint="eastAsia" w:ascii="方正仿宋_GBK" w:eastAsia="方正仿宋_GBK"/>
            <w:sz w:val="24"/>
            <w:szCs w:val="24"/>
          </w:rPr>
          <w:instrText xml:space="preserve"> PAGE   \* MERGEFORMAT </w:instrText>
        </w:r>
        <w:r>
          <w:rPr>
            <w:rFonts w:hint="eastAsia" w:ascii="方正仿宋_GBK" w:eastAsia="方正仿宋_GBK"/>
            <w:sz w:val="24"/>
            <w:szCs w:val="24"/>
          </w:rPr>
          <w:fldChar w:fldCharType="separate"/>
        </w:r>
        <w:r>
          <w:rPr>
            <w:rFonts w:ascii="方正仿宋_GBK" w:eastAsia="方正仿宋_GBK"/>
            <w:sz w:val="24"/>
            <w:szCs w:val="24"/>
            <w:lang w:val="zh-CN"/>
          </w:rPr>
          <w:t>-</w:t>
        </w:r>
        <w:r>
          <w:rPr>
            <w:rFonts w:ascii="方正仿宋_GBK" w:eastAsia="方正仿宋_GBK"/>
            <w:sz w:val="24"/>
            <w:szCs w:val="24"/>
          </w:rPr>
          <w:t xml:space="preserve"> 2 -</w:t>
        </w:r>
        <w:r>
          <w:rPr>
            <w:rFonts w:hint="eastAsia" w:ascii="方正仿宋_GBK" w:eastAsia="方正仿宋_GBK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D332"/>
    <w:multiLevelType w:val="singleLevel"/>
    <w:tmpl w:val="46C2D33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4358"/>
    <w:rsid w:val="04D411C6"/>
    <w:rsid w:val="06EF1910"/>
    <w:rsid w:val="08FA63A4"/>
    <w:rsid w:val="09801207"/>
    <w:rsid w:val="0A4B11F0"/>
    <w:rsid w:val="0C52125C"/>
    <w:rsid w:val="0D033D06"/>
    <w:rsid w:val="0DCE6E45"/>
    <w:rsid w:val="0EFF1AC0"/>
    <w:rsid w:val="118C0202"/>
    <w:rsid w:val="132E4BB3"/>
    <w:rsid w:val="136469A0"/>
    <w:rsid w:val="150C0679"/>
    <w:rsid w:val="161259F3"/>
    <w:rsid w:val="1667691B"/>
    <w:rsid w:val="1A3854C0"/>
    <w:rsid w:val="1C3D1D3A"/>
    <w:rsid w:val="218A3148"/>
    <w:rsid w:val="24691AD5"/>
    <w:rsid w:val="26A5084F"/>
    <w:rsid w:val="27084EA4"/>
    <w:rsid w:val="2C4F4619"/>
    <w:rsid w:val="2F7368F8"/>
    <w:rsid w:val="2F9E4C41"/>
    <w:rsid w:val="302A7157"/>
    <w:rsid w:val="337D3B03"/>
    <w:rsid w:val="356D7E37"/>
    <w:rsid w:val="36901F05"/>
    <w:rsid w:val="3F9E2C85"/>
    <w:rsid w:val="40085F6B"/>
    <w:rsid w:val="44D930C7"/>
    <w:rsid w:val="47531595"/>
    <w:rsid w:val="4E137913"/>
    <w:rsid w:val="50931E09"/>
    <w:rsid w:val="529A4454"/>
    <w:rsid w:val="57297FBC"/>
    <w:rsid w:val="5A7B1BF0"/>
    <w:rsid w:val="5B096006"/>
    <w:rsid w:val="5B3D4358"/>
    <w:rsid w:val="5D0D0F35"/>
    <w:rsid w:val="5D7532E5"/>
    <w:rsid w:val="5D917D16"/>
    <w:rsid w:val="5D957F3F"/>
    <w:rsid w:val="62422988"/>
    <w:rsid w:val="6BDB38C2"/>
    <w:rsid w:val="6E573D62"/>
    <w:rsid w:val="75ED0413"/>
    <w:rsid w:val="76E53774"/>
    <w:rsid w:val="79145A61"/>
    <w:rsid w:val="79FE20C0"/>
    <w:rsid w:val="7D6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16"/>
    <w:basedOn w:val="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8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9">
    <w:name w:val="正文 New New New New"/>
    <w:basedOn w:val="1"/>
    <w:qFormat/>
    <w:uiPriority w:val="0"/>
    <w:pPr>
      <w:spacing w:line="240" w:lineRule="auto"/>
      <w:ind w:firstLine="0"/>
    </w:pPr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YX</dc:creator>
  <cp:lastModifiedBy>DELL</cp:lastModifiedBy>
  <cp:lastPrinted>2022-05-27T08:52:00Z</cp:lastPrinted>
  <dcterms:modified xsi:type="dcterms:W3CDTF">2023-08-10T02:51:32Z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