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rPr>
          <w:rFonts w:hint="eastAsia" w:ascii="方正黑体_GBK" w:eastAsia="方正黑体_GBK"/>
          <w:sz w:val="32"/>
          <w:szCs w:val="32"/>
        </w:rPr>
      </w:pPr>
    </w:p>
    <w:p>
      <w:pPr>
        <w:widowControl w:val="0"/>
        <w:spacing w:line="560" w:lineRule="exact"/>
        <w:jc w:val="center"/>
        <w:rPr>
          <w:rFonts w:hint="eastAsia" w:ascii="方正小标宋_GBK" w:eastAsia="方正小标宋_GBK"/>
          <w:sz w:val="44"/>
          <w:szCs w:val="44"/>
        </w:rPr>
      </w:pPr>
      <w:bookmarkStart w:id="0" w:name="_GoBack"/>
      <w:r>
        <w:rPr>
          <w:rFonts w:hint="eastAsia" w:ascii="方正小标宋_GBK" w:eastAsia="方正小标宋_GBK"/>
          <w:sz w:val="44"/>
          <w:szCs w:val="44"/>
          <w:lang w:eastAsia="zh-CN"/>
        </w:rPr>
        <w:t>红塔区</w:t>
      </w:r>
      <w:r>
        <w:rPr>
          <w:rFonts w:hint="eastAsia" w:ascii="方正小标宋_GBK" w:eastAsia="方正小标宋_GBK"/>
          <w:sz w:val="44"/>
          <w:szCs w:val="44"/>
        </w:rPr>
        <w:t>2022年政务公开工作要点任务清单</w:t>
      </w:r>
      <w:bookmarkEnd w:id="0"/>
    </w:p>
    <w:p>
      <w:pPr>
        <w:widowControl w:val="0"/>
        <w:spacing w:line="590" w:lineRule="exact"/>
        <w:rPr>
          <w:rFonts w:hint="eastAsia" w:eastAsia="方正仿宋_GBK"/>
          <w:sz w:val="32"/>
          <w:szCs w:val="32"/>
        </w:rPr>
      </w:pPr>
    </w:p>
    <w:tbl>
      <w:tblPr>
        <w:tblStyle w:val="6"/>
        <w:tblW w:w="13961" w:type="dxa"/>
        <w:tblInd w:w="0" w:type="dxa"/>
        <w:tblLayout w:type="fixed"/>
        <w:tblCellMar>
          <w:top w:w="0" w:type="dxa"/>
          <w:left w:w="108" w:type="dxa"/>
          <w:bottom w:w="0" w:type="dxa"/>
          <w:right w:w="108" w:type="dxa"/>
        </w:tblCellMar>
      </w:tblPr>
      <w:tblGrid>
        <w:gridCol w:w="480"/>
        <w:gridCol w:w="1305"/>
        <w:gridCol w:w="1573"/>
        <w:gridCol w:w="6275"/>
        <w:gridCol w:w="3283"/>
        <w:gridCol w:w="1045"/>
      </w:tblGrid>
      <w:tr>
        <w:tblPrEx>
          <w:tblLayout w:type="fixed"/>
          <w:tblCellMar>
            <w:top w:w="0" w:type="dxa"/>
            <w:left w:w="108" w:type="dxa"/>
            <w:bottom w:w="0" w:type="dxa"/>
            <w:right w:w="108" w:type="dxa"/>
          </w:tblCellMar>
        </w:tblPrEx>
        <w:trPr>
          <w:trHeight w:val="410" w:hRule="atLeast"/>
          <w:tblHeader/>
        </w:trPr>
        <w:tc>
          <w:tcPr>
            <w:tcW w:w="4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黑体_GBK" w:eastAsia="方正黑体_GBK"/>
              </w:rPr>
            </w:pPr>
            <w:r>
              <w:rPr>
                <w:rFonts w:hint="eastAsia" w:ascii="方正黑体_GBK" w:eastAsia="方正黑体_GBK"/>
              </w:rPr>
              <w:t>序号</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黑体_GBK" w:eastAsia="方正黑体_GBK"/>
              </w:rPr>
            </w:pPr>
            <w:r>
              <w:rPr>
                <w:rFonts w:hint="eastAsia" w:ascii="方正黑体_GBK" w:eastAsia="方正黑体_GBK"/>
              </w:rPr>
              <w:t>主要任务</w:t>
            </w:r>
          </w:p>
        </w:tc>
        <w:tc>
          <w:tcPr>
            <w:tcW w:w="15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黑体_GBK" w:eastAsia="方正黑体_GBK"/>
              </w:rPr>
            </w:pPr>
            <w:r>
              <w:rPr>
                <w:rFonts w:hint="eastAsia" w:ascii="方正黑体_GBK" w:eastAsia="方正黑体_GBK"/>
              </w:rPr>
              <w:t>工作任务</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黑体_GBK" w:eastAsia="方正黑体_GBK"/>
              </w:rPr>
            </w:pPr>
            <w:r>
              <w:rPr>
                <w:rFonts w:hint="eastAsia" w:ascii="方正黑体_GBK" w:eastAsia="方正黑体_GBK"/>
              </w:rPr>
              <w:t>具体事项</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黑体_GBK" w:eastAsia="方正黑体_GBK"/>
              </w:rPr>
            </w:pPr>
            <w:r>
              <w:rPr>
                <w:rFonts w:hint="eastAsia" w:ascii="方正黑体_GBK" w:eastAsia="方正黑体_GBK"/>
              </w:rPr>
              <w:t>牵头落实单位</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黑体_GBK" w:eastAsia="方正黑体_GBK"/>
              </w:rPr>
            </w:pPr>
            <w:r>
              <w:rPr>
                <w:rFonts w:hint="eastAsia" w:ascii="方正黑体_GBK" w:eastAsia="方正黑体_GBK"/>
              </w:rPr>
              <w:t>完成时限</w:t>
            </w:r>
          </w:p>
        </w:tc>
      </w:tr>
      <w:tr>
        <w:tblPrEx>
          <w:tblLayout w:type="fixed"/>
          <w:tblCellMar>
            <w:top w:w="0" w:type="dxa"/>
            <w:left w:w="108" w:type="dxa"/>
            <w:bottom w:w="0" w:type="dxa"/>
            <w:right w:w="108" w:type="dxa"/>
          </w:tblCellMar>
        </w:tblPrEx>
        <w:trPr>
          <w:trHeight w:val="1125" w:hRule="atLeast"/>
        </w:trPr>
        <w:tc>
          <w:tcPr>
            <w:tcW w:w="480" w:type="dxa"/>
            <w:vMerge w:val="restart"/>
            <w:tcBorders>
              <w:top w:val="single" w:color="000000" w:sz="4" w:space="0"/>
              <w:left w:val="single" w:color="000000" w:sz="4" w:space="0"/>
              <w:right w:val="single" w:color="000000" w:sz="4" w:space="0"/>
            </w:tcBorders>
            <w:noWrap w:val="0"/>
            <w:vAlign w:val="center"/>
          </w:tcPr>
          <w:p>
            <w:pPr>
              <w:jc w:val="center"/>
              <w:rPr>
                <w:rFonts w:eastAsia="方正仿宋_GBK"/>
              </w:rPr>
            </w:pPr>
            <w:r>
              <w:rPr>
                <w:rFonts w:eastAsia="方正仿宋_GBK"/>
              </w:rPr>
              <w:t>一</w:t>
            </w:r>
          </w:p>
        </w:tc>
        <w:tc>
          <w:tcPr>
            <w:tcW w:w="1305" w:type="dxa"/>
            <w:vMerge w:val="restart"/>
            <w:tcBorders>
              <w:top w:val="single" w:color="000000" w:sz="4" w:space="0"/>
              <w:left w:val="single" w:color="000000" w:sz="4" w:space="0"/>
              <w:right w:val="single" w:color="000000" w:sz="4" w:space="0"/>
            </w:tcBorders>
            <w:noWrap w:val="0"/>
            <w:vAlign w:val="center"/>
          </w:tcPr>
          <w:p>
            <w:pPr>
              <w:jc w:val="center"/>
              <w:rPr>
                <w:rFonts w:eastAsia="方正仿宋_GBK"/>
              </w:rPr>
            </w:pPr>
            <w:r>
              <w:rPr>
                <w:rFonts w:eastAsia="方正仿宋_GBK"/>
              </w:rPr>
              <w:t>以公开助力经济平稳健康发展</w:t>
            </w:r>
          </w:p>
        </w:tc>
        <w:tc>
          <w:tcPr>
            <w:tcW w:w="157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方正仿宋_GBK"/>
              </w:rPr>
            </w:pPr>
            <w:r>
              <w:rPr>
                <w:rFonts w:eastAsia="方正仿宋_GBK"/>
              </w:rPr>
              <w:t>（一）加强涉及市场主体的信息公开</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pPr>
              <w:rPr>
                <w:rFonts w:eastAsia="方正仿宋_GBK"/>
              </w:rPr>
            </w:pPr>
            <w:r>
              <w:rPr>
                <w:rFonts w:eastAsia="方正仿宋_GBK"/>
              </w:rPr>
              <w:t>1.增强政策制定实施的透明度和可预期性，推动已出台政策尽快落实到位，提振市场主体信心。加大受疫情影响重的旅游、文化、餐饮、住宿、零售、客运等行业帮扶政策的公开力度，促进稳就业和消费恢复。</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eastAsia="方正仿宋_GBK"/>
                <w:lang w:eastAsia="zh-CN"/>
              </w:rPr>
            </w:pPr>
            <w:r>
              <w:rPr>
                <w:rFonts w:hint="eastAsia" w:ascii="方正仿宋_GBK" w:hAnsi="方正仿宋_GBK" w:eastAsia="方正仿宋_GBK" w:cs="方正仿宋_GBK"/>
                <w:i w:val="0"/>
                <w:caps w:val="0"/>
                <w:color w:val="000000"/>
                <w:spacing w:val="0"/>
                <w:sz w:val="21"/>
                <w:szCs w:val="21"/>
                <w:lang w:eastAsia="zh-CN"/>
              </w:rPr>
              <w:t>区文化和旅游局、区市场监管局、区商务局、区交通运输局牵头；</w:t>
            </w:r>
            <w:r>
              <w:rPr>
                <w:rFonts w:hint="eastAsia" w:eastAsia="方正仿宋_GBK"/>
                <w:lang w:eastAsia="zh-CN"/>
              </w:rPr>
              <w:t>区直有关部门、各乡人民政府（街道办事处）按照职责分工负责</w:t>
            </w:r>
          </w:p>
        </w:tc>
        <w:tc>
          <w:tcPr>
            <w:tcW w:w="1045" w:type="dxa"/>
            <w:vMerge w:val="restart"/>
            <w:tcBorders>
              <w:top w:val="single" w:color="000000" w:sz="4" w:space="0"/>
              <w:left w:val="single" w:color="000000" w:sz="4" w:space="0"/>
              <w:right w:val="single" w:color="000000" w:sz="4" w:space="0"/>
            </w:tcBorders>
            <w:noWrap w:val="0"/>
            <w:vAlign w:val="center"/>
          </w:tcPr>
          <w:p>
            <w:pPr>
              <w:jc w:val="center"/>
              <w:rPr>
                <w:rFonts w:eastAsia="方正仿宋_GBK"/>
              </w:rPr>
            </w:pPr>
            <w:r>
              <w:rPr>
                <w:rFonts w:eastAsia="方正仿宋_GBK"/>
              </w:rPr>
              <w:t>全年持续推进</w:t>
            </w:r>
          </w:p>
        </w:tc>
      </w:tr>
      <w:tr>
        <w:tblPrEx>
          <w:tblLayout w:type="fixed"/>
          <w:tblCellMar>
            <w:top w:w="0" w:type="dxa"/>
            <w:left w:w="108" w:type="dxa"/>
            <w:bottom w:w="0" w:type="dxa"/>
            <w:right w:w="108" w:type="dxa"/>
          </w:tblCellMar>
        </w:tblPrEx>
        <w:trPr>
          <w:trHeight w:val="750" w:hRule="atLeast"/>
        </w:trPr>
        <w:tc>
          <w:tcPr>
            <w:tcW w:w="480" w:type="dxa"/>
            <w:vMerge w:val="continue"/>
            <w:tcBorders>
              <w:left w:val="single" w:color="000000" w:sz="4" w:space="0"/>
              <w:right w:val="single" w:color="000000" w:sz="4" w:space="0"/>
            </w:tcBorders>
            <w:noWrap w:val="0"/>
            <w:vAlign w:val="center"/>
          </w:tcPr>
          <w:p>
            <w:pPr>
              <w:jc w:val="center"/>
              <w:rPr>
                <w:rFonts w:eastAsia="方正仿宋_GBK"/>
              </w:rPr>
            </w:pPr>
          </w:p>
        </w:tc>
        <w:tc>
          <w:tcPr>
            <w:tcW w:w="1305" w:type="dxa"/>
            <w:vMerge w:val="continue"/>
            <w:tcBorders>
              <w:left w:val="single" w:color="000000" w:sz="4" w:space="0"/>
              <w:right w:val="single" w:color="000000" w:sz="4" w:space="0"/>
            </w:tcBorders>
            <w:noWrap w:val="0"/>
            <w:vAlign w:val="center"/>
          </w:tcPr>
          <w:p>
            <w:pPr>
              <w:jc w:val="center"/>
              <w:rPr>
                <w:rFonts w:eastAsia="方正仿宋_GBK"/>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方正仿宋_GBK"/>
              </w:rPr>
            </w:pPr>
          </w:p>
        </w:tc>
        <w:tc>
          <w:tcPr>
            <w:tcW w:w="6275" w:type="dxa"/>
            <w:tcBorders>
              <w:top w:val="single" w:color="000000" w:sz="4" w:space="0"/>
              <w:left w:val="single" w:color="000000" w:sz="4" w:space="0"/>
              <w:bottom w:val="single" w:color="000000" w:sz="4" w:space="0"/>
              <w:right w:val="single" w:color="000000" w:sz="4" w:space="0"/>
            </w:tcBorders>
            <w:noWrap w:val="0"/>
            <w:vAlign w:val="center"/>
          </w:tcPr>
          <w:p>
            <w:pPr>
              <w:rPr>
                <w:rFonts w:eastAsia="方正仿宋_GBK"/>
              </w:rPr>
            </w:pPr>
            <w:r>
              <w:rPr>
                <w:rFonts w:eastAsia="方正仿宋_GBK"/>
              </w:rPr>
              <w:t>2.利用政务营商环境市场满意度调查问卷和投诉举报平台，健全完善市场主体反映问题的受理、办理、督办、反馈机制，助力优化营商环境。</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eastAsia="方正仿宋_GBK"/>
                <w:lang w:eastAsia="zh-CN"/>
              </w:rPr>
            </w:pPr>
            <w:r>
              <w:rPr>
                <w:rFonts w:hint="eastAsia" w:eastAsia="方正仿宋_GBK"/>
                <w:lang w:eastAsia="zh-CN"/>
              </w:rPr>
              <w:t>区</w:t>
            </w:r>
            <w:r>
              <w:rPr>
                <w:rFonts w:eastAsia="方正仿宋_GBK"/>
              </w:rPr>
              <w:t>政务服务局牵头；</w:t>
            </w:r>
            <w:r>
              <w:rPr>
                <w:rFonts w:hint="eastAsia" w:eastAsia="方正仿宋_GBK"/>
                <w:lang w:eastAsia="zh-CN"/>
              </w:rPr>
              <w:t>区直有关部门、各乡人民政府（街道办事处）按照职责分工负责</w:t>
            </w:r>
          </w:p>
        </w:tc>
        <w:tc>
          <w:tcPr>
            <w:tcW w:w="1045" w:type="dxa"/>
            <w:vMerge w:val="continue"/>
            <w:tcBorders>
              <w:left w:val="single" w:color="000000" w:sz="4" w:space="0"/>
              <w:right w:val="single" w:color="000000" w:sz="4" w:space="0"/>
            </w:tcBorders>
            <w:noWrap w:val="0"/>
            <w:vAlign w:val="center"/>
          </w:tcPr>
          <w:p>
            <w:pPr>
              <w:jc w:val="center"/>
              <w:rPr>
                <w:rFonts w:eastAsia="方正仿宋_GBK"/>
              </w:rPr>
            </w:pPr>
          </w:p>
        </w:tc>
      </w:tr>
      <w:tr>
        <w:tblPrEx>
          <w:tblLayout w:type="fixed"/>
          <w:tblCellMar>
            <w:top w:w="0" w:type="dxa"/>
            <w:left w:w="108" w:type="dxa"/>
            <w:bottom w:w="0" w:type="dxa"/>
            <w:right w:w="108" w:type="dxa"/>
          </w:tblCellMar>
        </w:tblPrEx>
        <w:trPr>
          <w:trHeight w:val="750" w:hRule="atLeast"/>
        </w:trPr>
        <w:tc>
          <w:tcPr>
            <w:tcW w:w="480" w:type="dxa"/>
            <w:vMerge w:val="continue"/>
            <w:tcBorders>
              <w:left w:val="single" w:color="000000" w:sz="4" w:space="0"/>
              <w:right w:val="single" w:color="000000" w:sz="4" w:space="0"/>
            </w:tcBorders>
            <w:noWrap w:val="0"/>
            <w:vAlign w:val="center"/>
          </w:tcPr>
          <w:p>
            <w:pPr>
              <w:jc w:val="center"/>
              <w:rPr>
                <w:rFonts w:eastAsia="方正仿宋_GBK"/>
              </w:rPr>
            </w:pPr>
          </w:p>
        </w:tc>
        <w:tc>
          <w:tcPr>
            <w:tcW w:w="1305" w:type="dxa"/>
            <w:vMerge w:val="continue"/>
            <w:tcBorders>
              <w:left w:val="single" w:color="000000" w:sz="4" w:space="0"/>
              <w:right w:val="single" w:color="000000" w:sz="4" w:space="0"/>
            </w:tcBorders>
            <w:noWrap w:val="0"/>
            <w:vAlign w:val="center"/>
          </w:tcPr>
          <w:p>
            <w:pPr>
              <w:jc w:val="center"/>
              <w:rPr>
                <w:rFonts w:eastAsia="方正仿宋_GBK"/>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方正仿宋_GBK"/>
              </w:rPr>
            </w:pPr>
          </w:p>
        </w:tc>
        <w:tc>
          <w:tcPr>
            <w:tcW w:w="6275" w:type="dxa"/>
            <w:tcBorders>
              <w:top w:val="single" w:color="000000" w:sz="4" w:space="0"/>
              <w:left w:val="single" w:color="000000" w:sz="4" w:space="0"/>
              <w:bottom w:val="single" w:color="000000" w:sz="4" w:space="0"/>
              <w:right w:val="single" w:color="000000" w:sz="4" w:space="0"/>
            </w:tcBorders>
            <w:noWrap w:val="0"/>
            <w:vAlign w:val="center"/>
          </w:tcPr>
          <w:p>
            <w:pPr>
              <w:rPr>
                <w:rFonts w:eastAsia="方正仿宋_GBK"/>
              </w:rPr>
            </w:pPr>
            <w:r>
              <w:rPr>
                <w:rFonts w:eastAsia="方正仿宋_GBK"/>
              </w:rPr>
              <w:t>3.持续推进反垄断和反不正当竞争执法信息公开工作，为各类市场主体规范健康发展营造诚信守法、公平竞争的市场环境。</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eastAsia="方正仿宋_GBK"/>
                <w:lang w:eastAsia="zh-CN"/>
              </w:rPr>
            </w:pPr>
            <w:r>
              <w:rPr>
                <w:rFonts w:hint="eastAsia" w:eastAsia="方正仿宋_GBK"/>
                <w:lang w:eastAsia="zh-CN"/>
              </w:rPr>
              <w:t>区</w:t>
            </w:r>
            <w:r>
              <w:rPr>
                <w:rFonts w:eastAsia="方正仿宋_GBK"/>
              </w:rPr>
              <w:t>市场监管局牵头；</w:t>
            </w:r>
            <w:r>
              <w:rPr>
                <w:rFonts w:hint="eastAsia" w:eastAsia="方正仿宋_GBK"/>
                <w:lang w:eastAsia="zh-CN"/>
              </w:rPr>
              <w:t>区直有关部门、各乡人民政府（街道办事处）按照职责分工负责</w:t>
            </w:r>
          </w:p>
        </w:tc>
        <w:tc>
          <w:tcPr>
            <w:tcW w:w="1045" w:type="dxa"/>
            <w:vMerge w:val="continue"/>
            <w:tcBorders>
              <w:left w:val="single" w:color="000000" w:sz="4" w:space="0"/>
              <w:right w:val="single" w:color="000000" w:sz="4" w:space="0"/>
            </w:tcBorders>
            <w:noWrap w:val="0"/>
            <w:vAlign w:val="center"/>
          </w:tcPr>
          <w:p>
            <w:pPr>
              <w:jc w:val="center"/>
              <w:rPr>
                <w:rFonts w:eastAsia="方正仿宋_GBK"/>
              </w:rPr>
            </w:pPr>
          </w:p>
        </w:tc>
      </w:tr>
      <w:tr>
        <w:tblPrEx>
          <w:tblLayout w:type="fixed"/>
          <w:tblCellMar>
            <w:top w:w="0" w:type="dxa"/>
            <w:left w:w="108" w:type="dxa"/>
            <w:bottom w:w="0" w:type="dxa"/>
            <w:right w:w="108" w:type="dxa"/>
          </w:tblCellMar>
        </w:tblPrEx>
        <w:trPr>
          <w:trHeight w:val="1875" w:hRule="atLeast"/>
        </w:trPr>
        <w:tc>
          <w:tcPr>
            <w:tcW w:w="480" w:type="dxa"/>
            <w:vMerge w:val="continue"/>
            <w:tcBorders>
              <w:left w:val="single" w:color="000000" w:sz="4" w:space="0"/>
              <w:right w:val="single" w:color="000000" w:sz="4" w:space="0"/>
            </w:tcBorders>
            <w:noWrap w:val="0"/>
            <w:vAlign w:val="center"/>
          </w:tcPr>
          <w:p>
            <w:pPr>
              <w:jc w:val="center"/>
              <w:rPr>
                <w:rFonts w:eastAsia="方正仿宋_GBK"/>
              </w:rPr>
            </w:pPr>
          </w:p>
        </w:tc>
        <w:tc>
          <w:tcPr>
            <w:tcW w:w="1305" w:type="dxa"/>
            <w:vMerge w:val="continue"/>
            <w:tcBorders>
              <w:left w:val="single" w:color="000000" w:sz="4" w:space="0"/>
              <w:right w:val="single" w:color="000000" w:sz="4" w:space="0"/>
            </w:tcBorders>
            <w:noWrap w:val="0"/>
            <w:vAlign w:val="center"/>
          </w:tcPr>
          <w:p>
            <w:pPr>
              <w:jc w:val="center"/>
              <w:rPr>
                <w:rFonts w:eastAsia="方正仿宋_GBK"/>
              </w:rPr>
            </w:pPr>
          </w:p>
        </w:tc>
        <w:tc>
          <w:tcPr>
            <w:tcW w:w="15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方正仿宋_GBK"/>
              </w:rPr>
            </w:pPr>
            <w:r>
              <w:rPr>
                <w:rFonts w:eastAsia="方正仿宋_GBK"/>
              </w:rPr>
              <w:t>（二）加强涉及减税降费的信息公开</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pPr>
              <w:rPr>
                <w:rFonts w:eastAsia="方正仿宋_GBK"/>
              </w:rPr>
            </w:pPr>
            <w:r>
              <w:rPr>
                <w:rFonts w:eastAsia="方正仿宋_GBK"/>
              </w:rPr>
              <w:t>4.在政府网站、政务新媒体等政务公开平台及时、准确发布国家和我市减税降费政策特别是留抵退税减税等组合式纾困政策。加强政策宣讲和推送，采取制作宣传手册、开展政策上门服务等多种形式将减税降费政策传达到有关群体。积极开展政策咨询和政策辅导，帮助基层执行机关和纳税人、缴费人第一时间全面、准确了解政策，做到应知尽知、速享尽享。</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eastAsia="方正仿宋_GBK"/>
                <w:lang w:eastAsia="zh-CN"/>
              </w:rPr>
            </w:pPr>
            <w:r>
              <w:rPr>
                <w:rFonts w:hint="eastAsia" w:eastAsia="方正仿宋_GBK"/>
                <w:lang w:eastAsia="zh-CN"/>
              </w:rPr>
              <w:t>区</w:t>
            </w:r>
            <w:r>
              <w:rPr>
                <w:rFonts w:eastAsia="方正仿宋_GBK"/>
              </w:rPr>
              <w:t>财政局、</w:t>
            </w:r>
            <w:r>
              <w:rPr>
                <w:rFonts w:hint="eastAsia" w:eastAsia="方正仿宋_GBK"/>
                <w:lang w:eastAsia="zh-CN"/>
              </w:rPr>
              <w:t>区</w:t>
            </w:r>
            <w:r>
              <w:rPr>
                <w:rFonts w:eastAsia="方正仿宋_GBK"/>
              </w:rPr>
              <w:t>税务局牵头；</w:t>
            </w:r>
            <w:r>
              <w:rPr>
                <w:rFonts w:hint="eastAsia" w:eastAsia="方正仿宋_GBK"/>
                <w:lang w:eastAsia="zh-CN"/>
              </w:rPr>
              <w:t>区直有关部门、各乡人民政府（街道办事处）按照职责分工负责</w:t>
            </w:r>
          </w:p>
        </w:tc>
        <w:tc>
          <w:tcPr>
            <w:tcW w:w="1045" w:type="dxa"/>
            <w:vMerge w:val="continue"/>
            <w:tcBorders>
              <w:left w:val="single" w:color="000000" w:sz="4" w:space="0"/>
              <w:right w:val="single" w:color="000000" w:sz="4" w:space="0"/>
            </w:tcBorders>
            <w:noWrap w:val="0"/>
            <w:vAlign w:val="center"/>
          </w:tcPr>
          <w:p>
            <w:pPr>
              <w:jc w:val="center"/>
              <w:rPr>
                <w:rFonts w:eastAsia="方正仿宋_GBK"/>
              </w:rPr>
            </w:pPr>
          </w:p>
        </w:tc>
      </w:tr>
      <w:tr>
        <w:tblPrEx>
          <w:tblLayout w:type="fixed"/>
          <w:tblCellMar>
            <w:top w:w="0" w:type="dxa"/>
            <w:left w:w="108" w:type="dxa"/>
            <w:bottom w:w="0" w:type="dxa"/>
            <w:right w:w="108" w:type="dxa"/>
          </w:tblCellMar>
        </w:tblPrEx>
        <w:trPr>
          <w:trHeight w:val="1875" w:hRule="atLeast"/>
        </w:trPr>
        <w:tc>
          <w:tcPr>
            <w:tcW w:w="480" w:type="dxa"/>
            <w:vMerge w:val="continue"/>
            <w:tcBorders>
              <w:left w:val="single" w:color="000000" w:sz="4" w:space="0"/>
              <w:bottom w:val="single" w:color="000000" w:sz="4" w:space="0"/>
              <w:right w:val="single" w:color="000000" w:sz="4" w:space="0"/>
            </w:tcBorders>
            <w:noWrap w:val="0"/>
            <w:vAlign w:val="center"/>
          </w:tcPr>
          <w:p>
            <w:pPr>
              <w:jc w:val="center"/>
              <w:rPr>
                <w:rFonts w:eastAsia="方正仿宋_GBK"/>
              </w:rPr>
            </w:pPr>
          </w:p>
        </w:tc>
        <w:tc>
          <w:tcPr>
            <w:tcW w:w="1305" w:type="dxa"/>
            <w:vMerge w:val="continue"/>
            <w:tcBorders>
              <w:left w:val="single" w:color="000000" w:sz="4" w:space="0"/>
              <w:bottom w:val="single" w:color="000000" w:sz="4" w:space="0"/>
              <w:right w:val="single" w:color="000000" w:sz="4" w:space="0"/>
            </w:tcBorders>
            <w:noWrap w:val="0"/>
            <w:vAlign w:val="center"/>
          </w:tcPr>
          <w:p>
            <w:pPr>
              <w:jc w:val="center"/>
              <w:rPr>
                <w:rFonts w:eastAsia="方正仿宋_GBK"/>
              </w:rPr>
            </w:pPr>
          </w:p>
        </w:tc>
        <w:tc>
          <w:tcPr>
            <w:tcW w:w="15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方正仿宋_GBK"/>
              </w:rPr>
            </w:pPr>
            <w:r>
              <w:rPr>
                <w:rFonts w:eastAsia="方正仿宋_GBK"/>
              </w:rPr>
              <w:t>（三）加强涉及扩大有效投资的信息公开</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pPr>
              <w:rPr>
                <w:rFonts w:eastAsia="方正仿宋_GBK"/>
              </w:rPr>
            </w:pPr>
            <w:r>
              <w:rPr>
                <w:rFonts w:eastAsia="方正仿宋_GBK"/>
              </w:rPr>
              <w:t>5.依法依规公开扩大有效投资有关规划、政策文件及市级重大项目清单、市预算内投资安排下达情况</w:t>
            </w:r>
            <w:r>
              <w:rPr>
                <w:rFonts w:hint="eastAsia" w:eastAsia="方正仿宋_GBK"/>
                <w:lang w:eastAsia="zh-CN"/>
              </w:rPr>
              <w:t>。</w:t>
            </w:r>
            <w:r>
              <w:rPr>
                <w:rFonts w:eastAsia="方正仿宋_GBK"/>
              </w:rPr>
              <w:t>依托云南省投资项目在线审批监管平台、政务服务网上大厅、政府网站等，及时公开重大建设项目批准服务、批准结果、资金下达、项目实施等信息。及时回应社会公众对重大建设项目的关切事项，有效防范化解重大风险。</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eastAsia="方正仿宋_GBK"/>
                <w:lang w:eastAsia="zh-CN"/>
              </w:rPr>
            </w:pPr>
            <w:r>
              <w:rPr>
                <w:rFonts w:hint="eastAsia" w:eastAsia="方正仿宋_GBK"/>
                <w:lang w:eastAsia="zh-CN"/>
              </w:rPr>
              <w:t>区发展和改革局</w:t>
            </w:r>
            <w:r>
              <w:rPr>
                <w:rFonts w:eastAsia="方正仿宋_GBK"/>
              </w:rPr>
              <w:t>牵头；</w:t>
            </w:r>
            <w:r>
              <w:rPr>
                <w:rFonts w:hint="eastAsia" w:eastAsia="方正仿宋_GBK"/>
                <w:lang w:eastAsia="zh-CN"/>
              </w:rPr>
              <w:t>区直有关部门、各乡人民政府（街道办事处）按照职责分工负责</w:t>
            </w:r>
          </w:p>
        </w:tc>
        <w:tc>
          <w:tcPr>
            <w:tcW w:w="1045" w:type="dxa"/>
            <w:vMerge w:val="continue"/>
            <w:tcBorders>
              <w:left w:val="single" w:color="000000" w:sz="4" w:space="0"/>
              <w:bottom w:val="single" w:color="000000" w:sz="4" w:space="0"/>
              <w:right w:val="single" w:color="000000" w:sz="4" w:space="0"/>
            </w:tcBorders>
            <w:noWrap w:val="0"/>
            <w:vAlign w:val="center"/>
          </w:tcPr>
          <w:p>
            <w:pPr>
              <w:jc w:val="center"/>
              <w:rPr>
                <w:rFonts w:eastAsia="方正仿宋_GBK"/>
              </w:rPr>
            </w:pPr>
          </w:p>
        </w:tc>
      </w:tr>
      <w:tr>
        <w:tblPrEx>
          <w:tblLayout w:type="fixed"/>
          <w:tblCellMar>
            <w:top w:w="0" w:type="dxa"/>
            <w:left w:w="108" w:type="dxa"/>
            <w:bottom w:w="0" w:type="dxa"/>
            <w:right w:w="108" w:type="dxa"/>
          </w:tblCellMar>
        </w:tblPrEx>
        <w:trPr>
          <w:trHeight w:val="1500" w:hRule="atLeast"/>
        </w:trPr>
        <w:tc>
          <w:tcPr>
            <w:tcW w:w="480" w:type="dxa"/>
            <w:vMerge w:val="restart"/>
            <w:tcBorders>
              <w:top w:val="single" w:color="000000" w:sz="4" w:space="0"/>
              <w:left w:val="single" w:color="000000" w:sz="4" w:space="0"/>
              <w:right w:val="single" w:color="000000" w:sz="4" w:space="0"/>
            </w:tcBorders>
            <w:noWrap w:val="0"/>
            <w:vAlign w:val="center"/>
          </w:tcPr>
          <w:p>
            <w:pPr>
              <w:jc w:val="center"/>
              <w:rPr>
                <w:rFonts w:eastAsia="方正仿宋_GBK"/>
              </w:rPr>
            </w:pPr>
            <w:r>
              <w:rPr>
                <w:rFonts w:eastAsia="方正仿宋_GBK"/>
              </w:rPr>
              <w:t>二</w:t>
            </w:r>
          </w:p>
        </w:tc>
        <w:tc>
          <w:tcPr>
            <w:tcW w:w="1305" w:type="dxa"/>
            <w:vMerge w:val="restart"/>
            <w:tcBorders>
              <w:top w:val="single" w:color="000000" w:sz="4" w:space="0"/>
              <w:left w:val="single" w:color="000000" w:sz="4" w:space="0"/>
              <w:right w:val="single" w:color="000000" w:sz="4" w:space="0"/>
            </w:tcBorders>
            <w:noWrap w:val="0"/>
            <w:vAlign w:val="center"/>
          </w:tcPr>
          <w:p>
            <w:pPr>
              <w:jc w:val="center"/>
              <w:rPr>
                <w:rFonts w:eastAsia="方正仿宋_GBK"/>
              </w:rPr>
            </w:pPr>
            <w:r>
              <w:rPr>
                <w:rFonts w:eastAsia="方正仿宋_GBK"/>
              </w:rPr>
              <w:t>以公开助力保持社会和谐稳定</w:t>
            </w:r>
          </w:p>
        </w:tc>
        <w:tc>
          <w:tcPr>
            <w:tcW w:w="157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方正仿宋_GBK"/>
              </w:rPr>
            </w:pPr>
            <w:r>
              <w:rPr>
                <w:rFonts w:eastAsia="方正仿宋_GBK"/>
              </w:rPr>
              <w:t>（一）持续做好公共卫生信息公开</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pPr>
              <w:rPr>
                <w:rFonts w:eastAsia="方正仿宋_GBK"/>
              </w:rPr>
            </w:pPr>
            <w:r>
              <w:rPr>
                <w:rFonts w:eastAsia="方正仿宋_GBK"/>
              </w:rPr>
              <w:t>6.做好常态化疫情防控信息公开，严格执行疫情防控信息发布各项制度，统筹用好各类信息发布平台，多渠道发布疫情防控进展信息，及时权威回应涉疫舆情，进一步规范流调信息发布和管理，保护好个人隐私。加大法定传染病疫情数据和突发事件卫生应急有关信息公开力度，及时发布预警信息。</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eastAsia="方正仿宋_GBK"/>
                <w:lang w:eastAsia="zh-CN"/>
              </w:rPr>
            </w:pPr>
            <w:r>
              <w:rPr>
                <w:rFonts w:hint="eastAsia" w:eastAsia="方正仿宋_GBK"/>
                <w:lang w:eastAsia="zh-CN"/>
              </w:rPr>
              <w:t>区卫生健康局</w:t>
            </w:r>
            <w:r>
              <w:rPr>
                <w:rFonts w:eastAsia="方正仿宋_GBK"/>
              </w:rPr>
              <w:t>牵头；</w:t>
            </w:r>
            <w:r>
              <w:rPr>
                <w:rFonts w:hint="eastAsia" w:eastAsia="方正仿宋_GBK"/>
                <w:lang w:eastAsia="zh-CN"/>
              </w:rPr>
              <w:t>区直有关部门、各乡人民政府（街道办事处）按照职责分工负责</w:t>
            </w:r>
          </w:p>
        </w:tc>
        <w:tc>
          <w:tcPr>
            <w:tcW w:w="1045" w:type="dxa"/>
            <w:vMerge w:val="restart"/>
            <w:tcBorders>
              <w:top w:val="single" w:color="000000" w:sz="4" w:space="0"/>
              <w:left w:val="single" w:color="000000" w:sz="4" w:space="0"/>
              <w:right w:val="single" w:color="000000" w:sz="4" w:space="0"/>
            </w:tcBorders>
            <w:noWrap w:val="0"/>
            <w:vAlign w:val="center"/>
          </w:tcPr>
          <w:p>
            <w:pPr>
              <w:jc w:val="center"/>
              <w:rPr>
                <w:rFonts w:eastAsia="方正仿宋_GBK"/>
              </w:rPr>
            </w:pPr>
            <w:r>
              <w:rPr>
                <w:rFonts w:eastAsia="方正仿宋_GBK"/>
              </w:rPr>
              <w:t>全年持续推进</w:t>
            </w:r>
          </w:p>
        </w:tc>
      </w:tr>
      <w:tr>
        <w:tblPrEx>
          <w:tblLayout w:type="fixed"/>
          <w:tblCellMar>
            <w:top w:w="0" w:type="dxa"/>
            <w:left w:w="108" w:type="dxa"/>
            <w:bottom w:w="0" w:type="dxa"/>
            <w:right w:w="108" w:type="dxa"/>
          </w:tblCellMar>
        </w:tblPrEx>
        <w:trPr>
          <w:trHeight w:val="614" w:hRule="atLeast"/>
        </w:trPr>
        <w:tc>
          <w:tcPr>
            <w:tcW w:w="480" w:type="dxa"/>
            <w:vMerge w:val="continue"/>
            <w:tcBorders>
              <w:left w:val="single" w:color="000000" w:sz="4" w:space="0"/>
              <w:right w:val="single" w:color="000000" w:sz="4" w:space="0"/>
            </w:tcBorders>
            <w:noWrap w:val="0"/>
            <w:vAlign w:val="center"/>
          </w:tcPr>
          <w:p>
            <w:pPr>
              <w:jc w:val="center"/>
              <w:rPr>
                <w:rFonts w:eastAsia="方正仿宋_GBK"/>
              </w:rPr>
            </w:pPr>
          </w:p>
        </w:tc>
        <w:tc>
          <w:tcPr>
            <w:tcW w:w="1305" w:type="dxa"/>
            <w:vMerge w:val="continue"/>
            <w:tcBorders>
              <w:left w:val="single" w:color="000000" w:sz="4" w:space="0"/>
              <w:right w:val="single" w:color="000000" w:sz="4" w:space="0"/>
            </w:tcBorders>
            <w:noWrap w:val="0"/>
            <w:vAlign w:val="center"/>
          </w:tcPr>
          <w:p>
            <w:pPr>
              <w:jc w:val="center"/>
              <w:rPr>
                <w:rFonts w:eastAsia="方正仿宋_GBK"/>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方正仿宋_GBK"/>
              </w:rPr>
            </w:pPr>
          </w:p>
        </w:tc>
        <w:tc>
          <w:tcPr>
            <w:tcW w:w="6275" w:type="dxa"/>
            <w:tcBorders>
              <w:top w:val="single" w:color="000000" w:sz="4" w:space="0"/>
              <w:left w:val="single" w:color="000000" w:sz="4" w:space="0"/>
              <w:bottom w:val="single" w:color="000000" w:sz="4" w:space="0"/>
              <w:right w:val="single" w:color="000000" w:sz="4" w:space="0"/>
            </w:tcBorders>
            <w:noWrap w:val="0"/>
            <w:vAlign w:val="center"/>
          </w:tcPr>
          <w:p>
            <w:pPr>
              <w:rPr>
                <w:rFonts w:eastAsia="方正仿宋_GBK"/>
              </w:rPr>
            </w:pPr>
            <w:r>
              <w:rPr>
                <w:rFonts w:eastAsia="方正仿宋_GBK"/>
              </w:rPr>
              <w:t>7.做好医保药品目录、国家药品集中采购试点配套医保报销政策调整的发布工作。</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eastAsia="方正仿宋_GBK"/>
                <w:lang w:eastAsia="zh-CN"/>
              </w:rPr>
            </w:pPr>
            <w:r>
              <w:rPr>
                <w:rFonts w:hint="eastAsia" w:eastAsia="方正仿宋_GBK"/>
                <w:lang w:eastAsia="zh-CN"/>
              </w:rPr>
              <w:t>区</w:t>
            </w:r>
            <w:r>
              <w:rPr>
                <w:rFonts w:eastAsia="方正仿宋_GBK"/>
              </w:rPr>
              <w:t>医保局牵头；</w:t>
            </w:r>
            <w:r>
              <w:rPr>
                <w:rFonts w:hint="eastAsia" w:eastAsia="方正仿宋_GBK"/>
                <w:lang w:eastAsia="zh-CN"/>
              </w:rPr>
              <w:t>区直有关部门、各乡人民政府（街道办事处）按照职责分工负责</w:t>
            </w:r>
          </w:p>
        </w:tc>
        <w:tc>
          <w:tcPr>
            <w:tcW w:w="1045" w:type="dxa"/>
            <w:vMerge w:val="continue"/>
            <w:tcBorders>
              <w:left w:val="single" w:color="000000" w:sz="4" w:space="0"/>
              <w:right w:val="single" w:color="000000" w:sz="4" w:space="0"/>
            </w:tcBorders>
            <w:noWrap w:val="0"/>
            <w:vAlign w:val="center"/>
          </w:tcPr>
          <w:p>
            <w:pPr>
              <w:jc w:val="center"/>
              <w:rPr>
                <w:rFonts w:eastAsia="方正仿宋_GBK"/>
              </w:rPr>
            </w:pPr>
          </w:p>
        </w:tc>
      </w:tr>
      <w:tr>
        <w:tblPrEx>
          <w:tblLayout w:type="fixed"/>
          <w:tblCellMar>
            <w:top w:w="0" w:type="dxa"/>
            <w:left w:w="108" w:type="dxa"/>
            <w:bottom w:w="0" w:type="dxa"/>
            <w:right w:w="108" w:type="dxa"/>
          </w:tblCellMar>
        </w:tblPrEx>
        <w:trPr>
          <w:trHeight w:val="1125" w:hRule="atLeast"/>
        </w:trPr>
        <w:tc>
          <w:tcPr>
            <w:tcW w:w="480" w:type="dxa"/>
            <w:vMerge w:val="continue"/>
            <w:tcBorders>
              <w:left w:val="single" w:color="000000" w:sz="4" w:space="0"/>
              <w:right w:val="single" w:color="000000" w:sz="4" w:space="0"/>
            </w:tcBorders>
            <w:noWrap w:val="0"/>
            <w:vAlign w:val="center"/>
          </w:tcPr>
          <w:p>
            <w:pPr>
              <w:jc w:val="center"/>
              <w:rPr>
                <w:rFonts w:eastAsia="方正仿宋_GBK"/>
              </w:rPr>
            </w:pPr>
          </w:p>
        </w:tc>
        <w:tc>
          <w:tcPr>
            <w:tcW w:w="1305" w:type="dxa"/>
            <w:vMerge w:val="continue"/>
            <w:tcBorders>
              <w:left w:val="single" w:color="000000" w:sz="4" w:space="0"/>
              <w:right w:val="single" w:color="000000" w:sz="4" w:space="0"/>
            </w:tcBorders>
            <w:noWrap w:val="0"/>
            <w:vAlign w:val="center"/>
          </w:tcPr>
          <w:p>
            <w:pPr>
              <w:jc w:val="center"/>
              <w:rPr>
                <w:rFonts w:eastAsia="方正仿宋_GBK"/>
              </w:rPr>
            </w:pPr>
          </w:p>
        </w:tc>
        <w:tc>
          <w:tcPr>
            <w:tcW w:w="157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方正仿宋_GBK"/>
              </w:rPr>
            </w:pPr>
            <w:r>
              <w:rPr>
                <w:rFonts w:eastAsia="方正仿宋_GBK"/>
              </w:rPr>
              <w:t>（二）突出做好稳就业保就业信息公开</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pPr>
              <w:rPr>
                <w:rFonts w:eastAsia="方正仿宋_GBK"/>
              </w:rPr>
            </w:pPr>
            <w:r>
              <w:rPr>
                <w:rFonts w:eastAsia="方正仿宋_GBK"/>
              </w:rPr>
              <w:t>8.加大失业保险稳岗返还、留工补助、留工培训等政策发布解读和政策培训工作力度，重点对基层执行机关开展政策培训。及时发布新就业形态劳动者劳动权益保障信息，畅通维权和咨询投诉渠道。动态发布技能培训政策规定及经办流程。</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eastAsia="方正仿宋_GBK"/>
                <w:lang w:eastAsia="zh-CN"/>
              </w:rPr>
            </w:pPr>
            <w:r>
              <w:rPr>
                <w:rFonts w:hint="eastAsia" w:eastAsia="方正仿宋_GBK"/>
                <w:lang w:eastAsia="zh-CN"/>
              </w:rPr>
              <w:t>区</w:t>
            </w:r>
            <w:r>
              <w:rPr>
                <w:rFonts w:eastAsia="方正仿宋_GBK"/>
              </w:rPr>
              <w:t>人力资源</w:t>
            </w:r>
            <w:r>
              <w:rPr>
                <w:rFonts w:hint="eastAsia" w:eastAsia="方正仿宋_GBK"/>
                <w:lang w:eastAsia="zh-CN"/>
              </w:rPr>
              <w:t>和</w:t>
            </w:r>
            <w:r>
              <w:rPr>
                <w:rFonts w:eastAsia="方正仿宋_GBK"/>
              </w:rPr>
              <w:t>社会保障局牵头；</w:t>
            </w:r>
            <w:r>
              <w:rPr>
                <w:rFonts w:hint="eastAsia" w:eastAsia="方正仿宋_GBK"/>
                <w:lang w:eastAsia="zh-CN"/>
              </w:rPr>
              <w:t>区直有关部门、各乡人民政府（街道办事处）按照职责分工负责</w:t>
            </w:r>
          </w:p>
        </w:tc>
        <w:tc>
          <w:tcPr>
            <w:tcW w:w="1045" w:type="dxa"/>
            <w:vMerge w:val="continue"/>
            <w:tcBorders>
              <w:left w:val="single" w:color="000000" w:sz="4" w:space="0"/>
              <w:right w:val="single" w:color="000000" w:sz="4" w:space="0"/>
            </w:tcBorders>
            <w:noWrap w:val="0"/>
            <w:vAlign w:val="center"/>
          </w:tcPr>
          <w:p>
            <w:pPr>
              <w:jc w:val="center"/>
              <w:rPr>
                <w:rFonts w:eastAsia="方正仿宋_GBK"/>
              </w:rPr>
            </w:pPr>
          </w:p>
        </w:tc>
      </w:tr>
      <w:tr>
        <w:tblPrEx>
          <w:tblLayout w:type="fixed"/>
          <w:tblCellMar>
            <w:top w:w="0" w:type="dxa"/>
            <w:left w:w="108" w:type="dxa"/>
            <w:bottom w:w="0" w:type="dxa"/>
            <w:right w:w="108" w:type="dxa"/>
          </w:tblCellMar>
        </w:tblPrEx>
        <w:trPr>
          <w:trHeight w:val="1125" w:hRule="atLeast"/>
        </w:trPr>
        <w:tc>
          <w:tcPr>
            <w:tcW w:w="480" w:type="dxa"/>
            <w:vMerge w:val="continue"/>
            <w:tcBorders>
              <w:left w:val="single" w:color="000000" w:sz="4" w:space="0"/>
              <w:right w:val="single" w:color="000000" w:sz="4" w:space="0"/>
            </w:tcBorders>
            <w:noWrap w:val="0"/>
            <w:vAlign w:val="center"/>
          </w:tcPr>
          <w:p>
            <w:pPr>
              <w:jc w:val="center"/>
              <w:rPr>
                <w:rFonts w:eastAsia="方正仿宋_GBK"/>
              </w:rPr>
            </w:pPr>
          </w:p>
        </w:tc>
        <w:tc>
          <w:tcPr>
            <w:tcW w:w="1305" w:type="dxa"/>
            <w:vMerge w:val="continue"/>
            <w:tcBorders>
              <w:left w:val="single" w:color="000000" w:sz="4" w:space="0"/>
              <w:right w:val="single" w:color="000000" w:sz="4" w:space="0"/>
            </w:tcBorders>
            <w:noWrap w:val="0"/>
            <w:vAlign w:val="center"/>
          </w:tcPr>
          <w:p>
            <w:pPr>
              <w:jc w:val="center"/>
              <w:rPr>
                <w:rFonts w:eastAsia="方正仿宋_GBK"/>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方正仿宋_GBK"/>
              </w:rPr>
            </w:pPr>
          </w:p>
        </w:tc>
        <w:tc>
          <w:tcPr>
            <w:tcW w:w="6275" w:type="dxa"/>
            <w:tcBorders>
              <w:top w:val="single" w:color="000000" w:sz="4" w:space="0"/>
              <w:left w:val="single" w:color="000000" w:sz="4" w:space="0"/>
              <w:bottom w:val="single" w:color="000000" w:sz="4" w:space="0"/>
              <w:right w:val="single" w:color="000000" w:sz="4" w:space="0"/>
            </w:tcBorders>
            <w:noWrap w:val="0"/>
            <w:vAlign w:val="center"/>
          </w:tcPr>
          <w:p>
            <w:pPr>
              <w:rPr>
                <w:rFonts w:eastAsia="方正仿宋_GBK"/>
              </w:rPr>
            </w:pPr>
            <w:r>
              <w:rPr>
                <w:rFonts w:eastAsia="方正仿宋_GBK"/>
              </w:rPr>
              <w:t>9.深入推进面向高校毕业生、退役军人、失业人员等重点群体的就业服务信息和促进就业创业政策措施公开。</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eastAsia="方正仿宋_GBK"/>
                <w:lang w:eastAsia="zh-CN"/>
              </w:rPr>
            </w:pPr>
            <w:r>
              <w:rPr>
                <w:rFonts w:hint="eastAsia" w:eastAsia="方正仿宋_GBK"/>
                <w:lang w:eastAsia="zh-CN"/>
              </w:rPr>
              <w:t>区教育体育局</w:t>
            </w:r>
            <w:r>
              <w:rPr>
                <w:rFonts w:eastAsia="方正仿宋_GBK"/>
              </w:rPr>
              <w:t>、</w:t>
            </w:r>
            <w:r>
              <w:rPr>
                <w:rFonts w:hint="eastAsia" w:eastAsia="方正仿宋_GBK"/>
                <w:lang w:eastAsia="zh-CN"/>
              </w:rPr>
              <w:t>区</w:t>
            </w:r>
            <w:r>
              <w:rPr>
                <w:rFonts w:eastAsia="方正仿宋_GBK"/>
              </w:rPr>
              <w:t>退役军人</w:t>
            </w:r>
            <w:r>
              <w:rPr>
                <w:rFonts w:hint="eastAsia" w:eastAsia="方正仿宋_GBK"/>
                <w:lang w:eastAsia="zh-CN"/>
              </w:rPr>
              <w:t>事务</w:t>
            </w:r>
            <w:r>
              <w:rPr>
                <w:rFonts w:eastAsia="方正仿宋_GBK"/>
              </w:rPr>
              <w:t>局、</w:t>
            </w:r>
            <w:r>
              <w:rPr>
                <w:rFonts w:hint="eastAsia" w:eastAsia="方正仿宋_GBK"/>
                <w:lang w:eastAsia="zh-CN"/>
              </w:rPr>
              <w:t>区人力资源和社会保障局</w:t>
            </w:r>
            <w:r>
              <w:rPr>
                <w:rFonts w:eastAsia="方正仿宋_GBK"/>
              </w:rPr>
              <w:t>牵头；</w:t>
            </w:r>
            <w:r>
              <w:rPr>
                <w:rFonts w:hint="eastAsia" w:eastAsia="方正仿宋_GBK"/>
                <w:lang w:eastAsia="zh-CN"/>
              </w:rPr>
              <w:t>区直有关部门、各乡人民政府（街道办事处）按照职责分工负责</w:t>
            </w:r>
          </w:p>
        </w:tc>
        <w:tc>
          <w:tcPr>
            <w:tcW w:w="1045" w:type="dxa"/>
            <w:vMerge w:val="continue"/>
            <w:tcBorders>
              <w:left w:val="single" w:color="000000" w:sz="4" w:space="0"/>
              <w:right w:val="single" w:color="000000" w:sz="4" w:space="0"/>
            </w:tcBorders>
            <w:noWrap w:val="0"/>
            <w:vAlign w:val="center"/>
          </w:tcPr>
          <w:p>
            <w:pPr>
              <w:jc w:val="center"/>
              <w:rPr>
                <w:rFonts w:eastAsia="方正仿宋_GBK"/>
              </w:rPr>
            </w:pPr>
          </w:p>
        </w:tc>
      </w:tr>
      <w:tr>
        <w:tblPrEx>
          <w:tblLayout w:type="fixed"/>
          <w:tblCellMar>
            <w:top w:w="0" w:type="dxa"/>
            <w:left w:w="108" w:type="dxa"/>
            <w:bottom w:w="0" w:type="dxa"/>
            <w:right w:w="108" w:type="dxa"/>
          </w:tblCellMar>
        </w:tblPrEx>
        <w:trPr>
          <w:trHeight w:val="706" w:hRule="atLeast"/>
        </w:trPr>
        <w:tc>
          <w:tcPr>
            <w:tcW w:w="480" w:type="dxa"/>
            <w:vMerge w:val="continue"/>
            <w:tcBorders>
              <w:left w:val="single" w:color="000000" w:sz="4" w:space="0"/>
              <w:right w:val="single" w:color="000000" w:sz="4" w:space="0"/>
            </w:tcBorders>
            <w:noWrap w:val="0"/>
            <w:vAlign w:val="center"/>
          </w:tcPr>
          <w:p>
            <w:pPr>
              <w:jc w:val="center"/>
              <w:rPr>
                <w:rFonts w:eastAsia="方正仿宋_GBK"/>
              </w:rPr>
            </w:pPr>
          </w:p>
        </w:tc>
        <w:tc>
          <w:tcPr>
            <w:tcW w:w="1305" w:type="dxa"/>
            <w:vMerge w:val="continue"/>
            <w:tcBorders>
              <w:left w:val="single" w:color="000000" w:sz="4" w:space="0"/>
              <w:right w:val="single" w:color="000000" w:sz="4" w:space="0"/>
            </w:tcBorders>
            <w:noWrap w:val="0"/>
            <w:vAlign w:val="center"/>
          </w:tcPr>
          <w:p>
            <w:pPr>
              <w:jc w:val="center"/>
              <w:rPr>
                <w:rFonts w:eastAsia="方正仿宋_GBK"/>
              </w:rPr>
            </w:pPr>
          </w:p>
        </w:tc>
        <w:tc>
          <w:tcPr>
            <w:tcW w:w="157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方正仿宋_GBK"/>
              </w:rPr>
            </w:pPr>
            <w:r>
              <w:rPr>
                <w:rFonts w:eastAsia="方正仿宋_GBK"/>
              </w:rPr>
              <w:t>（三）重点做好民生保障信息公开</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pPr>
              <w:rPr>
                <w:rFonts w:eastAsia="方正仿宋_GBK"/>
              </w:rPr>
            </w:pPr>
            <w:r>
              <w:rPr>
                <w:rFonts w:eastAsia="方正仿宋_GBK"/>
              </w:rPr>
              <w:t>10.动态发布重要民生商品和农资产品价格监测信息，及时公开价格调控政策及有关价费调整信息。</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rPr>
                <w:rFonts w:eastAsia="方正仿宋_GBK"/>
              </w:rPr>
            </w:pPr>
            <w:r>
              <w:rPr>
                <w:rFonts w:hint="eastAsia" w:eastAsia="方正仿宋_GBK"/>
                <w:lang w:eastAsia="zh-CN"/>
              </w:rPr>
              <w:t>区发展和改革局</w:t>
            </w:r>
            <w:r>
              <w:rPr>
                <w:rFonts w:eastAsia="方正仿宋_GBK"/>
              </w:rPr>
              <w:t>牵头；</w:t>
            </w:r>
            <w:r>
              <w:rPr>
                <w:rFonts w:hint="eastAsia" w:eastAsia="方正仿宋_GBK"/>
                <w:lang w:eastAsia="zh-CN"/>
              </w:rPr>
              <w:t>各乡人民政府（街道办事处）</w:t>
            </w:r>
            <w:r>
              <w:rPr>
                <w:rFonts w:eastAsia="方正仿宋_GBK"/>
              </w:rPr>
              <w:t>按照职责分工负责</w:t>
            </w:r>
          </w:p>
        </w:tc>
        <w:tc>
          <w:tcPr>
            <w:tcW w:w="1045" w:type="dxa"/>
            <w:vMerge w:val="continue"/>
            <w:tcBorders>
              <w:left w:val="single" w:color="000000" w:sz="4" w:space="0"/>
              <w:right w:val="single" w:color="000000" w:sz="4" w:space="0"/>
            </w:tcBorders>
            <w:noWrap w:val="0"/>
            <w:vAlign w:val="center"/>
          </w:tcPr>
          <w:p>
            <w:pPr>
              <w:jc w:val="center"/>
              <w:rPr>
                <w:rFonts w:eastAsia="方正仿宋_GBK"/>
              </w:rPr>
            </w:pPr>
          </w:p>
        </w:tc>
      </w:tr>
      <w:tr>
        <w:tblPrEx>
          <w:tblLayout w:type="fixed"/>
          <w:tblCellMar>
            <w:top w:w="0" w:type="dxa"/>
            <w:left w:w="108" w:type="dxa"/>
            <w:bottom w:w="0" w:type="dxa"/>
            <w:right w:w="108" w:type="dxa"/>
          </w:tblCellMar>
        </w:tblPrEx>
        <w:trPr>
          <w:trHeight w:val="750" w:hRule="atLeast"/>
        </w:trPr>
        <w:tc>
          <w:tcPr>
            <w:tcW w:w="480" w:type="dxa"/>
            <w:vMerge w:val="continue"/>
            <w:tcBorders>
              <w:left w:val="single" w:color="000000" w:sz="4" w:space="0"/>
              <w:right w:val="single" w:color="000000" w:sz="4" w:space="0"/>
            </w:tcBorders>
            <w:noWrap w:val="0"/>
            <w:vAlign w:val="center"/>
          </w:tcPr>
          <w:p>
            <w:pPr>
              <w:jc w:val="center"/>
              <w:rPr>
                <w:rFonts w:eastAsia="方正仿宋_GBK"/>
              </w:rPr>
            </w:pPr>
          </w:p>
        </w:tc>
        <w:tc>
          <w:tcPr>
            <w:tcW w:w="1305" w:type="dxa"/>
            <w:vMerge w:val="continue"/>
            <w:tcBorders>
              <w:left w:val="single" w:color="000000" w:sz="4" w:space="0"/>
              <w:right w:val="single" w:color="000000" w:sz="4" w:space="0"/>
            </w:tcBorders>
            <w:noWrap w:val="0"/>
            <w:vAlign w:val="center"/>
          </w:tcPr>
          <w:p>
            <w:pPr>
              <w:jc w:val="center"/>
              <w:rPr>
                <w:rFonts w:eastAsia="方正仿宋_GBK"/>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方正仿宋_GBK"/>
              </w:rPr>
            </w:pPr>
          </w:p>
        </w:tc>
        <w:tc>
          <w:tcPr>
            <w:tcW w:w="6275" w:type="dxa"/>
            <w:tcBorders>
              <w:top w:val="single" w:color="000000" w:sz="4" w:space="0"/>
              <w:left w:val="single" w:color="000000" w:sz="4" w:space="0"/>
              <w:bottom w:val="single" w:color="000000" w:sz="4" w:space="0"/>
              <w:right w:val="single" w:color="000000" w:sz="4" w:space="0"/>
            </w:tcBorders>
            <w:noWrap w:val="0"/>
            <w:vAlign w:val="center"/>
          </w:tcPr>
          <w:p>
            <w:pPr>
              <w:rPr>
                <w:rFonts w:eastAsia="方正仿宋_GBK"/>
              </w:rPr>
            </w:pPr>
            <w:r>
              <w:rPr>
                <w:rFonts w:eastAsia="方正仿宋_GBK"/>
              </w:rPr>
              <w:t>11.及时公开保障性住房建设计划、任务、进展情况和管理规定、分配标准及程序等信息，依法公开国有土地上房屋征收补偿政策等信息。</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rPr>
                <w:rFonts w:eastAsia="方正仿宋_GBK"/>
              </w:rPr>
            </w:pPr>
            <w:r>
              <w:rPr>
                <w:rFonts w:hint="eastAsia" w:eastAsia="方正仿宋_GBK"/>
                <w:lang w:eastAsia="zh-CN"/>
              </w:rPr>
              <w:t>区住房和城乡建设局</w:t>
            </w:r>
            <w:r>
              <w:rPr>
                <w:rFonts w:eastAsia="方正仿宋_GBK"/>
              </w:rPr>
              <w:t>牵头；</w:t>
            </w:r>
            <w:r>
              <w:rPr>
                <w:rFonts w:hint="eastAsia" w:eastAsia="方正仿宋_GBK"/>
                <w:lang w:eastAsia="zh-CN"/>
              </w:rPr>
              <w:t>各乡人民政府（街道办事处）</w:t>
            </w:r>
            <w:r>
              <w:rPr>
                <w:rFonts w:eastAsia="方正仿宋_GBK"/>
              </w:rPr>
              <w:t>按照职责分工负责</w:t>
            </w:r>
          </w:p>
        </w:tc>
        <w:tc>
          <w:tcPr>
            <w:tcW w:w="1045" w:type="dxa"/>
            <w:vMerge w:val="continue"/>
            <w:tcBorders>
              <w:left w:val="single" w:color="000000" w:sz="4" w:space="0"/>
              <w:right w:val="single" w:color="000000" w:sz="4" w:space="0"/>
            </w:tcBorders>
            <w:noWrap w:val="0"/>
            <w:vAlign w:val="center"/>
          </w:tcPr>
          <w:p>
            <w:pPr>
              <w:jc w:val="center"/>
              <w:rPr>
                <w:rFonts w:eastAsia="方正仿宋_GBK"/>
              </w:rPr>
            </w:pPr>
          </w:p>
        </w:tc>
      </w:tr>
      <w:tr>
        <w:tblPrEx>
          <w:tblLayout w:type="fixed"/>
          <w:tblCellMar>
            <w:top w:w="0" w:type="dxa"/>
            <w:left w:w="108" w:type="dxa"/>
            <w:bottom w:w="0" w:type="dxa"/>
            <w:right w:w="108" w:type="dxa"/>
          </w:tblCellMar>
        </w:tblPrEx>
        <w:trPr>
          <w:trHeight w:val="560" w:hRule="atLeast"/>
        </w:trPr>
        <w:tc>
          <w:tcPr>
            <w:tcW w:w="480" w:type="dxa"/>
            <w:vMerge w:val="continue"/>
            <w:tcBorders>
              <w:left w:val="single" w:color="000000" w:sz="4" w:space="0"/>
              <w:right w:val="single" w:color="000000" w:sz="4" w:space="0"/>
            </w:tcBorders>
            <w:noWrap w:val="0"/>
            <w:vAlign w:val="center"/>
          </w:tcPr>
          <w:p>
            <w:pPr>
              <w:jc w:val="center"/>
              <w:rPr>
                <w:rFonts w:eastAsia="方正仿宋_GBK"/>
              </w:rPr>
            </w:pPr>
          </w:p>
        </w:tc>
        <w:tc>
          <w:tcPr>
            <w:tcW w:w="1305" w:type="dxa"/>
            <w:vMerge w:val="continue"/>
            <w:tcBorders>
              <w:left w:val="single" w:color="000000" w:sz="4" w:space="0"/>
              <w:right w:val="single" w:color="000000" w:sz="4" w:space="0"/>
            </w:tcBorders>
            <w:noWrap w:val="0"/>
            <w:vAlign w:val="center"/>
          </w:tcPr>
          <w:p>
            <w:pPr>
              <w:jc w:val="center"/>
              <w:rPr>
                <w:rFonts w:eastAsia="方正仿宋_GBK"/>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方正仿宋_GBK"/>
              </w:rPr>
            </w:pPr>
          </w:p>
        </w:tc>
        <w:tc>
          <w:tcPr>
            <w:tcW w:w="6275" w:type="dxa"/>
            <w:tcBorders>
              <w:top w:val="single" w:color="000000" w:sz="4" w:space="0"/>
              <w:left w:val="single" w:color="000000" w:sz="4" w:space="0"/>
              <w:bottom w:val="single" w:color="000000" w:sz="4" w:space="0"/>
              <w:right w:val="single" w:color="000000" w:sz="4" w:space="0"/>
            </w:tcBorders>
            <w:noWrap w:val="0"/>
            <w:vAlign w:val="center"/>
          </w:tcPr>
          <w:p>
            <w:pPr>
              <w:rPr>
                <w:rFonts w:eastAsia="方正仿宋_GBK"/>
              </w:rPr>
            </w:pPr>
            <w:r>
              <w:rPr>
                <w:rFonts w:eastAsia="方正仿宋_GBK"/>
              </w:rPr>
              <w:t>12.持续加大义务教育阶段招生入学政策、公办学校划片招生范围及民办学校招生计划、范围、程序和录取结果，以及社会救助、儿童福利、养老服务等信息公开力度。</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rPr>
                <w:rFonts w:eastAsia="方正仿宋_GBK"/>
              </w:rPr>
            </w:pPr>
            <w:r>
              <w:rPr>
                <w:rFonts w:hint="eastAsia" w:eastAsia="方正仿宋_GBK"/>
                <w:lang w:eastAsia="zh-CN"/>
              </w:rPr>
              <w:t>区教育体育局</w:t>
            </w:r>
            <w:r>
              <w:rPr>
                <w:rFonts w:eastAsia="方正仿宋_GBK"/>
              </w:rPr>
              <w:t>、</w:t>
            </w:r>
            <w:r>
              <w:rPr>
                <w:rFonts w:hint="eastAsia" w:eastAsia="方正仿宋_GBK"/>
                <w:lang w:eastAsia="zh-CN"/>
              </w:rPr>
              <w:t>区</w:t>
            </w:r>
            <w:r>
              <w:rPr>
                <w:rFonts w:eastAsia="方正仿宋_GBK"/>
              </w:rPr>
              <w:t>民政局牵头；</w:t>
            </w:r>
            <w:r>
              <w:rPr>
                <w:rFonts w:hint="eastAsia" w:eastAsia="方正仿宋_GBK"/>
                <w:lang w:eastAsia="zh-CN"/>
              </w:rPr>
              <w:t>各乡人民政府（街道办事处）</w:t>
            </w:r>
            <w:r>
              <w:rPr>
                <w:rFonts w:eastAsia="方正仿宋_GBK"/>
              </w:rPr>
              <w:t>按照职责分工负责</w:t>
            </w:r>
          </w:p>
        </w:tc>
        <w:tc>
          <w:tcPr>
            <w:tcW w:w="1045" w:type="dxa"/>
            <w:vMerge w:val="continue"/>
            <w:tcBorders>
              <w:left w:val="single" w:color="000000" w:sz="4" w:space="0"/>
              <w:right w:val="single" w:color="000000" w:sz="4" w:space="0"/>
            </w:tcBorders>
            <w:noWrap w:val="0"/>
            <w:vAlign w:val="center"/>
          </w:tcPr>
          <w:p>
            <w:pPr>
              <w:jc w:val="center"/>
              <w:rPr>
                <w:rFonts w:eastAsia="方正仿宋_GBK"/>
              </w:rPr>
            </w:pPr>
          </w:p>
        </w:tc>
      </w:tr>
      <w:tr>
        <w:tblPrEx>
          <w:tblLayout w:type="fixed"/>
          <w:tblCellMar>
            <w:top w:w="0" w:type="dxa"/>
            <w:left w:w="108" w:type="dxa"/>
            <w:bottom w:w="0" w:type="dxa"/>
            <w:right w:w="108" w:type="dxa"/>
          </w:tblCellMar>
        </w:tblPrEx>
        <w:trPr>
          <w:trHeight w:val="750" w:hRule="atLeast"/>
        </w:trPr>
        <w:tc>
          <w:tcPr>
            <w:tcW w:w="480" w:type="dxa"/>
            <w:vMerge w:val="continue"/>
            <w:tcBorders>
              <w:left w:val="single" w:color="000000" w:sz="4" w:space="0"/>
              <w:bottom w:val="single" w:color="000000" w:sz="4" w:space="0"/>
              <w:right w:val="single" w:color="000000" w:sz="4" w:space="0"/>
            </w:tcBorders>
            <w:noWrap w:val="0"/>
            <w:vAlign w:val="center"/>
          </w:tcPr>
          <w:p>
            <w:pPr>
              <w:jc w:val="center"/>
              <w:rPr>
                <w:rFonts w:eastAsia="方正仿宋_GBK"/>
              </w:rPr>
            </w:pPr>
          </w:p>
        </w:tc>
        <w:tc>
          <w:tcPr>
            <w:tcW w:w="1305" w:type="dxa"/>
            <w:vMerge w:val="continue"/>
            <w:tcBorders>
              <w:left w:val="single" w:color="000000" w:sz="4" w:space="0"/>
              <w:bottom w:val="single" w:color="000000" w:sz="4" w:space="0"/>
              <w:right w:val="single" w:color="000000" w:sz="4" w:space="0"/>
            </w:tcBorders>
            <w:noWrap w:val="0"/>
            <w:vAlign w:val="center"/>
          </w:tcPr>
          <w:p>
            <w:pPr>
              <w:jc w:val="center"/>
              <w:rPr>
                <w:rFonts w:eastAsia="方正仿宋_GBK"/>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方正仿宋_GBK"/>
              </w:rPr>
            </w:pPr>
          </w:p>
        </w:tc>
        <w:tc>
          <w:tcPr>
            <w:tcW w:w="6275" w:type="dxa"/>
            <w:tcBorders>
              <w:top w:val="single" w:color="000000" w:sz="4" w:space="0"/>
              <w:left w:val="single" w:color="000000" w:sz="4" w:space="0"/>
              <w:bottom w:val="single" w:color="000000" w:sz="4" w:space="0"/>
              <w:right w:val="single" w:color="000000" w:sz="4" w:space="0"/>
            </w:tcBorders>
            <w:noWrap w:val="0"/>
            <w:vAlign w:val="center"/>
          </w:tcPr>
          <w:p>
            <w:pPr>
              <w:rPr>
                <w:rFonts w:eastAsia="方正仿宋_GBK"/>
              </w:rPr>
            </w:pPr>
            <w:r>
              <w:rPr>
                <w:rFonts w:eastAsia="方正仿宋_GBK"/>
              </w:rPr>
              <w:t>13.积极推进巩固拓展脱贫攻坚成果同乡村振兴有效衔接领域信息公开工作。及时公开防返贫监测范围、帮扶政策及补助资金安排、使用情况等信息。</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rPr>
                <w:rFonts w:eastAsia="方正仿宋_GBK"/>
              </w:rPr>
            </w:pPr>
            <w:r>
              <w:rPr>
                <w:rFonts w:hint="eastAsia" w:eastAsia="方正仿宋_GBK"/>
                <w:lang w:eastAsia="zh-CN"/>
              </w:rPr>
              <w:t>区</w:t>
            </w:r>
            <w:r>
              <w:rPr>
                <w:rFonts w:eastAsia="方正仿宋_GBK"/>
              </w:rPr>
              <w:t>乡村振兴局</w:t>
            </w:r>
            <w:r>
              <w:rPr>
                <w:rFonts w:hint="eastAsia" w:eastAsia="方正仿宋_GBK"/>
                <w:lang w:eastAsia="zh-CN"/>
              </w:rPr>
              <w:t>（区农业农村局）</w:t>
            </w:r>
            <w:r>
              <w:rPr>
                <w:rFonts w:eastAsia="方正仿宋_GBK"/>
              </w:rPr>
              <w:t>牵头；</w:t>
            </w:r>
            <w:r>
              <w:rPr>
                <w:rFonts w:hint="eastAsia" w:eastAsia="方正仿宋_GBK"/>
                <w:lang w:eastAsia="zh-CN"/>
              </w:rPr>
              <w:t>各乡人民政府（街道办事处）</w:t>
            </w:r>
            <w:r>
              <w:rPr>
                <w:rFonts w:eastAsia="方正仿宋_GBK"/>
              </w:rPr>
              <w:t>按照职责分工负责</w:t>
            </w:r>
          </w:p>
        </w:tc>
        <w:tc>
          <w:tcPr>
            <w:tcW w:w="1045" w:type="dxa"/>
            <w:vMerge w:val="continue"/>
            <w:tcBorders>
              <w:left w:val="single" w:color="000000" w:sz="4" w:space="0"/>
              <w:bottom w:val="single" w:color="000000" w:sz="4" w:space="0"/>
              <w:right w:val="single" w:color="000000" w:sz="4" w:space="0"/>
            </w:tcBorders>
            <w:noWrap w:val="0"/>
            <w:vAlign w:val="center"/>
          </w:tcPr>
          <w:p>
            <w:pPr>
              <w:jc w:val="center"/>
              <w:rPr>
                <w:rFonts w:eastAsia="方正仿宋_GBK"/>
              </w:rPr>
            </w:pPr>
          </w:p>
        </w:tc>
      </w:tr>
      <w:tr>
        <w:tblPrEx>
          <w:tblLayout w:type="fixed"/>
          <w:tblCellMar>
            <w:top w:w="0" w:type="dxa"/>
            <w:left w:w="108" w:type="dxa"/>
            <w:bottom w:w="0" w:type="dxa"/>
            <w:right w:w="108" w:type="dxa"/>
          </w:tblCellMar>
        </w:tblPrEx>
        <w:trPr>
          <w:trHeight w:val="2060" w:hRule="atLeast"/>
        </w:trPr>
        <w:tc>
          <w:tcPr>
            <w:tcW w:w="480" w:type="dxa"/>
            <w:vMerge w:val="restart"/>
            <w:tcBorders>
              <w:top w:val="single" w:color="000000" w:sz="4" w:space="0"/>
              <w:left w:val="single" w:color="000000" w:sz="4" w:space="0"/>
              <w:right w:val="single" w:color="000000" w:sz="4" w:space="0"/>
            </w:tcBorders>
            <w:noWrap w:val="0"/>
            <w:vAlign w:val="center"/>
          </w:tcPr>
          <w:p>
            <w:pPr>
              <w:jc w:val="center"/>
              <w:rPr>
                <w:rFonts w:eastAsia="方正仿宋_GBK"/>
              </w:rPr>
            </w:pPr>
            <w:r>
              <w:rPr>
                <w:rFonts w:eastAsia="方正仿宋_GBK"/>
              </w:rPr>
              <w:t>三</w:t>
            </w:r>
          </w:p>
        </w:tc>
        <w:tc>
          <w:tcPr>
            <w:tcW w:w="1305" w:type="dxa"/>
            <w:vMerge w:val="restart"/>
            <w:tcBorders>
              <w:top w:val="single" w:color="000000" w:sz="4" w:space="0"/>
              <w:left w:val="single" w:color="000000" w:sz="4" w:space="0"/>
              <w:right w:val="single" w:color="000000" w:sz="4" w:space="0"/>
            </w:tcBorders>
            <w:noWrap w:val="0"/>
            <w:vAlign w:val="center"/>
          </w:tcPr>
          <w:p>
            <w:pPr>
              <w:jc w:val="center"/>
              <w:rPr>
                <w:rFonts w:eastAsia="方正仿宋_GBK"/>
              </w:rPr>
            </w:pPr>
            <w:r>
              <w:rPr>
                <w:rFonts w:eastAsia="方正仿宋_GBK"/>
              </w:rPr>
              <w:t>聚焦重点领域加大公开力度</w:t>
            </w:r>
          </w:p>
        </w:tc>
        <w:tc>
          <w:tcPr>
            <w:tcW w:w="15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方正仿宋_GBK"/>
              </w:rPr>
            </w:pPr>
            <w:r>
              <w:rPr>
                <w:rFonts w:eastAsia="方正仿宋_GBK"/>
              </w:rPr>
              <w:t>（一）深化生态环境领域的信息公开</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pPr>
              <w:rPr>
                <w:rFonts w:eastAsia="方正仿宋_GBK"/>
              </w:rPr>
            </w:pPr>
            <w:r>
              <w:rPr>
                <w:rFonts w:eastAsia="方正仿宋_GBK"/>
              </w:rPr>
              <w:t>14.加大蓝天、碧水、净土保卫战有关信息公开力度，及时公开年度目标任务、工作进展和完成情况。常态化做好城市空气质量状况、地表水和集中式饮用水水源水质监测、辐射环境质量信息公开，及时发布重污染天气预警预报信息。持续做好中央、省级生态环境保护督察和发现问题整改情况的公开工作。</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eastAsia="方正仿宋_GBK"/>
                <w:lang w:eastAsia="zh-CN"/>
              </w:rPr>
            </w:pPr>
            <w:r>
              <w:rPr>
                <w:rFonts w:eastAsia="方正仿宋_GBK"/>
              </w:rPr>
              <w:t>市生态环境局</w:t>
            </w:r>
            <w:r>
              <w:rPr>
                <w:rFonts w:hint="eastAsia" w:eastAsia="方正仿宋_GBK"/>
                <w:lang w:eastAsia="zh-CN"/>
              </w:rPr>
              <w:t>红塔分局</w:t>
            </w:r>
            <w:r>
              <w:rPr>
                <w:rFonts w:eastAsia="方正仿宋_GBK"/>
              </w:rPr>
              <w:t>牵头，</w:t>
            </w:r>
            <w:r>
              <w:rPr>
                <w:rFonts w:hint="eastAsia" w:eastAsia="方正仿宋_GBK"/>
                <w:lang w:eastAsia="zh-CN"/>
              </w:rPr>
              <w:t>区直有关部门、各乡人民政府（街道办事处）按照职责分工负责</w:t>
            </w:r>
          </w:p>
        </w:tc>
        <w:tc>
          <w:tcPr>
            <w:tcW w:w="1045" w:type="dxa"/>
            <w:vMerge w:val="restart"/>
            <w:tcBorders>
              <w:top w:val="single" w:color="000000" w:sz="4" w:space="0"/>
              <w:left w:val="single" w:color="000000" w:sz="4" w:space="0"/>
              <w:right w:val="single" w:color="000000" w:sz="4" w:space="0"/>
            </w:tcBorders>
            <w:noWrap w:val="0"/>
            <w:vAlign w:val="center"/>
          </w:tcPr>
          <w:p>
            <w:pPr>
              <w:jc w:val="center"/>
              <w:rPr>
                <w:rFonts w:eastAsia="方正仿宋_GBK"/>
              </w:rPr>
            </w:pPr>
            <w:r>
              <w:rPr>
                <w:rFonts w:eastAsia="方正仿宋_GBK"/>
              </w:rPr>
              <w:t>全年持续推进</w:t>
            </w:r>
          </w:p>
        </w:tc>
      </w:tr>
      <w:tr>
        <w:tblPrEx>
          <w:tblLayout w:type="fixed"/>
          <w:tblCellMar>
            <w:top w:w="0" w:type="dxa"/>
            <w:left w:w="108" w:type="dxa"/>
            <w:bottom w:w="0" w:type="dxa"/>
            <w:right w:w="108" w:type="dxa"/>
          </w:tblCellMar>
        </w:tblPrEx>
        <w:trPr>
          <w:trHeight w:val="1500" w:hRule="atLeast"/>
        </w:trPr>
        <w:tc>
          <w:tcPr>
            <w:tcW w:w="480" w:type="dxa"/>
            <w:vMerge w:val="continue"/>
            <w:tcBorders>
              <w:left w:val="single" w:color="000000" w:sz="4" w:space="0"/>
              <w:right w:val="single" w:color="000000" w:sz="4" w:space="0"/>
            </w:tcBorders>
            <w:noWrap w:val="0"/>
            <w:vAlign w:val="center"/>
          </w:tcPr>
          <w:p>
            <w:pPr>
              <w:jc w:val="center"/>
              <w:rPr>
                <w:rFonts w:eastAsia="方正仿宋_GBK"/>
              </w:rPr>
            </w:pPr>
          </w:p>
        </w:tc>
        <w:tc>
          <w:tcPr>
            <w:tcW w:w="1305" w:type="dxa"/>
            <w:vMerge w:val="continue"/>
            <w:tcBorders>
              <w:left w:val="single" w:color="000000" w:sz="4" w:space="0"/>
              <w:right w:val="single" w:color="000000" w:sz="4" w:space="0"/>
            </w:tcBorders>
            <w:noWrap w:val="0"/>
            <w:vAlign w:val="center"/>
          </w:tcPr>
          <w:p>
            <w:pPr>
              <w:jc w:val="center"/>
              <w:rPr>
                <w:rFonts w:eastAsia="方正仿宋_GBK"/>
              </w:rPr>
            </w:pPr>
          </w:p>
        </w:tc>
        <w:tc>
          <w:tcPr>
            <w:tcW w:w="15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方正仿宋_GBK"/>
              </w:rPr>
            </w:pPr>
            <w:r>
              <w:rPr>
                <w:rFonts w:eastAsia="方正仿宋_GBK"/>
              </w:rPr>
              <w:t>（二）深化公共资源配置领域的信息公开</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pPr>
              <w:rPr>
                <w:rFonts w:eastAsia="方正仿宋_GBK"/>
              </w:rPr>
            </w:pPr>
            <w:r>
              <w:rPr>
                <w:rFonts w:eastAsia="方正仿宋_GBK"/>
              </w:rPr>
              <w:t>15.提高公共资源交易活动的透明度，依法公开公共资源项目基本信息、中标（成交）信息、公共资源配置有关主体信用信息等。推进《云南省公共资源交易领域基层政务公开标准指引》落实落地，进一步规范各地、有关部门公共资源配置领域的信息公开工作。</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eastAsia="方正仿宋_GBK"/>
                <w:lang w:eastAsia="zh-CN"/>
              </w:rPr>
            </w:pPr>
            <w:r>
              <w:rPr>
                <w:rFonts w:hint="eastAsia" w:eastAsia="方正仿宋_GBK"/>
                <w:lang w:eastAsia="zh-CN"/>
              </w:rPr>
              <w:t>区发展和改革局</w:t>
            </w:r>
            <w:r>
              <w:rPr>
                <w:rFonts w:eastAsia="方正仿宋_GBK"/>
              </w:rPr>
              <w:t>牵头，</w:t>
            </w:r>
            <w:r>
              <w:rPr>
                <w:rFonts w:hint="eastAsia" w:eastAsia="方正仿宋_GBK"/>
                <w:lang w:eastAsia="zh-CN"/>
              </w:rPr>
              <w:t>区直有关部门、各乡人民政府（街道办事处）按照职责分工负责</w:t>
            </w:r>
          </w:p>
        </w:tc>
        <w:tc>
          <w:tcPr>
            <w:tcW w:w="1045" w:type="dxa"/>
            <w:vMerge w:val="continue"/>
            <w:tcBorders>
              <w:left w:val="single" w:color="000000" w:sz="4" w:space="0"/>
              <w:right w:val="single" w:color="000000" w:sz="4" w:space="0"/>
            </w:tcBorders>
            <w:noWrap w:val="0"/>
            <w:vAlign w:val="center"/>
          </w:tcPr>
          <w:p>
            <w:pPr>
              <w:jc w:val="center"/>
              <w:rPr>
                <w:rFonts w:eastAsia="方正仿宋_GBK"/>
              </w:rPr>
            </w:pPr>
          </w:p>
        </w:tc>
      </w:tr>
      <w:tr>
        <w:tblPrEx>
          <w:tblLayout w:type="fixed"/>
          <w:tblCellMar>
            <w:top w:w="0" w:type="dxa"/>
            <w:left w:w="108" w:type="dxa"/>
            <w:bottom w:w="0" w:type="dxa"/>
            <w:right w:w="108" w:type="dxa"/>
          </w:tblCellMar>
        </w:tblPrEx>
        <w:trPr>
          <w:trHeight w:val="1500" w:hRule="atLeast"/>
        </w:trPr>
        <w:tc>
          <w:tcPr>
            <w:tcW w:w="480" w:type="dxa"/>
            <w:vMerge w:val="continue"/>
            <w:tcBorders>
              <w:left w:val="single" w:color="000000" w:sz="4" w:space="0"/>
              <w:right w:val="single" w:color="000000" w:sz="4" w:space="0"/>
            </w:tcBorders>
            <w:noWrap w:val="0"/>
            <w:vAlign w:val="center"/>
          </w:tcPr>
          <w:p>
            <w:pPr>
              <w:jc w:val="center"/>
              <w:rPr>
                <w:rFonts w:eastAsia="方正仿宋_GBK"/>
              </w:rPr>
            </w:pPr>
          </w:p>
        </w:tc>
        <w:tc>
          <w:tcPr>
            <w:tcW w:w="1305" w:type="dxa"/>
            <w:vMerge w:val="continue"/>
            <w:tcBorders>
              <w:left w:val="single" w:color="000000" w:sz="4" w:space="0"/>
              <w:right w:val="single" w:color="000000" w:sz="4" w:space="0"/>
            </w:tcBorders>
            <w:noWrap w:val="0"/>
            <w:vAlign w:val="center"/>
          </w:tcPr>
          <w:p>
            <w:pPr>
              <w:jc w:val="center"/>
              <w:rPr>
                <w:rFonts w:eastAsia="方正仿宋_GBK"/>
              </w:rPr>
            </w:pPr>
          </w:p>
        </w:tc>
        <w:tc>
          <w:tcPr>
            <w:tcW w:w="15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方正仿宋_GBK"/>
              </w:rPr>
            </w:pPr>
            <w:r>
              <w:rPr>
                <w:rFonts w:eastAsia="方正仿宋_GBK"/>
              </w:rPr>
              <w:t>（三）深化自然资源领域的信息公开</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pPr>
              <w:rPr>
                <w:rFonts w:eastAsia="方正仿宋_GBK"/>
              </w:rPr>
            </w:pPr>
            <w:r>
              <w:rPr>
                <w:rFonts w:eastAsia="方正仿宋_GBK"/>
              </w:rPr>
              <w:t>16.加大国土空间规划管理信息公开力度。优化矿产资源管理信息公开流程，细化公开内容，依法、及时、准确公开矿业权出让公告、交易结果公示、审批结果公示等信息.拓展公开渠道，加大土地资源管理、地质灾害风险预警预报、地质灾害气象风险预警预报等信息的发布力度。</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eastAsia="方正仿宋_GBK"/>
                <w:lang w:eastAsia="zh-CN"/>
              </w:rPr>
            </w:pPr>
            <w:r>
              <w:rPr>
                <w:rFonts w:hint="eastAsia" w:eastAsia="方正仿宋_GBK"/>
                <w:lang w:eastAsia="zh-CN"/>
              </w:rPr>
              <w:t>区</w:t>
            </w:r>
            <w:r>
              <w:rPr>
                <w:rFonts w:eastAsia="方正仿宋_GBK"/>
              </w:rPr>
              <w:t>自然资源局牵头，</w:t>
            </w:r>
            <w:r>
              <w:rPr>
                <w:rFonts w:hint="eastAsia" w:eastAsia="方正仿宋_GBK"/>
                <w:lang w:eastAsia="zh-CN"/>
              </w:rPr>
              <w:t>区直有关部门、各乡人民政府（街道办事处）按照职责分工负责</w:t>
            </w:r>
          </w:p>
        </w:tc>
        <w:tc>
          <w:tcPr>
            <w:tcW w:w="1045" w:type="dxa"/>
            <w:vMerge w:val="continue"/>
            <w:tcBorders>
              <w:left w:val="single" w:color="000000" w:sz="4" w:space="0"/>
              <w:right w:val="single" w:color="000000" w:sz="4" w:space="0"/>
            </w:tcBorders>
            <w:noWrap w:val="0"/>
            <w:vAlign w:val="center"/>
          </w:tcPr>
          <w:p>
            <w:pPr>
              <w:jc w:val="center"/>
              <w:rPr>
                <w:rFonts w:eastAsia="方正仿宋_GBK"/>
              </w:rPr>
            </w:pPr>
          </w:p>
        </w:tc>
      </w:tr>
      <w:tr>
        <w:tblPrEx>
          <w:tblLayout w:type="fixed"/>
          <w:tblCellMar>
            <w:top w:w="0" w:type="dxa"/>
            <w:left w:w="108" w:type="dxa"/>
            <w:bottom w:w="0" w:type="dxa"/>
            <w:right w:w="108" w:type="dxa"/>
          </w:tblCellMar>
        </w:tblPrEx>
        <w:trPr>
          <w:trHeight w:val="1204" w:hRule="atLeast"/>
        </w:trPr>
        <w:tc>
          <w:tcPr>
            <w:tcW w:w="480" w:type="dxa"/>
            <w:vMerge w:val="continue"/>
            <w:tcBorders>
              <w:left w:val="single" w:color="000000" w:sz="4" w:space="0"/>
              <w:right w:val="single" w:color="000000" w:sz="4" w:space="0"/>
            </w:tcBorders>
            <w:noWrap w:val="0"/>
            <w:vAlign w:val="center"/>
          </w:tcPr>
          <w:p>
            <w:pPr>
              <w:jc w:val="center"/>
              <w:rPr>
                <w:rFonts w:eastAsia="方正仿宋_GBK"/>
              </w:rPr>
            </w:pPr>
          </w:p>
        </w:tc>
        <w:tc>
          <w:tcPr>
            <w:tcW w:w="1305" w:type="dxa"/>
            <w:vMerge w:val="continue"/>
            <w:tcBorders>
              <w:left w:val="single" w:color="000000" w:sz="4" w:space="0"/>
              <w:right w:val="single" w:color="000000" w:sz="4" w:space="0"/>
            </w:tcBorders>
            <w:noWrap w:val="0"/>
            <w:vAlign w:val="center"/>
          </w:tcPr>
          <w:p>
            <w:pPr>
              <w:jc w:val="center"/>
              <w:rPr>
                <w:rFonts w:eastAsia="方正仿宋_GBK"/>
              </w:rPr>
            </w:pPr>
          </w:p>
        </w:tc>
        <w:tc>
          <w:tcPr>
            <w:tcW w:w="157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方正仿宋_GBK"/>
              </w:rPr>
            </w:pPr>
            <w:r>
              <w:rPr>
                <w:rFonts w:eastAsia="方正仿宋_GBK"/>
              </w:rPr>
              <w:t>（四）深化财政和审计领域的信息公开</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pPr>
              <w:rPr>
                <w:rFonts w:eastAsia="方正仿宋_GBK"/>
              </w:rPr>
            </w:pPr>
            <w:r>
              <w:rPr>
                <w:rFonts w:eastAsia="方正仿宋_GBK"/>
              </w:rPr>
              <w:t>17.进一步扩大预决算公开范围，全面推进部门所属单位预算、决算公开。随同政府预决算公开政府债务限额、余额、使用安排及还本付息等信息，及时公开债券存续期情况等有关信息。</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eastAsia="方正仿宋_GBK"/>
                <w:lang w:eastAsia="zh-CN"/>
              </w:rPr>
            </w:pPr>
            <w:r>
              <w:rPr>
                <w:rFonts w:hint="eastAsia" w:eastAsia="方正仿宋_GBK"/>
                <w:lang w:eastAsia="zh-CN"/>
              </w:rPr>
              <w:t>区</w:t>
            </w:r>
            <w:r>
              <w:rPr>
                <w:rFonts w:eastAsia="方正仿宋_GBK"/>
              </w:rPr>
              <w:t>财政局牵头，</w:t>
            </w:r>
            <w:r>
              <w:rPr>
                <w:rFonts w:hint="eastAsia" w:eastAsia="方正仿宋_GBK"/>
                <w:lang w:eastAsia="zh-CN"/>
              </w:rPr>
              <w:t>区直有关部门、各乡人民政府（街道办事处）按照职责分工负责</w:t>
            </w:r>
          </w:p>
        </w:tc>
        <w:tc>
          <w:tcPr>
            <w:tcW w:w="1045" w:type="dxa"/>
            <w:vMerge w:val="continue"/>
            <w:tcBorders>
              <w:left w:val="single" w:color="000000" w:sz="4" w:space="0"/>
              <w:right w:val="single" w:color="000000" w:sz="4" w:space="0"/>
            </w:tcBorders>
            <w:noWrap w:val="0"/>
            <w:vAlign w:val="center"/>
          </w:tcPr>
          <w:p>
            <w:pPr>
              <w:jc w:val="center"/>
              <w:rPr>
                <w:rFonts w:eastAsia="方正仿宋_GBK"/>
              </w:rPr>
            </w:pPr>
          </w:p>
        </w:tc>
      </w:tr>
      <w:tr>
        <w:tblPrEx>
          <w:tblLayout w:type="fixed"/>
          <w:tblCellMar>
            <w:top w:w="0" w:type="dxa"/>
            <w:left w:w="108" w:type="dxa"/>
            <w:bottom w:w="0" w:type="dxa"/>
            <w:right w:w="108" w:type="dxa"/>
          </w:tblCellMar>
        </w:tblPrEx>
        <w:trPr>
          <w:trHeight w:val="1248" w:hRule="atLeast"/>
        </w:trPr>
        <w:tc>
          <w:tcPr>
            <w:tcW w:w="480" w:type="dxa"/>
            <w:vMerge w:val="continue"/>
            <w:tcBorders>
              <w:left w:val="single" w:color="000000" w:sz="4" w:space="0"/>
              <w:bottom w:val="single" w:color="000000" w:sz="4" w:space="0"/>
              <w:right w:val="single" w:color="000000" w:sz="4" w:space="0"/>
            </w:tcBorders>
            <w:noWrap w:val="0"/>
            <w:vAlign w:val="center"/>
          </w:tcPr>
          <w:p>
            <w:pPr>
              <w:jc w:val="center"/>
              <w:rPr>
                <w:rFonts w:eastAsia="方正仿宋_GBK"/>
              </w:rPr>
            </w:pPr>
          </w:p>
        </w:tc>
        <w:tc>
          <w:tcPr>
            <w:tcW w:w="1305" w:type="dxa"/>
            <w:vMerge w:val="continue"/>
            <w:tcBorders>
              <w:left w:val="single" w:color="000000" w:sz="4" w:space="0"/>
              <w:bottom w:val="single" w:color="000000" w:sz="4" w:space="0"/>
              <w:right w:val="single" w:color="000000" w:sz="4" w:space="0"/>
            </w:tcBorders>
            <w:noWrap w:val="0"/>
            <w:vAlign w:val="center"/>
          </w:tcPr>
          <w:p>
            <w:pPr>
              <w:jc w:val="center"/>
              <w:rPr>
                <w:rFonts w:eastAsia="方正仿宋_GBK"/>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方正仿宋_GBK"/>
              </w:rPr>
            </w:pPr>
          </w:p>
        </w:tc>
        <w:tc>
          <w:tcPr>
            <w:tcW w:w="6275" w:type="dxa"/>
            <w:tcBorders>
              <w:top w:val="single" w:color="000000" w:sz="4" w:space="0"/>
              <w:left w:val="single" w:color="000000" w:sz="4" w:space="0"/>
              <w:bottom w:val="single" w:color="000000" w:sz="4" w:space="0"/>
              <w:right w:val="single" w:color="000000" w:sz="4" w:space="0"/>
            </w:tcBorders>
            <w:noWrap w:val="0"/>
            <w:vAlign w:val="center"/>
          </w:tcPr>
          <w:p>
            <w:pPr>
              <w:rPr>
                <w:rFonts w:eastAsia="方正仿宋_GBK"/>
              </w:rPr>
            </w:pPr>
            <w:r>
              <w:rPr>
                <w:rFonts w:eastAsia="方正仿宋_GBK"/>
              </w:rPr>
              <w:t>18.依法依规公开审计结果，凡是审计机关单项审计结果公告中披露的问题，被审计单位要及时、完整、准确公开整改情况，并在本级政府门户网站集中公示。</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eastAsia="方正仿宋_GBK"/>
                <w:lang w:eastAsia="zh-CN"/>
              </w:rPr>
            </w:pPr>
            <w:r>
              <w:rPr>
                <w:rFonts w:hint="eastAsia" w:eastAsia="方正仿宋_GBK"/>
                <w:lang w:eastAsia="zh-CN"/>
              </w:rPr>
              <w:t>区</w:t>
            </w:r>
            <w:r>
              <w:rPr>
                <w:rFonts w:eastAsia="方正仿宋_GBK"/>
              </w:rPr>
              <w:t>审计局牵头，</w:t>
            </w:r>
            <w:r>
              <w:rPr>
                <w:rFonts w:hint="eastAsia" w:eastAsia="方正仿宋_GBK"/>
                <w:lang w:eastAsia="zh-CN"/>
              </w:rPr>
              <w:t>区直有关部门、各乡人民政府（街道办事处）按照职责分工负责</w:t>
            </w:r>
          </w:p>
        </w:tc>
        <w:tc>
          <w:tcPr>
            <w:tcW w:w="1045" w:type="dxa"/>
            <w:vMerge w:val="continue"/>
            <w:tcBorders>
              <w:left w:val="single" w:color="000000" w:sz="4" w:space="0"/>
              <w:bottom w:val="single" w:color="000000" w:sz="4" w:space="0"/>
              <w:right w:val="single" w:color="000000" w:sz="4" w:space="0"/>
            </w:tcBorders>
            <w:noWrap w:val="0"/>
            <w:vAlign w:val="center"/>
          </w:tcPr>
          <w:p>
            <w:pPr>
              <w:jc w:val="center"/>
              <w:rPr>
                <w:rFonts w:eastAsia="方正仿宋_GBK"/>
              </w:rPr>
            </w:pPr>
          </w:p>
        </w:tc>
      </w:tr>
      <w:tr>
        <w:tblPrEx>
          <w:tblLayout w:type="fixed"/>
          <w:tblCellMar>
            <w:top w:w="0" w:type="dxa"/>
            <w:left w:w="108" w:type="dxa"/>
            <w:bottom w:w="0" w:type="dxa"/>
            <w:right w:w="108" w:type="dxa"/>
          </w:tblCellMar>
        </w:tblPrEx>
        <w:trPr>
          <w:trHeight w:val="3750" w:hRule="atLeast"/>
        </w:trPr>
        <w:tc>
          <w:tcPr>
            <w:tcW w:w="480" w:type="dxa"/>
            <w:vMerge w:val="restart"/>
            <w:tcBorders>
              <w:top w:val="single" w:color="000000" w:sz="4" w:space="0"/>
              <w:left w:val="single" w:color="000000" w:sz="4" w:space="0"/>
              <w:right w:val="single" w:color="000000" w:sz="4" w:space="0"/>
            </w:tcBorders>
            <w:noWrap w:val="0"/>
            <w:vAlign w:val="center"/>
          </w:tcPr>
          <w:p>
            <w:pPr>
              <w:jc w:val="center"/>
              <w:rPr>
                <w:rFonts w:eastAsia="方正仿宋_GBK"/>
              </w:rPr>
            </w:pPr>
            <w:r>
              <w:rPr>
                <w:rFonts w:eastAsia="方正仿宋_GBK"/>
              </w:rPr>
              <w:t>四</w:t>
            </w:r>
          </w:p>
        </w:tc>
        <w:tc>
          <w:tcPr>
            <w:tcW w:w="1305" w:type="dxa"/>
            <w:vMerge w:val="restart"/>
            <w:tcBorders>
              <w:top w:val="single" w:color="000000" w:sz="4" w:space="0"/>
              <w:left w:val="single" w:color="000000" w:sz="4" w:space="0"/>
              <w:right w:val="single" w:color="000000" w:sz="4" w:space="0"/>
            </w:tcBorders>
            <w:noWrap w:val="0"/>
            <w:vAlign w:val="center"/>
          </w:tcPr>
          <w:p>
            <w:pPr>
              <w:jc w:val="center"/>
              <w:rPr>
                <w:rFonts w:eastAsia="方正仿宋_GBK"/>
              </w:rPr>
            </w:pPr>
            <w:r>
              <w:rPr>
                <w:rFonts w:eastAsia="方正仿宋_GBK"/>
              </w:rPr>
              <w:t>紧扣政策落地强化解读回应</w:t>
            </w:r>
          </w:p>
        </w:tc>
        <w:tc>
          <w:tcPr>
            <w:tcW w:w="15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方正仿宋_GBK"/>
              </w:rPr>
            </w:pPr>
            <w:r>
              <w:rPr>
                <w:rFonts w:eastAsia="方正仿宋_GBK"/>
              </w:rPr>
              <w:t>（一）强化政策解读服务</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pPr>
              <w:rPr>
                <w:rFonts w:eastAsia="方正仿宋_GBK"/>
              </w:rPr>
            </w:pPr>
            <w:r>
              <w:rPr>
                <w:rFonts w:eastAsia="方正仿宋_GBK"/>
              </w:rPr>
              <w:t>19.严格落实政策解读“三同步”制度，凡涉及企业和群众切身利益及需要社会公众广泛知晓的政策文件均要开展解读。全面提升政策解读质量，更加注重对政策核心概念、新旧政策差异、政策影响范围、管理执行标准、利企惠民举措及享受条件等实质性内容的解读。加强部门协同，及时收集、提炼社会公众对政策的普遍关注点和疑虑点，大力推行跟踪。解读、多轮解读，以政策宣讲、政策问答等方式精准传递政策意图。统筹运用图示图表、视频动漫及专家访谈、在线访谈、新闻发布会等形式和渠道开展政策解读，切实提升政策知晓率和到达率。通过线上线下多渠道推广宣传。同时，要充分估计政策本身可能带来的各种影响，充分预判时机和形势可能产生的附加作用，避免发生误解误读。加大涉及市场主体、减税降费、扩大有效投资、稳岗就业等方面政策的解读力度。</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eastAsia="方正仿宋_GBK"/>
                <w:lang w:eastAsia="zh-CN"/>
              </w:rPr>
            </w:pPr>
            <w:r>
              <w:rPr>
                <w:rFonts w:hint="eastAsia" w:eastAsia="方正仿宋_GBK"/>
                <w:lang w:eastAsia="zh-CN"/>
              </w:rPr>
              <w:t>区直有关部门、各乡人民政府（街道办事处）按照职责分工负责</w:t>
            </w:r>
          </w:p>
        </w:tc>
        <w:tc>
          <w:tcPr>
            <w:tcW w:w="1045" w:type="dxa"/>
            <w:vMerge w:val="restart"/>
            <w:tcBorders>
              <w:top w:val="single" w:color="000000" w:sz="4" w:space="0"/>
              <w:left w:val="single" w:color="000000" w:sz="4" w:space="0"/>
              <w:right w:val="single" w:color="000000" w:sz="4" w:space="0"/>
            </w:tcBorders>
            <w:noWrap w:val="0"/>
            <w:vAlign w:val="center"/>
          </w:tcPr>
          <w:p>
            <w:pPr>
              <w:jc w:val="center"/>
              <w:rPr>
                <w:rFonts w:eastAsia="方正仿宋_GBK"/>
              </w:rPr>
            </w:pPr>
            <w:r>
              <w:rPr>
                <w:rFonts w:eastAsia="方正仿宋_GBK"/>
              </w:rPr>
              <w:t>全年持续推进</w:t>
            </w:r>
          </w:p>
        </w:tc>
      </w:tr>
      <w:tr>
        <w:tblPrEx>
          <w:tblLayout w:type="fixed"/>
          <w:tblCellMar>
            <w:top w:w="0" w:type="dxa"/>
            <w:left w:w="108" w:type="dxa"/>
            <w:bottom w:w="0" w:type="dxa"/>
            <w:right w:w="108" w:type="dxa"/>
          </w:tblCellMar>
        </w:tblPrEx>
        <w:trPr>
          <w:trHeight w:val="1260" w:hRule="atLeast"/>
        </w:trPr>
        <w:tc>
          <w:tcPr>
            <w:tcW w:w="480" w:type="dxa"/>
            <w:vMerge w:val="continue"/>
            <w:tcBorders>
              <w:left w:val="single" w:color="000000" w:sz="4" w:space="0"/>
              <w:right w:val="single" w:color="000000" w:sz="4" w:space="0"/>
            </w:tcBorders>
            <w:noWrap w:val="0"/>
            <w:vAlign w:val="center"/>
          </w:tcPr>
          <w:p>
            <w:pPr>
              <w:jc w:val="center"/>
              <w:rPr>
                <w:rFonts w:eastAsia="方正仿宋_GBK"/>
              </w:rPr>
            </w:pPr>
          </w:p>
        </w:tc>
        <w:tc>
          <w:tcPr>
            <w:tcW w:w="1305" w:type="dxa"/>
            <w:vMerge w:val="continue"/>
            <w:tcBorders>
              <w:left w:val="single" w:color="000000" w:sz="4" w:space="0"/>
              <w:right w:val="single" w:color="000000" w:sz="4" w:space="0"/>
            </w:tcBorders>
            <w:noWrap w:val="0"/>
            <w:vAlign w:val="center"/>
          </w:tcPr>
          <w:p>
            <w:pPr>
              <w:jc w:val="center"/>
              <w:rPr>
                <w:rFonts w:eastAsia="方正仿宋_GBK"/>
              </w:rPr>
            </w:pPr>
          </w:p>
        </w:tc>
        <w:tc>
          <w:tcPr>
            <w:tcW w:w="15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方正仿宋_GBK"/>
              </w:rPr>
            </w:pPr>
            <w:r>
              <w:rPr>
                <w:rFonts w:eastAsia="方正仿宋_GBK"/>
              </w:rPr>
              <w:t>（二）完善互动回应服务</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pPr>
              <w:rPr>
                <w:rFonts w:eastAsia="方正仿宋_GBK"/>
              </w:rPr>
            </w:pPr>
            <w:r>
              <w:rPr>
                <w:rFonts w:eastAsia="方正仿宋_GBK"/>
              </w:rPr>
              <w:t>20.落实政务舆情回应主体责任，加强政务舆情监测和风险研判，对政府重大政策措施存在误解误读、涉及公众切身利益且产生较大影响、涉及突发事件处置和自然灾害应对等政务舆情要及时回应。充分运用调查问卷、意见征集、领导信箱、在线留言等方式收集企业和群众意见建议，建立反馈机制，助力政策完善。鼓励开展“政府开放日”、“政务公开”日等活动，探索政务公开监督员制度，推动社会公众对行政权力运行全流程、政务服务全过程进行监督。</w:t>
            </w:r>
          </w:p>
        </w:tc>
        <w:tc>
          <w:tcPr>
            <w:tcW w:w="3283" w:type="dxa"/>
            <w:tcBorders>
              <w:top w:val="single" w:color="000000" w:sz="4" w:space="0"/>
              <w:left w:val="single" w:color="000000" w:sz="4" w:space="0"/>
              <w:bottom w:val="nil"/>
              <w:right w:val="single" w:color="000000" w:sz="4" w:space="0"/>
            </w:tcBorders>
            <w:noWrap w:val="0"/>
            <w:vAlign w:val="center"/>
          </w:tcPr>
          <w:p>
            <w:pPr>
              <w:rPr>
                <w:rFonts w:hint="eastAsia" w:eastAsia="方正仿宋_GBK"/>
                <w:lang w:eastAsia="zh-CN"/>
              </w:rPr>
            </w:pPr>
            <w:r>
              <w:rPr>
                <w:rFonts w:hint="eastAsia" w:eastAsia="方正仿宋_GBK"/>
                <w:lang w:eastAsia="zh-CN"/>
              </w:rPr>
              <w:t>区直有关部门、各乡人民政府（街道办事处）按照职责分工负责</w:t>
            </w:r>
          </w:p>
        </w:tc>
        <w:tc>
          <w:tcPr>
            <w:tcW w:w="1045" w:type="dxa"/>
            <w:vMerge w:val="continue"/>
            <w:tcBorders>
              <w:left w:val="single" w:color="000000" w:sz="4" w:space="0"/>
              <w:right w:val="single" w:color="000000" w:sz="4" w:space="0"/>
            </w:tcBorders>
            <w:noWrap w:val="0"/>
            <w:vAlign w:val="center"/>
          </w:tcPr>
          <w:p>
            <w:pPr>
              <w:jc w:val="center"/>
              <w:rPr>
                <w:rFonts w:eastAsia="方正仿宋_GBK"/>
              </w:rPr>
            </w:pPr>
          </w:p>
        </w:tc>
      </w:tr>
      <w:tr>
        <w:tblPrEx>
          <w:tblLayout w:type="fixed"/>
          <w:tblCellMar>
            <w:top w:w="0" w:type="dxa"/>
            <w:left w:w="108" w:type="dxa"/>
            <w:bottom w:w="0" w:type="dxa"/>
            <w:right w:w="108" w:type="dxa"/>
          </w:tblCellMar>
        </w:tblPrEx>
        <w:trPr>
          <w:trHeight w:val="1125" w:hRule="atLeast"/>
        </w:trPr>
        <w:tc>
          <w:tcPr>
            <w:tcW w:w="480" w:type="dxa"/>
            <w:vMerge w:val="continue"/>
            <w:tcBorders>
              <w:left w:val="single" w:color="000000" w:sz="4" w:space="0"/>
              <w:right w:val="single" w:color="000000" w:sz="4" w:space="0"/>
            </w:tcBorders>
            <w:noWrap w:val="0"/>
            <w:vAlign w:val="center"/>
          </w:tcPr>
          <w:p>
            <w:pPr>
              <w:jc w:val="center"/>
              <w:rPr>
                <w:rFonts w:eastAsia="方正仿宋_GBK"/>
              </w:rPr>
            </w:pPr>
          </w:p>
        </w:tc>
        <w:tc>
          <w:tcPr>
            <w:tcW w:w="1305" w:type="dxa"/>
            <w:vMerge w:val="continue"/>
            <w:tcBorders>
              <w:left w:val="single" w:color="000000" w:sz="4" w:space="0"/>
              <w:right w:val="single" w:color="000000" w:sz="4" w:space="0"/>
            </w:tcBorders>
            <w:noWrap w:val="0"/>
            <w:vAlign w:val="center"/>
          </w:tcPr>
          <w:p>
            <w:pPr>
              <w:jc w:val="center"/>
              <w:rPr>
                <w:rFonts w:eastAsia="方正仿宋_GBK"/>
              </w:rPr>
            </w:pPr>
          </w:p>
        </w:tc>
        <w:tc>
          <w:tcPr>
            <w:tcW w:w="1573" w:type="dxa"/>
            <w:vMerge w:val="restart"/>
            <w:tcBorders>
              <w:top w:val="single" w:color="000000" w:sz="4" w:space="0"/>
              <w:left w:val="single" w:color="000000" w:sz="4" w:space="0"/>
              <w:right w:val="single" w:color="000000" w:sz="4" w:space="0"/>
            </w:tcBorders>
            <w:noWrap w:val="0"/>
            <w:vAlign w:val="center"/>
          </w:tcPr>
          <w:p>
            <w:pPr>
              <w:jc w:val="center"/>
              <w:rPr>
                <w:rFonts w:eastAsia="方正仿宋_GBK"/>
              </w:rPr>
            </w:pPr>
            <w:r>
              <w:rPr>
                <w:rFonts w:eastAsia="方正仿宋_GBK"/>
              </w:rPr>
              <w:t>（三）积极推进政策咨询服务</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pPr>
              <w:rPr>
                <w:rFonts w:eastAsia="方正仿宋_GBK"/>
              </w:rPr>
            </w:pPr>
            <w:r>
              <w:rPr>
                <w:rFonts w:eastAsia="方正仿宋_GBK"/>
              </w:rPr>
              <w:t>21.着力提高政务服务便民热线、实体政务服务大厅的政策咨询服务水平，更好解答生育、上学、就业、创业、养老、医疗、纳税、疫情防控等方面与人民群众切身利益密切相关的问题。</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eastAsia="方正仿宋_GBK"/>
                <w:lang w:eastAsia="zh-CN"/>
              </w:rPr>
            </w:pPr>
            <w:r>
              <w:rPr>
                <w:rFonts w:hint="eastAsia" w:eastAsia="方正仿宋_GBK"/>
                <w:lang w:eastAsia="zh-CN"/>
              </w:rPr>
              <w:t>区</w:t>
            </w:r>
            <w:r>
              <w:rPr>
                <w:rFonts w:eastAsia="方正仿宋_GBK"/>
              </w:rPr>
              <w:t>信访局、</w:t>
            </w:r>
            <w:r>
              <w:rPr>
                <w:rFonts w:hint="eastAsia" w:eastAsia="方正仿宋_GBK"/>
                <w:lang w:eastAsia="zh-CN"/>
              </w:rPr>
              <w:t>区</w:t>
            </w:r>
            <w:r>
              <w:rPr>
                <w:rFonts w:eastAsia="方正仿宋_GBK"/>
              </w:rPr>
              <w:t>政务服务局牵头，</w:t>
            </w:r>
            <w:r>
              <w:rPr>
                <w:rFonts w:hint="eastAsia" w:eastAsia="方正仿宋_GBK"/>
                <w:lang w:eastAsia="zh-CN"/>
              </w:rPr>
              <w:t>区直有关部门、各乡人民政府（街道办事处）按照职责分工负责</w:t>
            </w:r>
          </w:p>
        </w:tc>
        <w:tc>
          <w:tcPr>
            <w:tcW w:w="1045" w:type="dxa"/>
            <w:vMerge w:val="continue"/>
            <w:tcBorders>
              <w:left w:val="single" w:color="000000" w:sz="4" w:space="0"/>
              <w:bottom w:val="single" w:color="000000" w:sz="4" w:space="0"/>
              <w:right w:val="single" w:color="000000" w:sz="4" w:space="0"/>
            </w:tcBorders>
            <w:noWrap w:val="0"/>
            <w:vAlign w:val="center"/>
          </w:tcPr>
          <w:p>
            <w:pPr>
              <w:jc w:val="center"/>
              <w:rPr>
                <w:rFonts w:eastAsia="方正仿宋_GBK"/>
              </w:rPr>
            </w:pPr>
          </w:p>
        </w:tc>
      </w:tr>
      <w:tr>
        <w:tblPrEx>
          <w:tblLayout w:type="fixed"/>
          <w:tblCellMar>
            <w:top w:w="0" w:type="dxa"/>
            <w:left w:w="108" w:type="dxa"/>
            <w:bottom w:w="0" w:type="dxa"/>
            <w:right w:w="108" w:type="dxa"/>
          </w:tblCellMar>
        </w:tblPrEx>
        <w:trPr>
          <w:trHeight w:val="1125" w:hRule="atLeast"/>
        </w:trPr>
        <w:tc>
          <w:tcPr>
            <w:tcW w:w="480" w:type="dxa"/>
            <w:vMerge w:val="continue"/>
            <w:tcBorders>
              <w:left w:val="single" w:color="000000" w:sz="4" w:space="0"/>
              <w:bottom w:val="single" w:color="000000" w:sz="4" w:space="0"/>
              <w:right w:val="single" w:color="000000" w:sz="4" w:space="0"/>
            </w:tcBorders>
            <w:noWrap w:val="0"/>
            <w:vAlign w:val="center"/>
          </w:tcPr>
          <w:p>
            <w:pPr>
              <w:jc w:val="center"/>
              <w:rPr>
                <w:rFonts w:eastAsia="方正仿宋_GBK"/>
              </w:rPr>
            </w:pPr>
          </w:p>
        </w:tc>
        <w:tc>
          <w:tcPr>
            <w:tcW w:w="1305" w:type="dxa"/>
            <w:vMerge w:val="continue"/>
            <w:tcBorders>
              <w:left w:val="single" w:color="000000" w:sz="4" w:space="0"/>
              <w:bottom w:val="single" w:color="000000" w:sz="4" w:space="0"/>
              <w:right w:val="single" w:color="000000" w:sz="4" w:space="0"/>
            </w:tcBorders>
            <w:noWrap w:val="0"/>
            <w:vAlign w:val="center"/>
          </w:tcPr>
          <w:p>
            <w:pPr>
              <w:jc w:val="center"/>
              <w:rPr>
                <w:rFonts w:eastAsia="方正仿宋_GBK"/>
              </w:rPr>
            </w:pPr>
          </w:p>
        </w:tc>
        <w:tc>
          <w:tcPr>
            <w:tcW w:w="1573" w:type="dxa"/>
            <w:vMerge w:val="continue"/>
            <w:tcBorders>
              <w:left w:val="single" w:color="000000" w:sz="4" w:space="0"/>
              <w:bottom w:val="single" w:color="000000" w:sz="4" w:space="0"/>
              <w:right w:val="single" w:color="000000" w:sz="4" w:space="0"/>
            </w:tcBorders>
            <w:noWrap w:val="0"/>
            <w:vAlign w:val="center"/>
          </w:tcPr>
          <w:p>
            <w:pPr>
              <w:jc w:val="center"/>
              <w:rPr>
                <w:rFonts w:eastAsia="方正仿宋_GBK"/>
              </w:rPr>
            </w:pPr>
          </w:p>
        </w:tc>
        <w:tc>
          <w:tcPr>
            <w:tcW w:w="6275" w:type="dxa"/>
            <w:tcBorders>
              <w:top w:val="single" w:color="000000" w:sz="4" w:space="0"/>
              <w:left w:val="single" w:color="000000" w:sz="4" w:space="0"/>
              <w:bottom w:val="single" w:color="000000" w:sz="4" w:space="0"/>
              <w:right w:val="single" w:color="000000" w:sz="4" w:space="0"/>
            </w:tcBorders>
            <w:noWrap w:val="0"/>
            <w:vAlign w:val="center"/>
          </w:tcPr>
          <w:p>
            <w:pPr>
              <w:rPr>
                <w:rFonts w:eastAsia="方正仿宋_GBK"/>
              </w:rPr>
            </w:pPr>
            <w:r>
              <w:rPr>
                <w:rFonts w:eastAsia="方正仿宋_GBK"/>
              </w:rPr>
              <w:t>22.务实推进实体政务服务大厅政务公开专区建设，为群众提供政府信息网上查询、政府信息公开申请接收、政策咨询等服务。</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eastAsia="方正仿宋_GBK"/>
                <w:lang w:eastAsia="zh-CN"/>
              </w:rPr>
            </w:pPr>
            <w:r>
              <w:rPr>
                <w:rFonts w:hint="eastAsia" w:eastAsia="方正仿宋_GBK"/>
                <w:lang w:eastAsia="zh-CN"/>
              </w:rPr>
              <w:t>区</w:t>
            </w:r>
            <w:r>
              <w:rPr>
                <w:rFonts w:eastAsia="方正仿宋_GBK"/>
              </w:rPr>
              <w:t>政务服务局牵头，</w:t>
            </w:r>
            <w:r>
              <w:rPr>
                <w:rFonts w:hint="eastAsia" w:eastAsia="方正仿宋_GBK"/>
                <w:lang w:eastAsia="zh-CN"/>
              </w:rPr>
              <w:t>区直有关部门、各乡人民政府（街道办事处）按照职责分工负责</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方正仿宋_GBK"/>
              </w:rPr>
            </w:pPr>
            <w:r>
              <w:rPr>
                <w:rFonts w:eastAsia="方正仿宋_GBK"/>
              </w:rPr>
              <w:t>2022年10月底前完成、持续推进</w:t>
            </w:r>
          </w:p>
        </w:tc>
      </w:tr>
      <w:tr>
        <w:tblPrEx>
          <w:tblLayout w:type="fixed"/>
          <w:tblCellMar>
            <w:top w:w="0" w:type="dxa"/>
            <w:left w:w="108" w:type="dxa"/>
            <w:bottom w:w="0" w:type="dxa"/>
            <w:right w:w="108" w:type="dxa"/>
          </w:tblCellMar>
        </w:tblPrEx>
        <w:trPr>
          <w:trHeight w:val="110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方正仿宋_GBK"/>
              </w:rPr>
            </w:pPr>
            <w:r>
              <w:rPr>
                <w:rFonts w:eastAsia="方正仿宋_GBK"/>
              </w:rPr>
              <w:t>四</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方正仿宋_GBK"/>
              </w:rPr>
            </w:pPr>
            <w:r>
              <w:rPr>
                <w:rFonts w:eastAsia="方正仿宋_GBK"/>
              </w:rPr>
              <w:t>紧扣政策落地强化解读回应</w:t>
            </w:r>
          </w:p>
        </w:tc>
        <w:tc>
          <w:tcPr>
            <w:tcW w:w="15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方正仿宋_GBK"/>
              </w:rPr>
            </w:pPr>
            <w:r>
              <w:rPr>
                <w:rFonts w:eastAsia="方正仿宋_GBK"/>
              </w:rPr>
              <w:t>（三）积极推进政策咨询服务</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pPr>
              <w:rPr>
                <w:rFonts w:eastAsia="方正仿宋_GBK"/>
              </w:rPr>
            </w:pPr>
            <w:r>
              <w:rPr>
                <w:rFonts w:eastAsia="方正仿宋_GBK"/>
              </w:rPr>
              <w:t>23.县级及以下政府要加强电话解答、现场解答等政策咨询渠道建设，更好适应基层群众信息获取习惯。有条件的地区和部门，要加强人工智能等技术的运用，搭建智能化政策问答平台，形成政策问答库，提升政策咨询解答效率。</w:t>
            </w:r>
          </w:p>
        </w:tc>
        <w:tc>
          <w:tcPr>
            <w:tcW w:w="3283" w:type="dxa"/>
            <w:tcBorders>
              <w:top w:val="single" w:color="000000" w:sz="4" w:space="0"/>
              <w:left w:val="single" w:color="000000" w:sz="4" w:space="0"/>
              <w:bottom w:val="nil"/>
              <w:right w:val="single" w:color="000000" w:sz="4" w:space="0"/>
            </w:tcBorders>
            <w:noWrap w:val="0"/>
            <w:vAlign w:val="center"/>
          </w:tcPr>
          <w:p>
            <w:pPr>
              <w:rPr>
                <w:rFonts w:eastAsia="方正仿宋_GBK"/>
              </w:rPr>
            </w:pPr>
            <w:r>
              <w:rPr>
                <w:rFonts w:hint="eastAsia" w:eastAsia="方正仿宋_GBK"/>
                <w:lang w:eastAsia="zh-CN"/>
              </w:rPr>
              <w:t>各乡人民政府（街道办事处）</w:t>
            </w:r>
            <w:r>
              <w:rPr>
                <w:rFonts w:eastAsia="方正仿宋_GBK"/>
              </w:rPr>
              <w:t>按照职责分工负责</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方正仿宋_GBK"/>
              </w:rPr>
            </w:pPr>
            <w:r>
              <w:rPr>
                <w:rFonts w:eastAsia="方正仿宋_GBK"/>
              </w:rPr>
              <w:t>全年持续推进</w:t>
            </w:r>
          </w:p>
        </w:tc>
      </w:tr>
      <w:tr>
        <w:tblPrEx>
          <w:tblLayout w:type="fixed"/>
          <w:tblCellMar>
            <w:top w:w="0" w:type="dxa"/>
            <w:left w:w="108" w:type="dxa"/>
            <w:bottom w:w="0" w:type="dxa"/>
            <w:right w:w="108" w:type="dxa"/>
          </w:tblCellMar>
        </w:tblPrEx>
        <w:trPr>
          <w:trHeight w:val="781" w:hRule="atLeast"/>
        </w:trPr>
        <w:tc>
          <w:tcPr>
            <w:tcW w:w="480" w:type="dxa"/>
            <w:vMerge w:val="restart"/>
            <w:tcBorders>
              <w:top w:val="single" w:color="000000" w:sz="4" w:space="0"/>
              <w:left w:val="single" w:color="000000" w:sz="4" w:space="0"/>
              <w:right w:val="single" w:color="000000" w:sz="4" w:space="0"/>
            </w:tcBorders>
            <w:noWrap w:val="0"/>
            <w:vAlign w:val="center"/>
          </w:tcPr>
          <w:p>
            <w:pPr>
              <w:jc w:val="center"/>
              <w:rPr>
                <w:rFonts w:eastAsia="方正仿宋_GBK"/>
              </w:rPr>
            </w:pPr>
            <w:r>
              <w:rPr>
                <w:rFonts w:eastAsia="方正仿宋_GBK"/>
              </w:rPr>
              <w:t>五</w:t>
            </w:r>
          </w:p>
        </w:tc>
        <w:tc>
          <w:tcPr>
            <w:tcW w:w="1305" w:type="dxa"/>
            <w:vMerge w:val="restart"/>
            <w:tcBorders>
              <w:top w:val="single" w:color="000000" w:sz="4" w:space="0"/>
              <w:left w:val="single" w:color="000000" w:sz="4" w:space="0"/>
              <w:right w:val="single" w:color="000000" w:sz="4" w:space="0"/>
            </w:tcBorders>
            <w:noWrap w:val="0"/>
            <w:vAlign w:val="center"/>
          </w:tcPr>
          <w:p>
            <w:pPr>
              <w:jc w:val="center"/>
              <w:rPr>
                <w:rFonts w:eastAsia="方正仿宋_GBK"/>
              </w:rPr>
            </w:pPr>
            <w:r>
              <w:rPr>
                <w:rFonts w:eastAsia="方正仿宋_GBK"/>
              </w:rPr>
              <w:t>围绕利企惠民建强公开平台</w:t>
            </w:r>
          </w:p>
        </w:tc>
        <w:tc>
          <w:tcPr>
            <w:tcW w:w="157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方正仿宋_GBK"/>
              </w:rPr>
            </w:pPr>
            <w:r>
              <w:rPr>
                <w:rFonts w:eastAsia="方正仿宋_GBK"/>
              </w:rPr>
              <w:t>（一）提升政府网站和政务新媒体运维管理水平</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pPr>
              <w:rPr>
                <w:rFonts w:eastAsia="方正仿宋_GBK"/>
              </w:rPr>
            </w:pPr>
            <w:r>
              <w:rPr>
                <w:rFonts w:eastAsia="方正仿宋_GBK"/>
              </w:rPr>
              <w:t>24.</w:t>
            </w:r>
            <w:r>
              <w:rPr>
                <w:rFonts w:hint="eastAsia" w:eastAsia="方正仿宋_GBK"/>
                <w:lang w:eastAsia="zh-CN"/>
              </w:rPr>
              <w:t>区</w:t>
            </w:r>
            <w:r>
              <w:rPr>
                <w:rFonts w:eastAsia="方正仿宋_GBK"/>
              </w:rPr>
              <w:t>政府门户网站要开设“利企惠民政策”专区专栏，强化政策集成服务。</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eastAsia="方正仿宋_GBK"/>
                <w:lang w:eastAsia="zh-CN"/>
              </w:rPr>
            </w:pPr>
            <w:r>
              <w:rPr>
                <w:rFonts w:hint="eastAsia" w:eastAsia="方正仿宋_GBK"/>
                <w:lang w:eastAsia="zh-CN"/>
              </w:rPr>
              <w:t>区</w:t>
            </w:r>
            <w:r>
              <w:rPr>
                <w:rFonts w:eastAsia="方正仿宋_GBK"/>
              </w:rPr>
              <w:t>政府办公室牵头，</w:t>
            </w:r>
            <w:r>
              <w:rPr>
                <w:rFonts w:hint="eastAsia" w:eastAsia="方正仿宋_GBK"/>
                <w:lang w:eastAsia="zh-CN"/>
              </w:rPr>
              <w:t>区直有关部门、各乡人民政府（街道办事处）按照职责分工负责</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方正仿宋_GBK"/>
              </w:rPr>
            </w:pPr>
            <w:r>
              <w:rPr>
                <w:rFonts w:eastAsia="方正仿宋_GBK"/>
              </w:rPr>
              <w:t>全年持续推进</w:t>
            </w:r>
          </w:p>
        </w:tc>
      </w:tr>
      <w:tr>
        <w:tblPrEx>
          <w:tblLayout w:type="fixed"/>
          <w:tblCellMar>
            <w:top w:w="0" w:type="dxa"/>
            <w:left w:w="108" w:type="dxa"/>
            <w:bottom w:w="0" w:type="dxa"/>
            <w:right w:w="108" w:type="dxa"/>
          </w:tblCellMar>
        </w:tblPrEx>
        <w:trPr>
          <w:trHeight w:val="553" w:hRule="atLeast"/>
        </w:trPr>
        <w:tc>
          <w:tcPr>
            <w:tcW w:w="480" w:type="dxa"/>
            <w:vMerge w:val="continue"/>
            <w:tcBorders>
              <w:left w:val="single" w:color="000000" w:sz="4" w:space="0"/>
              <w:right w:val="single" w:color="000000" w:sz="4" w:space="0"/>
            </w:tcBorders>
            <w:noWrap w:val="0"/>
            <w:vAlign w:val="center"/>
          </w:tcPr>
          <w:p>
            <w:pPr>
              <w:jc w:val="center"/>
              <w:rPr>
                <w:rFonts w:eastAsia="方正仿宋_GBK"/>
              </w:rPr>
            </w:pPr>
          </w:p>
        </w:tc>
        <w:tc>
          <w:tcPr>
            <w:tcW w:w="1305" w:type="dxa"/>
            <w:vMerge w:val="continue"/>
            <w:tcBorders>
              <w:left w:val="single" w:color="000000" w:sz="4" w:space="0"/>
              <w:right w:val="single" w:color="000000" w:sz="4" w:space="0"/>
            </w:tcBorders>
            <w:noWrap w:val="0"/>
            <w:vAlign w:val="center"/>
          </w:tcPr>
          <w:p>
            <w:pPr>
              <w:jc w:val="center"/>
              <w:rPr>
                <w:rFonts w:eastAsia="方正仿宋_GBK"/>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方正仿宋_GBK"/>
              </w:rPr>
            </w:pPr>
          </w:p>
        </w:tc>
        <w:tc>
          <w:tcPr>
            <w:tcW w:w="6275" w:type="dxa"/>
            <w:tcBorders>
              <w:top w:val="single" w:color="000000" w:sz="4" w:space="0"/>
              <w:left w:val="single" w:color="000000" w:sz="4" w:space="0"/>
              <w:bottom w:val="single" w:color="000000" w:sz="4" w:space="0"/>
              <w:right w:val="single" w:color="000000" w:sz="4" w:space="0"/>
            </w:tcBorders>
            <w:noWrap w:val="0"/>
            <w:vAlign w:val="center"/>
          </w:tcPr>
          <w:p>
            <w:pPr>
              <w:rPr>
                <w:rFonts w:eastAsia="方正仿宋_GBK"/>
              </w:rPr>
            </w:pPr>
            <w:r>
              <w:rPr>
                <w:rFonts w:eastAsia="方正仿宋_GBK"/>
              </w:rPr>
              <w:t>25.政府网站要全面支持互联网协议第6版。</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rPr>
                <w:rFonts w:eastAsia="方正仿宋_GBK"/>
              </w:rPr>
            </w:pPr>
            <w:r>
              <w:rPr>
                <w:rFonts w:hint="eastAsia" w:eastAsia="方正仿宋_GBK"/>
                <w:lang w:eastAsia="zh-CN"/>
              </w:rPr>
              <w:t>区</w:t>
            </w:r>
            <w:r>
              <w:rPr>
                <w:rFonts w:eastAsia="方正仿宋_GBK"/>
              </w:rPr>
              <w:t>政府办公室牵头负责</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方正仿宋_GBK"/>
              </w:rPr>
            </w:pPr>
            <w:r>
              <w:rPr>
                <w:rFonts w:eastAsia="方正仿宋_GBK"/>
              </w:rPr>
              <w:t>2022年11月底</w:t>
            </w:r>
          </w:p>
        </w:tc>
      </w:tr>
      <w:tr>
        <w:tblPrEx>
          <w:tblLayout w:type="fixed"/>
          <w:tblCellMar>
            <w:top w:w="0" w:type="dxa"/>
            <w:left w:w="108" w:type="dxa"/>
            <w:bottom w:w="0" w:type="dxa"/>
            <w:right w:w="108" w:type="dxa"/>
          </w:tblCellMar>
        </w:tblPrEx>
        <w:trPr>
          <w:trHeight w:val="649" w:hRule="atLeast"/>
        </w:trPr>
        <w:tc>
          <w:tcPr>
            <w:tcW w:w="480" w:type="dxa"/>
            <w:vMerge w:val="continue"/>
            <w:tcBorders>
              <w:left w:val="single" w:color="000000" w:sz="4" w:space="0"/>
              <w:right w:val="single" w:color="000000" w:sz="4" w:space="0"/>
            </w:tcBorders>
            <w:noWrap w:val="0"/>
            <w:vAlign w:val="center"/>
          </w:tcPr>
          <w:p>
            <w:pPr>
              <w:jc w:val="center"/>
              <w:rPr>
                <w:rFonts w:eastAsia="方正仿宋_GBK"/>
              </w:rPr>
            </w:pPr>
          </w:p>
        </w:tc>
        <w:tc>
          <w:tcPr>
            <w:tcW w:w="1305" w:type="dxa"/>
            <w:vMerge w:val="continue"/>
            <w:tcBorders>
              <w:left w:val="single" w:color="000000" w:sz="4" w:space="0"/>
              <w:right w:val="single" w:color="000000" w:sz="4" w:space="0"/>
            </w:tcBorders>
            <w:noWrap w:val="0"/>
            <w:vAlign w:val="center"/>
          </w:tcPr>
          <w:p>
            <w:pPr>
              <w:jc w:val="center"/>
              <w:rPr>
                <w:rFonts w:eastAsia="方正仿宋_GBK"/>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方正仿宋_GBK"/>
              </w:rPr>
            </w:pPr>
          </w:p>
        </w:tc>
        <w:tc>
          <w:tcPr>
            <w:tcW w:w="6275" w:type="dxa"/>
            <w:tcBorders>
              <w:top w:val="single" w:color="000000" w:sz="4" w:space="0"/>
              <w:left w:val="single" w:color="000000" w:sz="4" w:space="0"/>
              <w:bottom w:val="single" w:color="000000" w:sz="4" w:space="0"/>
              <w:right w:val="single" w:color="000000" w:sz="4" w:space="0"/>
            </w:tcBorders>
            <w:noWrap w:val="0"/>
            <w:vAlign w:val="center"/>
          </w:tcPr>
          <w:p>
            <w:pPr>
              <w:rPr>
                <w:rFonts w:eastAsia="方正仿宋_GBK"/>
                <w:spacing w:val="-2"/>
              </w:rPr>
            </w:pPr>
            <w:r>
              <w:rPr>
                <w:rFonts w:eastAsia="方正仿宋_GBK"/>
                <w:spacing w:val="-2"/>
              </w:rPr>
              <w:t>26.深入开展政务新媒体清理整治工作，及时注销“僵尸”账号，完善账号信息，严格开办管理，未经报备不得向第三方平台申请开设账号。按时规范办理“我为政府网站找错”和“云南省政府网站曝光台”网民留言</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eastAsia="方正仿宋_GBK"/>
                <w:lang w:eastAsia="zh-CN"/>
              </w:rPr>
            </w:pPr>
            <w:r>
              <w:rPr>
                <w:rFonts w:hint="eastAsia" w:eastAsia="方正仿宋_GBK"/>
                <w:lang w:eastAsia="zh-CN"/>
              </w:rPr>
              <w:t>区直有关部门、各乡人民政府（街道办事处）按照职责分工负责</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方正仿宋_GBK"/>
              </w:rPr>
            </w:pPr>
            <w:r>
              <w:rPr>
                <w:rFonts w:eastAsia="方正仿宋_GBK"/>
              </w:rPr>
              <w:t>全年持续推进</w:t>
            </w:r>
          </w:p>
        </w:tc>
      </w:tr>
      <w:tr>
        <w:tblPrEx>
          <w:tblLayout w:type="fixed"/>
          <w:tblCellMar>
            <w:top w:w="0" w:type="dxa"/>
            <w:left w:w="108" w:type="dxa"/>
            <w:bottom w:w="0" w:type="dxa"/>
            <w:right w:w="108" w:type="dxa"/>
          </w:tblCellMar>
        </w:tblPrEx>
        <w:trPr>
          <w:trHeight w:val="750" w:hRule="atLeast"/>
        </w:trPr>
        <w:tc>
          <w:tcPr>
            <w:tcW w:w="480" w:type="dxa"/>
            <w:vMerge w:val="continue"/>
            <w:tcBorders>
              <w:left w:val="single" w:color="000000" w:sz="4" w:space="0"/>
              <w:right w:val="single" w:color="000000" w:sz="4" w:space="0"/>
            </w:tcBorders>
            <w:noWrap w:val="0"/>
            <w:vAlign w:val="center"/>
          </w:tcPr>
          <w:p>
            <w:pPr>
              <w:jc w:val="center"/>
              <w:rPr>
                <w:rFonts w:eastAsia="方正仿宋_GBK"/>
              </w:rPr>
            </w:pPr>
          </w:p>
        </w:tc>
        <w:tc>
          <w:tcPr>
            <w:tcW w:w="1305" w:type="dxa"/>
            <w:vMerge w:val="continue"/>
            <w:tcBorders>
              <w:left w:val="single" w:color="000000" w:sz="4" w:space="0"/>
              <w:right w:val="single" w:color="000000" w:sz="4" w:space="0"/>
            </w:tcBorders>
            <w:noWrap w:val="0"/>
            <w:vAlign w:val="center"/>
          </w:tcPr>
          <w:p>
            <w:pPr>
              <w:jc w:val="center"/>
              <w:rPr>
                <w:rFonts w:eastAsia="方正仿宋_GBK"/>
              </w:rPr>
            </w:pPr>
          </w:p>
        </w:tc>
        <w:tc>
          <w:tcPr>
            <w:tcW w:w="15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方正仿宋_GBK"/>
              </w:rPr>
            </w:pPr>
            <w:r>
              <w:rPr>
                <w:rFonts w:eastAsia="方正仿宋_GBK"/>
              </w:rPr>
              <w:t>（二）优化12345政务服务便民热线</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pPr>
              <w:rPr>
                <w:rFonts w:eastAsia="方正仿宋_GBK"/>
              </w:rPr>
            </w:pPr>
            <w:r>
              <w:rPr>
                <w:rFonts w:eastAsia="方正仿宋_GBK"/>
              </w:rPr>
              <w:t>基本建成12345政务服务便民热线与110报警服务台高效对接联动，全面提升热线服务质量和办理效率。</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eastAsia="方正仿宋_GBK"/>
                <w:lang w:eastAsia="zh-CN"/>
              </w:rPr>
            </w:pPr>
            <w:r>
              <w:rPr>
                <w:rFonts w:hint="eastAsia" w:eastAsia="方正仿宋_GBK"/>
                <w:lang w:eastAsia="zh-CN"/>
              </w:rPr>
              <w:t>区</w:t>
            </w:r>
            <w:r>
              <w:rPr>
                <w:rFonts w:eastAsia="方正仿宋_GBK"/>
              </w:rPr>
              <w:t>信访局、市公安局</w:t>
            </w:r>
            <w:r>
              <w:rPr>
                <w:rFonts w:hint="eastAsia" w:eastAsia="方正仿宋_GBK"/>
                <w:lang w:eastAsia="zh-CN"/>
              </w:rPr>
              <w:t>红塔分局</w:t>
            </w:r>
            <w:r>
              <w:rPr>
                <w:rFonts w:eastAsia="方正仿宋_GBK"/>
              </w:rPr>
              <w:t>牵头，</w:t>
            </w:r>
            <w:r>
              <w:rPr>
                <w:rFonts w:hint="eastAsia" w:eastAsia="方正仿宋_GBK"/>
                <w:lang w:eastAsia="zh-CN"/>
              </w:rPr>
              <w:t>区直有关部门、各乡人民政府（街道办事处）按照职责分工负责</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方正仿宋_GBK"/>
              </w:rPr>
            </w:pPr>
            <w:r>
              <w:rPr>
                <w:rFonts w:eastAsia="方正仿宋_GBK"/>
              </w:rPr>
              <w:t>2022年11月底</w:t>
            </w:r>
          </w:p>
        </w:tc>
      </w:tr>
      <w:tr>
        <w:tblPrEx>
          <w:tblLayout w:type="fixed"/>
          <w:tblCellMar>
            <w:top w:w="0" w:type="dxa"/>
            <w:left w:w="108" w:type="dxa"/>
            <w:bottom w:w="0" w:type="dxa"/>
            <w:right w:w="108" w:type="dxa"/>
          </w:tblCellMar>
        </w:tblPrEx>
        <w:trPr>
          <w:trHeight w:val="750" w:hRule="atLeast"/>
        </w:trPr>
        <w:tc>
          <w:tcPr>
            <w:tcW w:w="48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方正仿宋_GBK"/>
              </w:rPr>
            </w:pPr>
            <w:r>
              <w:rPr>
                <w:rFonts w:eastAsia="方正仿宋_GBK"/>
              </w:rPr>
              <w:t>六</w:t>
            </w:r>
          </w:p>
        </w:tc>
        <w:tc>
          <w:tcPr>
            <w:tcW w:w="130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方正仿宋_GBK"/>
              </w:rPr>
            </w:pPr>
            <w:r>
              <w:rPr>
                <w:rFonts w:eastAsia="方正仿宋_GBK"/>
              </w:rPr>
              <w:t>着眼标准规范夯实公开基础</w:t>
            </w:r>
          </w:p>
        </w:tc>
        <w:tc>
          <w:tcPr>
            <w:tcW w:w="15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方正仿宋_GBK"/>
              </w:rPr>
            </w:pPr>
            <w:r>
              <w:rPr>
                <w:rFonts w:eastAsia="方正仿宋_GBK"/>
              </w:rPr>
              <w:t>（一）进一步规范主动公开</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pPr>
              <w:rPr>
                <w:rFonts w:eastAsia="方正仿宋_GBK"/>
              </w:rPr>
            </w:pPr>
            <w:r>
              <w:rPr>
                <w:rFonts w:eastAsia="方正仿宋_GBK"/>
              </w:rPr>
              <w:t>2</w:t>
            </w:r>
            <w:r>
              <w:rPr>
                <w:rFonts w:hint="eastAsia" w:eastAsia="方正仿宋_GBK"/>
                <w:lang w:val="en-US" w:eastAsia="zh-CN"/>
              </w:rPr>
              <w:t>8</w:t>
            </w:r>
            <w:r>
              <w:rPr>
                <w:rFonts w:eastAsia="方正仿宋_GBK"/>
              </w:rPr>
              <w:t>.依法依规做好拟公开政府信息的保密审查工作，防止泄露国家秘密、工作秘密和敏感信息，防范数据汇聚引发泄密风险。</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eastAsia="方正仿宋_GBK"/>
                <w:lang w:eastAsia="zh-CN"/>
              </w:rPr>
            </w:pPr>
            <w:r>
              <w:rPr>
                <w:rFonts w:hint="eastAsia" w:eastAsia="方正仿宋_GBK"/>
                <w:lang w:eastAsia="zh-CN"/>
              </w:rPr>
              <w:t>区直有关部门、各乡人民政府（街道办事处）按照职责分工负责</w:t>
            </w:r>
          </w:p>
        </w:tc>
        <w:tc>
          <w:tcPr>
            <w:tcW w:w="1045" w:type="dxa"/>
            <w:vMerge w:val="restart"/>
            <w:tcBorders>
              <w:top w:val="single" w:color="000000" w:sz="4" w:space="0"/>
              <w:left w:val="single" w:color="000000" w:sz="4" w:space="0"/>
              <w:right w:val="single" w:color="000000" w:sz="4" w:space="0"/>
            </w:tcBorders>
            <w:noWrap w:val="0"/>
            <w:vAlign w:val="center"/>
          </w:tcPr>
          <w:p>
            <w:pPr>
              <w:jc w:val="center"/>
              <w:rPr>
                <w:rFonts w:eastAsia="方正仿宋_GBK"/>
              </w:rPr>
            </w:pPr>
            <w:r>
              <w:rPr>
                <w:rFonts w:eastAsia="方正仿宋_GBK"/>
              </w:rPr>
              <w:t>全年持续推进</w:t>
            </w:r>
          </w:p>
        </w:tc>
      </w:tr>
      <w:tr>
        <w:tblPrEx>
          <w:tblLayout w:type="fixed"/>
          <w:tblCellMar>
            <w:top w:w="0" w:type="dxa"/>
            <w:left w:w="108" w:type="dxa"/>
            <w:bottom w:w="0" w:type="dxa"/>
            <w:right w:w="108" w:type="dxa"/>
          </w:tblCellMar>
        </w:tblPrEx>
        <w:trPr>
          <w:trHeight w:val="1125" w:hRule="atLeast"/>
        </w:trPr>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方正仿宋_GBK"/>
              </w:rPr>
            </w:pPr>
          </w:p>
        </w:tc>
        <w:tc>
          <w:tcPr>
            <w:tcW w:w="13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方正仿宋_GBK"/>
              </w:rPr>
            </w:pPr>
          </w:p>
        </w:tc>
        <w:tc>
          <w:tcPr>
            <w:tcW w:w="157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方正仿宋_GBK"/>
              </w:rPr>
            </w:pPr>
            <w:r>
              <w:rPr>
                <w:rFonts w:eastAsia="方正仿宋_GBK"/>
              </w:rPr>
              <w:t>（二）进一步规范政府信息依申请公开</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pPr>
              <w:rPr>
                <w:rFonts w:eastAsia="方正仿宋_GBK"/>
              </w:rPr>
            </w:pPr>
            <w:r>
              <w:rPr>
                <w:rFonts w:hint="eastAsia" w:eastAsia="方正仿宋_GBK"/>
                <w:lang w:val="en-US" w:eastAsia="zh-CN"/>
              </w:rPr>
              <w:t>29</w:t>
            </w:r>
            <w:r>
              <w:rPr>
                <w:rFonts w:eastAsia="方正仿宋_GBK"/>
              </w:rPr>
              <w:t>.认真落实《政府信息公开信息处理费管理办法》和《云南省政府信息依申请公开工作规程（修订）》，规范政府信息公开申请工作流程，加强接收渠道建设，做到及时受理、规范办理、按时答复。</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eastAsia="方正仿宋_GBK"/>
                <w:lang w:eastAsia="zh-CN"/>
              </w:rPr>
            </w:pPr>
            <w:r>
              <w:rPr>
                <w:rFonts w:hint="eastAsia" w:eastAsia="方正仿宋_GBK"/>
                <w:lang w:eastAsia="zh-CN"/>
              </w:rPr>
              <w:t>区直有关部门、各乡人民政府（街道办事处）按照职责分工负责</w:t>
            </w:r>
          </w:p>
        </w:tc>
        <w:tc>
          <w:tcPr>
            <w:tcW w:w="1045" w:type="dxa"/>
            <w:vMerge w:val="continue"/>
            <w:tcBorders>
              <w:left w:val="single" w:color="000000" w:sz="4" w:space="0"/>
              <w:right w:val="single" w:color="000000" w:sz="4" w:space="0"/>
            </w:tcBorders>
            <w:noWrap w:val="0"/>
            <w:vAlign w:val="center"/>
          </w:tcPr>
          <w:p>
            <w:pPr>
              <w:jc w:val="center"/>
              <w:rPr>
                <w:rFonts w:eastAsia="方正仿宋_GBK"/>
              </w:rPr>
            </w:pPr>
          </w:p>
        </w:tc>
      </w:tr>
      <w:tr>
        <w:tblPrEx>
          <w:tblLayout w:type="fixed"/>
          <w:tblCellMar>
            <w:top w:w="0" w:type="dxa"/>
            <w:left w:w="108" w:type="dxa"/>
            <w:bottom w:w="0" w:type="dxa"/>
            <w:right w:w="108" w:type="dxa"/>
          </w:tblCellMar>
        </w:tblPrEx>
        <w:trPr>
          <w:trHeight w:val="1125" w:hRule="atLeast"/>
        </w:trPr>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方正仿宋_GBK"/>
              </w:rPr>
            </w:pPr>
          </w:p>
        </w:tc>
        <w:tc>
          <w:tcPr>
            <w:tcW w:w="13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方正仿宋_GBK"/>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方正仿宋_GBK"/>
              </w:rPr>
            </w:pPr>
          </w:p>
        </w:tc>
        <w:tc>
          <w:tcPr>
            <w:tcW w:w="6275" w:type="dxa"/>
            <w:tcBorders>
              <w:top w:val="single" w:color="000000" w:sz="4" w:space="0"/>
              <w:left w:val="single" w:color="000000" w:sz="4" w:space="0"/>
              <w:bottom w:val="single" w:color="000000" w:sz="4" w:space="0"/>
              <w:right w:val="single" w:color="000000" w:sz="4" w:space="0"/>
            </w:tcBorders>
            <w:noWrap w:val="0"/>
            <w:vAlign w:val="center"/>
          </w:tcPr>
          <w:p>
            <w:pPr>
              <w:rPr>
                <w:rFonts w:eastAsia="方正仿宋_GBK"/>
              </w:rPr>
            </w:pPr>
            <w:r>
              <w:rPr>
                <w:rFonts w:eastAsia="方正仿宋_GBK"/>
              </w:rPr>
              <w:t>3</w:t>
            </w:r>
            <w:r>
              <w:rPr>
                <w:rFonts w:hint="eastAsia" w:eastAsia="方正仿宋_GBK"/>
                <w:lang w:val="en-US" w:eastAsia="zh-CN"/>
              </w:rPr>
              <w:t>0</w:t>
            </w:r>
            <w:r>
              <w:rPr>
                <w:rFonts w:eastAsia="方正仿宋_GBK"/>
              </w:rPr>
              <w:t>.认真落实《国务院办公厅转发司法部关于审理政府信息公开行政复议案件若干问题指导意见的通知》（国办函〔2021〕132号）规定，依法审理政府信息公开行政复议案件。</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rPr>
                <w:rFonts w:eastAsia="方正仿宋_GBK"/>
              </w:rPr>
            </w:pPr>
            <w:r>
              <w:rPr>
                <w:rFonts w:hint="eastAsia" w:eastAsia="方正仿宋_GBK"/>
                <w:lang w:eastAsia="zh-CN"/>
              </w:rPr>
              <w:t>区</w:t>
            </w:r>
            <w:r>
              <w:rPr>
                <w:rFonts w:eastAsia="方正仿宋_GBK"/>
              </w:rPr>
              <w:t>司法局牵头，</w:t>
            </w:r>
            <w:r>
              <w:rPr>
                <w:rFonts w:hint="eastAsia" w:eastAsia="方正仿宋_GBK"/>
                <w:lang w:eastAsia="zh-CN"/>
              </w:rPr>
              <w:t>区直有关部门、各乡人民政府（街道办事处）</w:t>
            </w:r>
            <w:r>
              <w:rPr>
                <w:rFonts w:eastAsia="方正仿宋_GBK"/>
              </w:rPr>
              <w:t>按照职责分工负责</w:t>
            </w:r>
          </w:p>
        </w:tc>
        <w:tc>
          <w:tcPr>
            <w:tcW w:w="1045" w:type="dxa"/>
            <w:vMerge w:val="continue"/>
            <w:tcBorders>
              <w:left w:val="single" w:color="000000" w:sz="4" w:space="0"/>
              <w:bottom w:val="single" w:color="000000" w:sz="4" w:space="0"/>
              <w:right w:val="single" w:color="000000" w:sz="4" w:space="0"/>
            </w:tcBorders>
            <w:noWrap w:val="0"/>
            <w:vAlign w:val="center"/>
          </w:tcPr>
          <w:p>
            <w:pPr>
              <w:jc w:val="center"/>
              <w:rPr>
                <w:rFonts w:eastAsia="方正仿宋_GBK"/>
              </w:rPr>
            </w:pPr>
          </w:p>
        </w:tc>
      </w:tr>
      <w:tr>
        <w:tblPrEx>
          <w:tblLayout w:type="fixed"/>
          <w:tblCellMar>
            <w:top w:w="0" w:type="dxa"/>
            <w:left w:w="108" w:type="dxa"/>
            <w:bottom w:w="0" w:type="dxa"/>
            <w:right w:w="108" w:type="dxa"/>
          </w:tblCellMar>
        </w:tblPrEx>
        <w:trPr>
          <w:trHeight w:val="1125" w:hRule="atLeast"/>
        </w:trPr>
        <w:tc>
          <w:tcPr>
            <w:tcW w:w="480" w:type="dxa"/>
            <w:vMerge w:val="restart"/>
            <w:tcBorders>
              <w:top w:val="single" w:color="000000" w:sz="4" w:space="0"/>
              <w:left w:val="single" w:color="000000" w:sz="4" w:space="0"/>
              <w:right w:val="single" w:color="000000" w:sz="4" w:space="0"/>
            </w:tcBorders>
            <w:noWrap w:val="0"/>
            <w:vAlign w:val="center"/>
          </w:tcPr>
          <w:p>
            <w:pPr>
              <w:jc w:val="center"/>
              <w:rPr>
                <w:rFonts w:eastAsia="方正仿宋_GBK"/>
              </w:rPr>
            </w:pPr>
            <w:r>
              <w:rPr>
                <w:rFonts w:eastAsia="方正仿宋_GBK"/>
              </w:rPr>
              <w:t>六</w:t>
            </w:r>
          </w:p>
        </w:tc>
        <w:tc>
          <w:tcPr>
            <w:tcW w:w="1305" w:type="dxa"/>
            <w:vMerge w:val="restart"/>
            <w:tcBorders>
              <w:top w:val="single" w:color="000000" w:sz="4" w:space="0"/>
              <w:left w:val="single" w:color="000000" w:sz="4" w:space="0"/>
              <w:right w:val="single" w:color="000000" w:sz="4" w:space="0"/>
            </w:tcBorders>
            <w:noWrap w:val="0"/>
            <w:vAlign w:val="center"/>
          </w:tcPr>
          <w:p>
            <w:pPr>
              <w:jc w:val="center"/>
              <w:rPr>
                <w:rFonts w:eastAsia="方正仿宋_GBK"/>
              </w:rPr>
            </w:pPr>
            <w:r>
              <w:rPr>
                <w:rFonts w:eastAsia="方正仿宋_GBK"/>
              </w:rPr>
              <w:t>着眼标准规范夯实公开基础</w:t>
            </w:r>
          </w:p>
        </w:tc>
        <w:tc>
          <w:tcPr>
            <w:tcW w:w="15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方正仿宋_GBK"/>
              </w:rPr>
            </w:pPr>
            <w:r>
              <w:rPr>
                <w:rFonts w:eastAsia="方正仿宋_GBK"/>
              </w:rPr>
              <w:t>（三）深入推进规章和行政规范性文件集中公开</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pPr>
              <w:rPr>
                <w:rFonts w:eastAsia="方正仿宋_GBK"/>
              </w:rPr>
            </w:pPr>
            <w:r>
              <w:rPr>
                <w:rFonts w:eastAsia="方正仿宋_GBK"/>
              </w:rPr>
              <w:t>3</w:t>
            </w:r>
            <w:r>
              <w:rPr>
                <w:rFonts w:hint="eastAsia" w:eastAsia="方正仿宋_GBK"/>
                <w:lang w:val="en-US" w:eastAsia="zh-CN"/>
              </w:rPr>
              <w:t>1</w:t>
            </w:r>
            <w:r>
              <w:rPr>
                <w:rFonts w:eastAsia="方正仿宋_GBK"/>
              </w:rPr>
              <w:t>.持续完善政府规章、行政规范性文件库，全面、高质量完成现行有效政府规章和行政规范性文件正式版本发布工作，并根据立、改、废情况动态调整更新。</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eastAsia="方正仿宋_GBK"/>
                <w:lang w:eastAsia="zh-CN"/>
              </w:rPr>
            </w:pPr>
            <w:r>
              <w:rPr>
                <w:rFonts w:hint="eastAsia" w:eastAsia="方正仿宋_GBK"/>
                <w:lang w:eastAsia="zh-CN"/>
              </w:rPr>
              <w:t>区直有关部门、各乡人民政府（街道办事处）按照职责分工负责</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方正仿宋_GBK"/>
              </w:rPr>
            </w:pPr>
            <w:r>
              <w:rPr>
                <w:rFonts w:eastAsia="方正仿宋_GBK"/>
              </w:rPr>
              <w:t>全年持续推进</w:t>
            </w:r>
          </w:p>
        </w:tc>
      </w:tr>
      <w:tr>
        <w:tblPrEx>
          <w:tblLayout w:type="fixed"/>
          <w:tblCellMar>
            <w:top w:w="0" w:type="dxa"/>
            <w:left w:w="108" w:type="dxa"/>
            <w:bottom w:w="0" w:type="dxa"/>
            <w:right w:w="108" w:type="dxa"/>
          </w:tblCellMar>
        </w:tblPrEx>
        <w:trPr>
          <w:trHeight w:val="1490" w:hRule="atLeast"/>
        </w:trPr>
        <w:tc>
          <w:tcPr>
            <w:tcW w:w="480" w:type="dxa"/>
            <w:vMerge w:val="continue"/>
            <w:tcBorders>
              <w:left w:val="single" w:color="000000" w:sz="4" w:space="0"/>
              <w:right w:val="single" w:color="000000" w:sz="4" w:space="0"/>
            </w:tcBorders>
            <w:noWrap w:val="0"/>
            <w:vAlign w:val="center"/>
          </w:tcPr>
          <w:p>
            <w:pPr>
              <w:jc w:val="center"/>
              <w:rPr>
                <w:rFonts w:eastAsia="方正仿宋_GBK"/>
              </w:rPr>
            </w:pPr>
          </w:p>
        </w:tc>
        <w:tc>
          <w:tcPr>
            <w:tcW w:w="1305" w:type="dxa"/>
            <w:vMerge w:val="continue"/>
            <w:tcBorders>
              <w:left w:val="single" w:color="000000" w:sz="4" w:space="0"/>
              <w:right w:val="single" w:color="000000" w:sz="4" w:space="0"/>
            </w:tcBorders>
            <w:noWrap w:val="0"/>
            <w:vAlign w:val="center"/>
          </w:tcPr>
          <w:p>
            <w:pPr>
              <w:jc w:val="center"/>
              <w:rPr>
                <w:rFonts w:eastAsia="方正仿宋_GBK"/>
              </w:rPr>
            </w:pPr>
          </w:p>
        </w:tc>
        <w:tc>
          <w:tcPr>
            <w:tcW w:w="1573" w:type="dxa"/>
            <w:vMerge w:val="restart"/>
            <w:tcBorders>
              <w:top w:val="single" w:color="000000" w:sz="4" w:space="0"/>
              <w:left w:val="single" w:color="000000" w:sz="4" w:space="0"/>
              <w:right w:val="single" w:color="000000" w:sz="4" w:space="0"/>
            </w:tcBorders>
            <w:noWrap w:val="0"/>
            <w:vAlign w:val="center"/>
          </w:tcPr>
          <w:p>
            <w:pPr>
              <w:jc w:val="center"/>
              <w:rPr>
                <w:rFonts w:eastAsia="方正仿宋_GBK"/>
              </w:rPr>
            </w:pPr>
            <w:r>
              <w:rPr>
                <w:rFonts w:eastAsia="方正仿宋_GBK"/>
              </w:rPr>
              <w:t>（四）健全完善政务公开目录体系</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pPr>
              <w:rPr>
                <w:rFonts w:eastAsia="方正仿宋_GBK"/>
              </w:rPr>
            </w:pPr>
            <w:r>
              <w:rPr>
                <w:rFonts w:eastAsia="方正仿宋_GBK"/>
              </w:rPr>
              <w:t>3</w:t>
            </w:r>
            <w:r>
              <w:rPr>
                <w:rFonts w:hint="eastAsia" w:eastAsia="方正仿宋_GBK"/>
                <w:lang w:val="en-US" w:eastAsia="zh-CN"/>
              </w:rPr>
              <w:t>2</w:t>
            </w:r>
            <w:r>
              <w:rPr>
                <w:rFonts w:eastAsia="方正仿宋_GBK"/>
              </w:rPr>
              <w:t>.教育、卫生健康、供水、供电、供气、环境保护、公共交通等领域的各级政府主管部门要按照国务院主管部门出台的有关公共企事业单位信息公开规定，督促指导有关公共企事业单位以清单化方式列明公开内容和时限要求等，依法公开各类信息。</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eastAsia="方正仿宋_GBK"/>
                <w:lang w:eastAsia="zh-CN"/>
              </w:rPr>
            </w:pPr>
            <w:r>
              <w:rPr>
                <w:rFonts w:hint="eastAsia" w:eastAsia="方正仿宋_GBK"/>
                <w:lang w:eastAsia="zh-CN"/>
              </w:rPr>
              <w:t>区直有关部门、各乡人民政府（街道办事处）按照职责分工负责</w:t>
            </w:r>
          </w:p>
        </w:tc>
        <w:tc>
          <w:tcPr>
            <w:tcW w:w="1045" w:type="dxa"/>
            <w:vMerge w:val="restart"/>
            <w:tcBorders>
              <w:top w:val="single" w:color="000000" w:sz="4" w:space="0"/>
              <w:left w:val="single" w:color="000000" w:sz="4" w:space="0"/>
              <w:right w:val="single" w:color="000000" w:sz="4" w:space="0"/>
            </w:tcBorders>
            <w:noWrap w:val="0"/>
            <w:vAlign w:val="center"/>
          </w:tcPr>
          <w:p>
            <w:pPr>
              <w:jc w:val="center"/>
              <w:rPr>
                <w:rFonts w:eastAsia="方正仿宋_GBK"/>
              </w:rPr>
            </w:pPr>
            <w:r>
              <w:rPr>
                <w:rFonts w:eastAsia="方正仿宋_GBK"/>
              </w:rPr>
              <w:t>2022年11月底</w:t>
            </w:r>
          </w:p>
        </w:tc>
      </w:tr>
      <w:tr>
        <w:tblPrEx>
          <w:tblLayout w:type="fixed"/>
          <w:tblCellMar>
            <w:top w:w="0" w:type="dxa"/>
            <w:left w:w="108" w:type="dxa"/>
            <w:bottom w:w="0" w:type="dxa"/>
            <w:right w:w="108" w:type="dxa"/>
          </w:tblCellMar>
        </w:tblPrEx>
        <w:trPr>
          <w:trHeight w:val="750" w:hRule="atLeast"/>
        </w:trPr>
        <w:tc>
          <w:tcPr>
            <w:tcW w:w="480" w:type="dxa"/>
            <w:vMerge w:val="continue"/>
            <w:tcBorders>
              <w:left w:val="single" w:color="000000" w:sz="4" w:space="0"/>
              <w:right w:val="single" w:color="000000" w:sz="4" w:space="0"/>
            </w:tcBorders>
            <w:noWrap w:val="0"/>
            <w:vAlign w:val="center"/>
          </w:tcPr>
          <w:p>
            <w:pPr>
              <w:jc w:val="center"/>
              <w:rPr>
                <w:rFonts w:eastAsia="方正仿宋_GBK"/>
              </w:rPr>
            </w:pPr>
          </w:p>
        </w:tc>
        <w:tc>
          <w:tcPr>
            <w:tcW w:w="1305" w:type="dxa"/>
            <w:vMerge w:val="continue"/>
            <w:tcBorders>
              <w:left w:val="single" w:color="000000" w:sz="4" w:space="0"/>
              <w:right w:val="single" w:color="000000" w:sz="4" w:space="0"/>
            </w:tcBorders>
            <w:noWrap w:val="0"/>
            <w:vAlign w:val="center"/>
          </w:tcPr>
          <w:p>
            <w:pPr>
              <w:jc w:val="center"/>
              <w:rPr>
                <w:rFonts w:eastAsia="方正仿宋_GBK"/>
              </w:rPr>
            </w:pPr>
          </w:p>
        </w:tc>
        <w:tc>
          <w:tcPr>
            <w:tcW w:w="1573" w:type="dxa"/>
            <w:vMerge w:val="continue"/>
            <w:tcBorders>
              <w:left w:val="single" w:color="000000" w:sz="4" w:space="0"/>
              <w:right w:val="single" w:color="000000" w:sz="4" w:space="0"/>
            </w:tcBorders>
            <w:noWrap w:val="0"/>
            <w:vAlign w:val="center"/>
          </w:tcPr>
          <w:p>
            <w:pPr>
              <w:jc w:val="center"/>
              <w:rPr>
                <w:rFonts w:eastAsia="方正仿宋_GBK"/>
              </w:rPr>
            </w:pPr>
          </w:p>
        </w:tc>
        <w:tc>
          <w:tcPr>
            <w:tcW w:w="6275" w:type="dxa"/>
            <w:tcBorders>
              <w:top w:val="single" w:color="000000" w:sz="4" w:space="0"/>
              <w:left w:val="single" w:color="000000" w:sz="4" w:space="0"/>
              <w:bottom w:val="single" w:color="000000" w:sz="4" w:space="0"/>
              <w:right w:val="single" w:color="000000" w:sz="4" w:space="0"/>
            </w:tcBorders>
            <w:noWrap w:val="0"/>
            <w:vAlign w:val="center"/>
          </w:tcPr>
          <w:p>
            <w:pPr>
              <w:rPr>
                <w:rFonts w:eastAsia="方正仿宋_GBK"/>
              </w:rPr>
            </w:pPr>
            <w:r>
              <w:rPr>
                <w:rFonts w:eastAsia="方正仿宋_GBK"/>
              </w:rPr>
              <w:t>3</w:t>
            </w:r>
            <w:r>
              <w:rPr>
                <w:rFonts w:hint="eastAsia" w:eastAsia="方正仿宋_GBK"/>
                <w:lang w:val="en-US" w:eastAsia="zh-CN"/>
              </w:rPr>
              <w:t>3</w:t>
            </w:r>
            <w:r>
              <w:rPr>
                <w:rFonts w:eastAsia="方正仿宋_GBK"/>
              </w:rPr>
              <w:t>.编制政府信息公开基本目录，公开发布后及时向本级政府办公室报送网页地址。</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eastAsia="方正仿宋_GBK"/>
                <w:lang w:eastAsia="zh-CN"/>
              </w:rPr>
            </w:pPr>
            <w:r>
              <w:rPr>
                <w:rFonts w:hint="eastAsia" w:eastAsia="方正仿宋_GBK"/>
                <w:lang w:eastAsia="zh-CN"/>
              </w:rPr>
              <w:t>区直有关部门、各乡人民政府（街道办事处）按照职责分工负责</w:t>
            </w:r>
          </w:p>
        </w:tc>
        <w:tc>
          <w:tcPr>
            <w:tcW w:w="1045" w:type="dxa"/>
            <w:vMerge w:val="continue"/>
            <w:tcBorders>
              <w:left w:val="single" w:color="000000" w:sz="4" w:space="0"/>
              <w:right w:val="single" w:color="000000" w:sz="4" w:space="0"/>
            </w:tcBorders>
            <w:noWrap w:val="0"/>
            <w:vAlign w:val="center"/>
          </w:tcPr>
          <w:p>
            <w:pPr>
              <w:jc w:val="center"/>
              <w:rPr>
                <w:rFonts w:eastAsia="方正仿宋_GBK"/>
              </w:rPr>
            </w:pPr>
          </w:p>
        </w:tc>
      </w:tr>
      <w:tr>
        <w:tblPrEx>
          <w:tblLayout w:type="fixed"/>
          <w:tblCellMar>
            <w:top w:w="0" w:type="dxa"/>
            <w:left w:w="108" w:type="dxa"/>
            <w:bottom w:w="0" w:type="dxa"/>
            <w:right w:w="108" w:type="dxa"/>
          </w:tblCellMar>
        </w:tblPrEx>
        <w:trPr>
          <w:trHeight w:val="1875" w:hRule="atLeast"/>
        </w:trPr>
        <w:tc>
          <w:tcPr>
            <w:tcW w:w="480" w:type="dxa"/>
            <w:vMerge w:val="continue"/>
            <w:tcBorders>
              <w:left w:val="single" w:color="000000" w:sz="4" w:space="0"/>
              <w:right w:val="single" w:color="000000" w:sz="4" w:space="0"/>
            </w:tcBorders>
            <w:noWrap w:val="0"/>
            <w:vAlign w:val="center"/>
          </w:tcPr>
          <w:p>
            <w:pPr>
              <w:jc w:val="center"/>
              <w:rPr>
                <w:rFonts w:eastAsia="方正仿宋_GBK"/>
              </w:rPr>
            </w:pPr>
          </w:p>
        </w:tc>
        <w:tc>
          <w:tcPr>
            <w:tcW w:w="1305" w:type="dxa"/>
            <w:vMerge w:val="continue"/>
            <w:tcBorders>
              <w:left w:val="single" w:color="000000" w:sz="4" w:space="0"/>
              <w:right w:val="single" w:color="000000" w:sz="4" w:space="0"/>
            </w:tcBorders>
            <w:noWrap w:val="0"/>
            <w:vAlign w:val="center"/>
          </w:tcPr>
          <w:p>
            <w:pPr>
              <w:jc w:val="center"/>
              <w:rPr>
                <w:rFonts w:eastAsia="方正仿宋_GBK"/>
              </w:rPr>
            </w:pPr>
          </w:p>
        </w:tc>
        <w:tc>
          <w:tcPr>
            <w:tcW w:w="1573" w:type="dxa"/>
            <w:vMerge w:val="continue"/>
            <w:tcBorders>
              <w:left w:val="single" w:color="000000" w:sz="4" w:space="0"/>
              <w:right w:val="single" w:color="000000" w:sz="4" w:space="0"/>
            </w:tcBorders>
            <w:noWrap w:val="0"/>
            <w:vAlign w:val="center"/>
          </w:tcPr>
          <w:p>
            <w:pPr>
              <w:jc w:val="center"/>
              <w:rPr>
                <w:rFonts w:eastAsia="方正仿宋_GBK"/>
              </w:rPr>
            </w:pPr>
          </w:p>
        </w:tc>
        <w:tc>
          <w:tcPr>
            <w:tcW w:w="6275" w:type="dxa"/>
            <w:tcBorders>
              <w:top w:val="single" w:color="000000" w:sz="4" w:space="0"/>
              <w:left w:val="single" w:color="000000" w:sz="4" w:space="0"/>
              <w:bottom w:val="single" w:color="000000" w:sz="4" w:space="0"/>
              <w:right w:val="single" w:color="000000" w:sz="4" w:space="0"/>
            </w:tcBorders>
            <w:noWrap w:val="0"/>
            <w:vAlign w:val="center"/>
          </w:tcPr>
          <w:p>
            <w:pPr>
              <w:rPr>
                <w:rFonts w:eastAsia="方正仿宋_GBK"/>
              </w:rPr>
            </w:pPr>
            <w:r>
              <w:rPr>
                <w:rFonts w:eastAsia="方正仿宋_GBK"/>
              </w:rPr>
              <w:t>3</w:t>
            </w:r>
            <w:r>
              <w:rPr>
                <w:rFonts w:hint="eastAsia" w:eastAsia="方正仿宋_GBK"/>
                <w:lang w:val="en-US" w:eastAsia="zh-CN"/>
              </w:rPr>
              <w:t>4</w:t>
            </w:r>
            <w:r>
              <w:rPr>
                <w:rFonts w:eastAsia="方正仿宋_GBK"/>
              </w:rPr>
              <w:t>.严格落实《云南省人民政府办公厅关于全面推进基层政务公开标准化规范化工作的实施意见 》（云政办发〔2020〕33号）要求，建立健全政府信息管理、依申请公开、解读回应、公众参与、监督考核等工作制度，根据国家部门新印发的有关领域基层政务公开标准指引，及时编制发布本级政务公开事项标准目录。</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eastAsia="方正仿宋_GBK"/>
                <w:lang w:eastAsia="zh-CN"/>
              </w:rPr>
            </w:pPr>
            <w:r>
              <w:rPr>
                <w:rFonts w:hint="eastAsia" w:ascii="方正仿宋_GBK" w:hAnsi="方正仿宋_GBK" w:eastAsia="方正仿宋_GBK" w:cs="方正仿宋_GBK"/>
                <w:i w:val="0"/>
                <w:caps w:val="0"/>
                <w:color w:val="000000"/>
                <w:spacing w:val="0"/>
                <w:sz w:val="21"/>
                <w:szCs w:val="21"/>
                <w:lang w:eastAsia="zh-CN"/>
              </w:rPr>
              <w:t>区直有关部门、各乡人民政府（街道办事处）按照职责分工负责</w:t>
            </w:r>
          </w:p>
        </w:tc>
        <w:tc>
          <w:tcPr>
            <w:tcW w:w="1045" w:type="dxa"/>
            <w:vMerge w:val="continue"/>
            <w:tcBorders>
              <w:left w:val="single" w:color="000000" w:sz="4" w:space="0"/>
              <w:right w:val="single" w:color="000000" w:sz="4" w:space="0"/>
            </w:tcBorders>
            <w:noWrap w:val="0"/>
            <w:vAlign w:val="center"/>
          </w:tcPr>
          <w:p>
            <w:pPr>
              <w:jc w:val="center"/>
              <w:rPr>
                <w:rFonts w:eastAsia="方正仿宋_GBK"/>
              </w:rPr>
            </w:pPr>
          </w:p>
        </w:tc>
      </w:tr>
      <w:tr>
        <w:tblPrEx>
          <w:tblLayout w:type="fixed"/>
          <w:tblCellMar>
            <w:top w:w="0" w:type="dxa"/>
            <w:left w:w="108" w:type="dxa"/>
            <w:bottom w:w="0" w:type="dxa"/>
            <w:right w:w="108" w:type="dxa"/>
          </w:tblCellMar>
        </w:tblPrEx>
        <w:trPr>
          <w:trHeight w:val="1500" w:hRule="atLeast"/>
        </w:trPr>
        <w:tc>
          <w:tcPr>
            <w:tcW w:w="480" w:type="dxa"/>
            <w:vMerge w:val="continue"/>
            <w:tcBorders>
              <w:left w:val="single" w:color="000000" w:sz="4" w:space="0"/>
              <w:bottom w:val="single" w:color="000000" w:sz="4" w:space="0"/>
              <w:right w:val="single" w:color="000000" w:sz="4" w:space="0"/>
            </w:tcBorders>
            <w:noWrap w:val="0"/>
            <w:vAlign w:val="center"/>
          </w:tcPr>
          <w:p>
            <w:pPr>
              <w:jc w:val="center"/>
              <w:rPr>
                <w:rFonts w:eastAsia="方正仿宋_GBK"/>
              </w:rPr>
            </w:pPr>
          </w:p>
        </w:tc>
        <w:tc>
          <w:tcPr>
            <w:tcW w:w="1305" w:type="dxa"/>
            <w:vMerge w:val="continue"/>
            <w:tcBorders>
              <w:left w:val="single" w:color="000000" w:sz="4" w:space="0"/>
              <w:bottom w:val="single" w:color="000000" w:sz="4" w:space="0"/>
              <w:right w:val="single" w:color="000000" w:sz="4" w:space="0"/>
            </w:tcBorders>
            <w:noWrap w:val="0"/>
            <w:vAlign w:val="center"/>
          </w:tcPr>
          <w:p>
            <w:pPr>
              <w:jc w:val="center"/>
              <w:rPr>
                <w:rFonts w:eastAsia="方正仿宋_GBK"/>
              </w:rPr>
            </w:pPr>
          </w:p>
        </w:tc>
        <w:tc>
          <w:tcPr>
            <w:tcW w:w="1573" w:type="dxa"/>
            <w:vMerge w:val="continue"/>
            <w:tcBorders>
              <w:left w:val="single" w:color="000000" w:sz="4" w:space="0"/>
              <w:bottom w:val="single" w:color="000000" w:sz="4" w:space="0"/>
              <w:right w:val="single" w:color="000000" w:sz="4" w:space="0"/>
            </w:tcBorders>
            <w:noWrap w:val="0"/>
            <w:vAlign w:val="center"/>
          </w:tcPr>
          <w:p>
            <w:pPr>
              <w:jc w:val="center"/>
              <w:rPr>
                <w:rFonts w:eastAsia="方正仿宋_GBK"/>
              </w:rPr>
            </w:pPr>
          </w:p>
        </w:tc>
        <w:tc>
          <w:tcPr>
            <w:tcW w:w="6275" w:type="dxa"/>
            <w:tcBorders>
              <w:top w:val="single" w:color="000000" w:sz="4" w:space="0"/>
              <w:left w:val="single" w:color="000000" w:sz="4" w:space="0"/>
              <w:bottom w:val="single" w:color="000000" w:sz="4" w:space="0"/>
              <w:right w:val="single" w:color="000000" w:sz="4" w:space="0"/>
            </w:tcBorders>
            <w:noWrap w:val="0"/>
            <w:vAlign w:val="center"/>
          </w:tcPr>
          <w:p>
            <w:pPr>
              <w:rPr>
                <w:rFonts w:eastAsia="方正仿宋_GBK"/>
              </w:rPr>
            </w:pPr>
            <w:r>
              <w:rPr>
                <w:rFonts w:eastAsia="方正仿宋_GBK"/>
              </w:rPr>
              <w:t>3</w:t>
            </w:r>
            <w:r>
              <w:rPr>
                <w:rFonts w:hint="eastAsia" w:eastAsia="方正仿宋_GBK"/>
                <w:lang w:val="en-US" w:eastAsia="zh-CN"/>
              </w:rPr>
              <w:t>5</w:t>
            </w:r>
            <w:r>
              <w:rPr>
                <w:rFonts w:eastAsia="方正仿宋_GBK"/>
              </w:rPr>
              <w:t>.及时公开涉农补贴申报信息，汇总面向农村的各类惠民惠农财政补贴资金实际发放结果，每年底前将发放结果以行政村为单位通过村务公开栏公开，同时指导村（居）民委员会建立完善公开事项清单，全面完成行政区域内村（居）务公开目录体系建设。</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rPr>
                <w:rFonts w:eastAsia="方正仿宋_GBK"/>
              </w:rPr>
            </w:pPr>
            <w:r>
              <w:rPr>
                <w:rFonts w:hint="eastAsia" w:eastAsia="方正仿宋_GBK"/>
                <w:lang w:eastAsia="zh-CN"/>
              </w:rPr>
              <w:t>各乡人民政府（街道办事处）</w:t>
            </w:r>
            <w:r>
              <w:rPr>
                <w:rFonts w:eastAsia="方正仿宋_GBK"/>
              </w:rPr>
              <w:t>按照职责分工负责</w:t>
            </w:r>
          </w:p>
        </w:tc>
        <w:tc>
          <w:tcPr>
            <w:tcW w:w="1045" w:type="dxa"/>
            <w:vMerge w:val="continue"/>
            <w:tcBorders>
              <w:left w:val="single" w:color="000000" w:sz="4" w:space="0"/>
              <w:bottom w:val="single" w:color="000000" w:sz="4" w:space="0"/>
              <w:right w:val="single" w:color="000000" w:sz="4" w:space="0"/>
            </w:tcBorders>
            <w:noWrap w:val="0"/>
            <w:vAlign w:val="center"/>
          </w:tcPr>
          <w:p>
            <w:pPr>
              <w:jc w:val="center"/>
              <w:rPr>
                <w:rFonts w:eastAsia="方正仿宋_GBK"/>
              </w:rPr>
            </w:pPr>
          </w:p>
        </w:tc>
      </w:tr>
    </w:tbl>
    <w:p>
      <w:pPr>
        <w:spacing w:line="590" w:lineRule="exact"/>
        <w:rPr>
          <w:rFonts w:hint="eastAsia" w:eastAsia="方正仿宋_GBK"/>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
    <w:altName w:val="仿宋"/>
    <w:panose1 w:val="00000000000000000000"/>
    <w:charset w:val="00"/>
    <w:family w:val="auto"/>
    <w:pitch w:val="default"/>
    <w:sig w:usb0="00000000" w:usb1="00000000" w:usb2="00000000" w:usb3="00000000" w:csb0="00040001"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FBBEC"/>
    <w:rsid w:val="21CD7D0D"/>
    <w:rsid w:val="5EEFBCC6"/>
    <w:rsid w:val="7F6FB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beforeAutospacing="1" w:afterAutospacing="1"/>
      <w:jc w:val="left"/>
      <w:outlineLvl w:val="2"/>
    </w:pPr>
    <w:rPr>
      <w:rFonts w:ascii="宋体" w:hAnsi="宋体"/>
      <w:b/>
      <w:kern w:val="0"/>
      <w:sz w:val="27"/>
      <w:szCs w:val="27"/>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2022-09-19T11:13:00Z</dcterms:created>
  <dc:creator>user</dc:creator>
  <cp:lastModifiedBy>admin</cp:lastModifiedBy>
  <cp:lastPrinted>2022-09-19T11:25:00Z</cp:lastPrinted>
  <dcterms:modified xsi:type="dcterms:W3CDTF">2022-10-11T09:10:05Z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