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90" w:lineRule="exact"/>
        <w:jc w:val="left"/>
        <w:textAlignment w:val="auto"/>
        <w:rPr>
          <w:rFonts w:hint="eastAsia" w:eastAsia="方正仿宋_GBK"/>
          <w:sz w:val="28"/>
          <w:szCs w:val="28"/>
          <w:lang w:val="en-US" w:eastAsia="zh-CN"/>
        </w:rPr>
      </w:pPr>
      <w:bookmarkStart w:id="0" w:name="_GoBack"/>
      <w:r>
        <w:rPr>
          <w:rFonts w:eastAsia="方正仿宋_GBK"/>
          <w:sz w:val="28"/>
          <w:szCs w:val="28"/>
        </w:rPr>
        <w:t>附件</w:t>
      </w:r>
      <w:r>
        <w:rPr>
          <w:rFonts w:hint="eastAsia" w:eastAsia="方正仿宋_GBK"/>
          <w:sz w:val="28"/>
          <w:szCs w:val="28"/>
          <w:lang w:val="en-US" w:eastAsia="zh-CN"/>
        </w:rPr>
        <w:t>2</w:t>
      </w:r>
    </w:p>
    <w:bookmarkEnd w:id="0"/>
    <w:p>
      <w:pPr>
        <w:keepNext w:val="0"/>
        <w:keepLines w:val="0"/>
        <w:pageBreakBefore w:val="0"/>
        <w:widowControl w:val="0"/>
        <w:kinsoku/>
        <w:wordWrap/>
        <w:overflowPunct/>
        <w:topLinePunct w:val="0"/>
        <w:bidi w:val="0"/>
        <w:spacing w:line="590" w:lineRule="exact"/>
        <w:jc w:val="center"/>
        <w:textAlignment w:val="auto"/>
        <w:rPr>
          <w:rFonts w:hint="eastAsia" w:ascii="方正黑体_GBK" w:hAnsi="方正黑体_GBK" w:eastAsia="方正黑体_GBK" w:cs="方正黑体_GBK"/>
          <w:bCs/>
          <w:sz w:val="44"/>
          <w:szCs w:val="44"/>
        </w:rPr>
      </w:pPr>
      <w:r>
        <w:rPr>
          <w:rFonts w:hint="eastAsia" w:ascii="方正黑体_GBK" w:hAnsi="方正黑体_GBK" w:eastAsia="方正黑体_GBK" w:cs="方正黑体_GBK"/>
          <w:sz w:val="44"/>
          <w:szCs w:val="44"/>
        </w:rPr>
        <w:t>关于</w:t>
      </w:r>
      <w:r>
        <w:rPr>
          <w:rFonts w:hint="eastAsia" w:ascii="方正黑体_GBK" w:hAnsi="方正黑体_GBK" w:eastAsia="方正黑体_GBK" w:cs="方正黑体_GBK"/>
          <w:bCs/>
          <w:sz w:val="44"/>
          <w:szCs w:val="44"/>
          <w:lang w:val="en-US" w:eastAsia="zh-CN"/>
        </w:rPr>
        <w:t>灵秀云栖艺术谷产业及配套设施项目主要内容</w:t>
      </w:r>
      <w:r>
        <w:rPr>
          <w:rFonts w:hint="eastAsia" w:ascii="方正黑体_GBK" w:hAnsi="方正黑体_GBK" w:eastAsia="方正黑体_GBK" w:cs="方正黑体_GBK"/>
          <w:bCs/>
          <w:sz w:val="44"/>
          <w:szCs w:val="44"/>
        </w:rPr>
        <w:t>的说明</w:t>
      </w:r>
    </w:p>
    <w:p>
      <w:pPr>
        <w:keepNext w:val="0"/>
        <w:keepLines w:val="0"/>
        <w:pageBreakBefore w:val="0"/>
        <w:widowControl w:val="0"/>
        <w:kinsoku/>
        <w:wordWrap/>
        <w:overflowPunct/>
        <w:topLinePunct w:val="0"/>
        <w:bidi w:val="0"/>
        <w:spacing w:line="590" w:lineRule="exact"/>
        <w:jc w:val="center"/>
        <w:textAlignment w:val="auto"/>
        <w:rPr>
          <w:rFonts w:hint="eastAsia" w:ascii="方正黑体_GBK" w:hAnsi="方正黑体_GBK" w:eastAsia="方正黑体_GBK" w:cs="方正黑体_GBK"/>
          <w:bCs/>
          <w:sz w:val="44"/>
          <w:szCs w:val="44"/>
        </w:rPr>
      </w:pPr>
    </w:p>
    <w:p>
      <w:pPr>
        <w:keepNext w:val="0"/>
        <w:keepLines w:val="0"/>
        <w:pageBreakBefore w:val="0"/>
        <w:widowControl w:val="0"/>
        <w:kinsoku/>
        <w:wordWrap/>
        <w:overflowPunct/>
        <w:topLinePunct w:val="0"/>
        <w:bidi w:val="0"/>
        <w:spacing w:line="59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近年来，红塔区致力于乡村振兴战略的实施，而乡村振兴的根本在于“产业”，“产业”是乡村振兴的核心载体。本项目作为乡韵红塔——红塔区乡村振兴文旅环线项目其中的一个子项目，旨在通过挖掘，大力发展休闲旅游农业，是为加快构建“接二连三”的高原特色农业全产业链，提升价值链，促进高原特色现代农业发展。加快推进田园综合体、特色小镇等农村产业融合新载体建设，积极创建全国农村一二三产业融合发展示范点，从而补齐红塔区文旅产业发展短板，提升红塔区文旅产业品质。</w:t>
      </w:r>
    </w:p>
    <w:p>
      <w:pPr>
        <w:keepNext w:val="0"/>
        <w:keepLines w:val="0"/>
        <w:pageBreakBefore w:val="0"/>
        <w:widowControl w:val="0"/>
        <w:kinsoku/>
        <w:wordWrap/>
        <w:overflowPunct/>
        <w:topLinePunct w:val="0"/>
        <w:autoSpaceDE w:val="0"/>
        <w:autoSpaceDN w:val="0"/>
        <w:bidi w:val="0"/>
        <w:adjustRightInd w:val="0"/>
        <w:spacing w:line="590" w:lineRule="exact"/>
        <w:ind w:firstLine="640" w:firstLineChars="200"/>
        <w:jc w:val="left"/>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依托红塔区优越的区位、交通、气候等资源禀赋，围绕省委、省政府对玉溪提出的“建设成为滇中崛起增长极、乡村振兴示范区、共同富裕示范区”的“一极两区”定位，力争民生福祉晋位全国一流”三大目标，持续深化“玉溪之变”，推动红塔区经济社会高质量发展的要求，乡韵红塔——红塔区乡村振兴文旅环线项目工程孕育而生。</w:t>
      </w:r>
    </w:p>
    <w:p>
      <w:pPr>
        <w:keepNext w:val="0"/>
        <w:keepLines w:val="0"/>
        <w:pageBreakBefore w:val="0"/>
        <w:widowControl w:val="0"/>
        <w:kinsoku/>
        <w:wordWrap/>
        <w:overflowPunct/>
        <w:topLinePunct w:val="0"/>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通过对灵秀片区历史人文、风土民俗元素进行传承和发扬，将红塔区民族民间文化元素融入新型城镇化和新农村建设中，发展有历史记忆、地域特色、民族特点的美丽城镇、美丽乡村。同时，在项目区通过发展传统手工艺、传统文化制品、小商品等文化产品制作产业，形成红塔区特色农村文化产品产业链，对补齐红塔区文旅产业发展短板，提升红塔区文旅产业品质，实现乡村振兴战略发展“产业兴旺”的核心要义，促进当地百姓增收，实现乡村文化振兴，发挥带动地方经济社会发展的作用。</w:t>
      </w:r>
      <w:r>
        <w:rPr>
          <w:rFonts w:hint="eastAsia" w:ascii="方正仿宋_GBK" w:hAnsi="方正仿宋_GBK" w:eastAsia="方正仿宋_GBK" w:cs="方正仿宋_GBK"/>
          <w:sz w:val="32"/>
          <w:szCs w:val="32"/>
        </w:rPr>
        <w:t>现将决策事项有关情况作如下说明：</w:t>
      </w:r>
    </w:p>
    <w:p>
      <w:pPr>
        <w:keepNext w:val="0"/>
        <w:keepLines w:val="0"/>
        <w:pageBreakBefore w:val="0"/>
        <w:widowControl w:val="0"/>
        <w:kinsoku/>
        <w:wordWrap/>
        <w:overflowPunct/>
        <w:topLinePunct w:val="0"/>
        <w:bidi w:val="0"/>
        <w:adjustRightInd w:val="0"/>
        <w:snapToGrid w:val="0"/>
        <w:spacing w:line="590" w:lineRule="exact"/>
        <w:ind w:firstLine="640" w:firstLineChars="200"/>
        <w:textAlignment w:val="auto"/>
        <w:rPr>
          <w:rFonts w:hint="eastAsia" w:eastAsia="方正黑体_GBK"/>
          <w:sz w:val="32"/>
          <w:szCs w:val="32"/>
          <w:lang w:eastAsia="zh-CN"/>
        </w:rPr>
      </w:pPr>
      <w:r>
        <w:rPr>
          <w:rFonts w:eastAsia="方正黑体_GBK"/>
          <w:sz w:val="32"/>
          <w:szCs w:val="32"/>
        </w:rPr>
        <w:t>一、</w:t>
      </w:r>
      <w:r>
        <w:rPr>
          <w:rFonts w:hint="eastAsia" w:eastAsia="方正黑体_GBK"/>
          <w:sz w:val="32"/>
          <w:szCs w:val="32"/>
          <w:lang w:eastAsia="zh-CN"/>
        </w:rPr>
        <w:t>项目涉及范围</w:t>
      </w:r>
    </w:p>
    <w:p>
      <w:pPr>
        <w:keepNext w:val="0"/>
        <w:keepLines w:val="0"/>
        <w:pageBreakBefore w:val="0"/>
        <w:widowControl w:val="0"/>
        <w:kinsoku/>
        <w:wordWrap/>
        <w:overflowPunct/>
        <w:topLinePunct w:val="0"/>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灵秀云栖艺术谷产业及配套设施项目涉及上灵秀村、下灵秀村及中间的田园区域，总用地面积约</w:t>
      </w:r>
      <w:r>
        <w:rPr>
          <w:rFonts w:hint="default" w:ascii="方正仿宋_GBK" w:hAnsi="方正仿宋_GBK" w:eastAsia="方正仿宋_GBK" w:cs="方正仿宋_GBK"/>
          <w:sz w:val="32"/>
          <w:szCs w:val="32"/>
          <w:lang w:val="en-US" w:eastAsia="zh-CN"/>
        </w:rPr>
        <w:t>496.5</w:t>
      </w:r>
      <w:r>
        <w:rPr>
          <w:rFonts w:hint="eastAsia" w:ascii="方正仿宋_GBK" w:hAnsi="方正仿宋_GBK" w:eastAsia="方正仿宋_GBK" w:cs="方正仿宋_GBK"/>
          <w:sz w:val="32"/>
          <w:szCs w:val="32"/>
          <w:lang w:val="en-US" w:eastAsia="zh-CN"/>
        </w:rPr>
        <w:t>亩（其中</w:t>
      </w:r>
      <w:r>
        <w:rPr>
          <w:rFonts w:hint="default" w:ascii="方正仿宋_GBK" w:hAnsi="方正仿宋_GBK" w:eastAsia="方正仿宋_GBK" w:cs="方正仿宋_GBK"/>
          <w:sz w:val="32"/>
          <w:szCs w:val="32"/>
          <w:lang w:val="en-US" w:eastAsia="zh-CN"/>
        </w:rPr>
        <w:t>143.5</w:t>
      </w:r>
      <w:r>
        <w:rPr>
          <w:rFonts w:hint="eastAsia" w:ascii="方正仿宋_GBK" w:hAnsi="方正仿宋_GBK" w:eastAsia="方正仿宋_GBK" w:cs="方正仿宋_GBK"/>
          <w:sz w:val="32"/>
          <w:szCs w:val="32"/>
          <w:lang w:val="en-US" w:eastAsia="zh-CN"/>
        </w:rPr>
        <w:t>亩为规划范围内散乱分布的私人苗圃，此次项目不对该部分土地进行规划利用），其中：建设用地38.9305亩，农用地（含果园地、其他园地、乔木林地、农村道路和设施农用地）30.183亩，最终面积以报规面积为准。项目规划土地分布及现状情况分别为：上灵秀村规划范围内包括闲置的老烤房、部分老建筑区域、养殖建筑、老村公社、灵秀小学；下灵秀村规划范围内包括闲置的生猪养殖圈场、鱼塘及连接上下灵秀的田园。</w:t>
      </w:r>
    </w:p>
    <w:p>
      <w:pPr>
        <w:keepNext w:val="0"/>
        <w:keepLines w:val="0"/>
        <w:pageBreakBefore w:val="0"/>
        <w:widowControl w:val="0"/>
        <w:numPr>
          <w:ilvl w:val="0"/>
          <w:numId w:val="1"/>
        </w:numPr>
        <w:kinsoku/>
        <w:wordWrap/>
        <w:overflowPunct/>
        <w:topLinePunct w:val="0"/>
        <w:bidi w:val="0"/>
        <w:adjustRightInd w:val="0"/>
        <w:snapToGrid w:val="0"/>
        <w:spacing w:line="590" w:lineRule="exact"/>
        <w:ind w:left="-10" w:leftChars="0" w:firstLine="640" w:firstLineChars="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项目建设内容</w:t>
      </w:r>
    </w:p>
    <w:p>
      <w:pPr>
        <w:keepNext w:val="0"/>
        <w:keepLines w:val="0"/>
        <w:pageBreakBefore w:val="0"/>
        <w:widowControl w:val="0"/>
        <w:numPr>
          <w:ilvl w:val="0"/>
          <w:numId w:val="0"/>
        </w:numPr>
        <w:kinsoku/>
        <w:wordWrap/>
        <w:overflowPunct/>
        <w:topLinePunct w:val="0"/>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en-US" w:eastAsia="zh-CN"/>
        </w:rPr>
        <w:t>项目涉及范围一共9个地块，建设内容包括：文艺商业街、精品客栈、游客接待中心、图书馆、多功能音乐厅 等多项文化艺术建筑，其中上灵秀村内构筑物包括大师工坊、灵栖艺术中心、高端餐厅、松风书院、玩艺儿学堂等；项目下灵秀村内构筑物包括精品客栈、商业街、音乐喷泉、绿野童梦谷、青花市集、游客中心等及相关道路、公共服务设施建设等多项文化旅游类建筑，着力打造成玉溪市一流的文化艺术研学村落。</w:t>
      </w:r>
    </w:p>
    <w:p>
      <w:pPr>
        <w:pStyle w:val="2"/>
        <w:keepNext w:val="0"/>
        <w:keepLines w:val="0"/>
        <w:pageBreakBefore w:val="0"/>
        <w:widowControl w:val="0"/>
        <w:kinsoku/>
        <w:wordWrap/>
        <w:overflowPunct/>
        <w:topLinePunct w:val="0"/>
        <w:bidi w:val="0"/>
        <w:adjustRightInd w:val="0"/>
        <w:snapToGrid w:val="0"/>
        <w:spacing w:after="0" w:line="590" w:lineRule="exact"/>
        <w:ind w:left="0" w:leftChars="0" w:firstLine="640"/>
        <w:textAlignment w:val="auto"/>
        <w:rPr>
          <w:rFonts w:hint="eastAsia" w:eastAsia="方正黑体_GBK"/>
          <w:sz w:val="32"/>
          <w:szCs w:val="32"/>
          <w:lang w:eastAsia="zh-CN"/>
        </w:rPr>
      </w:pPr>
      <w:r>
        <w:rPr>
          <w:rFonts w:hint="eastAsia" w:eastAsia="方正黑体_GBK"/>
          <w:sz w:val="32"/>
          <w:szCs w:val="32"/>
          <w:lang w:eastAsia="zh-CN"/>
        </w:rPr>
        <w:t>三</w:t>
      </w:r>
      <w:r>
        <w:rPr>
          <w:rFonts w:eastAsia="方正黑体_GBK"/>
          <w:sz w:val="32"/>
          <w:szCs w:val="32"/>
        </w:rPr>
        <w:t>、</w:t>
      </w:r>
      <w:r>
        <w:rPr>
          <w:rFonts w:hint="eastAsia" w:eastAsia="方正黑体_GBK"/>
          <w:sz w:val="32"/>
          <w:szCs w:val="32"/>
          <w:lang w:eastAsia="zh-CN"/>
        </w:rPr>
        <w:t>项目用地涉及利益群体情况</w:t>
      </w:r>
    </w:p>
    <w:p>
      <w:pPr>
        <w:keepNext w:val="0"/>
        <w:keepLines w:val="0"/>
        <w:pageBreakBefore w:val="0"/>
        <w:widowControl w:val="0"/>
        <w:kinsoku/>
        <w:wordWrap/>
        <w:overflowPunct/>
        <w:topLinePunct w:val="0"/>
        <w:bidi w:val="0"/>
        <w:adjustRightInd w:val="0"/>
        <w:snapToGrid w:val="0"/>
        <w:spacing w:line="590" w:lineRule="exact"/>
        <w:ind w:firstLine="640" w:firstLineChars="200"/>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本项目用地情况主要涉及农用地土地流转及建设用地地上构筑物拆除。其中，地上构筑物拆除上灵秀涉及76宗，下灵秀涉及191宗，总共267宗。农用地土地流转上灵秀涉及</w:t>
      </w:r>
      <w:r>
        <w:rPr>
          <w:rFonts w:hint="eastAsia" w:ascii="方正仿宋_GBK" w:hAnsi="方正仿宋_GBK" w:eastAsia="方正仿宋_GBK" w:cs="方正仿宋_GBK"/>
          <w:sz w:val="32"/>
          <w:szCs w:val="32"/>
          <w:lang w:val="en-US" w:eastAsia="zh-CN"/>
        </w:rPr>
        <w:t>107户，下灵秀涉及130户，共237户，且赔偿协议已由玉溪润础文旅投资发展有限责任公司与灵秀社区签订完成。</w:t>
      </w:r>
    </w:p>
    <w:p>
      <w:pPr>
        <w:keepNext w:val="0"/>
        <w:keepLines w:val="0"/>
        <w:pageBreakBefore w:val="0"/>
        <w:widowControl w:val="0"/>
        <w:numPr>
          <w:ilvl w:val="0"/>
          <w:numId w:val="0"/>
        </w:numPr>
        <w:kinsoku/>
        <w:wordWrap/>
        <w:overflowPunct/>
        <w:topLinePunct w:val="0"/>
        <w:bidi w:val="0"/>
        <w:adjustRightInd w:val="0"/>
        <w:snapToGrid w:val="0"/>
        <w:spacing w:line="590" w:lineRule="exact"/>
        <w:ind w:left="630" w:leftChars="0" w:right="-153" w:rightChars="-73"/>
        <w:textAlignment w:val="auto"/>
        <w:rPr>
          <w:rFonts w:hint="eastAsia" w:ascii="方正黑体_GBK" w:eastAsia="方正黑体_GBK"/>
          <w:bCs/>
          <w:sz w:val="32"/>
          <w:szCs w:val="32"/>
          <w:lang w:eastAsia="zh-CN"/>
        </w:rPr>
      </w:pPr>
      <w:r>
        <w:rPr>
          <w:rFonts w:hint="eastAsia" w:ascii="方正黑体_GBK" w:eastAsia="方正黑体_GBK"/>
          <w:bCs/>
          <w:sz w:val="32"/>
          <w:szCs w:val="32"/>
          <w:lang w:eastAsia="zh-CN"/>
        </w:rPr>
        <w:t>四、事项实施的社会效益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评估事项的实施是以旅游演艺、艺术研学旅游为重要手段，推进文化艺术再攀高峰，在打造专属于红塔区旅游文化品牌的同时，改善和提升灵秀当地的生态环境和人居环境，且在拟建项目的建设和运营期间，项目的建设过程中有大量的资金投入，需要较多劳动人员的参与，在施工过程中将创造较多的就业岗位。项目建成后，除了管理单位的管理人员外，还需要大量的人员，农业生产、环卫、绿化、保安、餐饮服务等将为当地群众提供大量的就业和再就业机会。</w:t>
      </w:r>
    </w:p>
    <w:p>
      <w:pPr>
        <w:pStyle w:val="2"/>
        <w:keepNext w:val="0"/>
        <w:keepLines w:val="0"/>
        <w:pageBreakBefore w:val="0"/>
        <w:widowControl w:val="0"/>
        <w:kinsoku/>
        <w:wordWrap/>
        <w:overflowPunct/>
        <w:topLinePunct w:val="0"/>
        <w:bidi w:val="0"/>
        <w:adjustRightInd w:val="0"/>
        <w:snapToGrid w:val="0"/>
        <w:spacing w:after="0" w:line="590" w:lineRule="exact"/>
        <w:ind w:left="0" w:leftChars="0" w:firstLine="640"/>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gRyK4BAABLAwAADgAAAGRycy9lMm9Eb2MueG1srVNLbtswEN0H6B0I&#10;7mMqXgSGYDloESQIULQBkhyApkiLAH8Y0pZ8gfYGWXXTfc7lc2RIS07a7IpuqOHM8M17M6Pl1WAN&#10;2UmI2ruGXswqSqQTvtVu09Cnx5vzBSUxcddy451s6F5GerX6dLbsQy3nvvOmlUAQxMW6Dw3tUgo1&#10;Y1F00vI480E6DCoPlie8woa1wHtEt4bNq+qS9R7aAF7IGNF7fQzSVcFXSor0XakoEzENRW6pnFDO&#10;dT7ZasnrDfDQaTHS4P/AwnLtsOgJ6ponTragP0BZLcBHr9JMeMu8UlrIogHVXFR/qXnoeJBFCzYn&#10;hlOb4v+DFd9290B0i7OjxHGLIzo8/zz8ejn8/kHmuT19iDVmPQTMS8MXP+TU0R/RmVUPCmz+oh6C&#10;cWz0/tRcOSQi8qPFfLGoMCQwNl0Qh709DxDTrfSWZKOhgNMrTeW7rzEdU6eUXM35G20M+nlt3B8O&#10;xMwelrkfOWYrDethJL727R719Dj4hjrcTErMncO+5h2ZDJiM9WRsA+hNV5Yo14vh8zYhicItVzjC&#10;joVxYkXduF15Jd7fS9bbP7B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qBHI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16AE88"/>
    <w:multiLevelType w:val="singleLevel"/>
    <w:tmpl w:val="DC16AE8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MjVlMTBiNTMwZjI0OTc5ZmQwYzczOGI4OWUwNzkifQ=="/>
  </w:docVars>
  <w:rsids>
    <w:rsidRoot w:val="006C35D2"/>
    <w:rsid w:val="000000BD"/>
    <w:rsid w:val="00090A0C"/>
    <w:rsid w:val="000A45C8"/>
    <w:rsid w:val="000E0738"/>
    <w:rsid w:val="001C0AE7"/>
    <w:rsid w:val="0035478F"/>
    <w:rsid w:val="003F4A39"/>
    <w:rsid w:val="004251D0"/>
    <w:rsid w:val="0049553B"/>
    <w:rsid w:val="00497EE7"/>
    <w:rsid w:val="004A3322"/>
    <w:rsid w:val="005509D8"/>
    <w:rsid w:val="006A4D03"/>
    <w:rsid w:val="006C35D2"/>
    <w:rsid w:val="00735AAD"/>
    <w:rsid w:val="00760C79"/>
    <w:rsid w:val="007F4E3B"/>
    <w:rsid w:val="00970E92"/>
    <w:rsid w:val="009A01CE"/>
    <w:rsid w:val="009B45D7"/>
    <w:rsid w:val="00AA2B44"/>
    <w:rsid w:val="00AB77FA"/>
    <w:rsid w:val="00B866CE"/>
    <w:rsid w:val="00C8605A"/>
    <w:rsid w:val="00E1098D"/>
    <w:rsid w:val="033E1577"/>
    <w:rsid w:val="03FC5BBE"/>
    <w:rsid w:val="042E372D"/>
    <w:rsid w:val="04895F33"/>
    <w:rsid w:val="06036549"/>
    <w:rsid w:val="06C92F86"/>
    <w:rsid w:val="081B54CF"/>
    <w:rsid w:val="09BD48CD"/>
    <w:rsid w:val="09D64858"/>
    <w:rsid w:val="0BB10617"/>
    <w:rsid w:val="11D740DF"/>
    <w:rsid w:val="13447441"/>
    <w:rsid w:val="15035321"/>
    <w:rsid w:val="17B1375A"/>
    <w:rsid w:val="190F63E6"/>
    <w:rsid w:val="1BD51AB0"/>
    <w:rsid w:val="1DAA5D97"/>
    <w:rsid w:val="1E432C32"/>
    <w:rsid w:val="20180D5A"/>
    <w:rsid w:val="207277FE"/>
    <w:rsid w:val="21052421"/>
    <w:rsid w:val="241A61E3"/>
    <w:rsid w:val="25EB67A0"/>
    <w:rsid w:val="27356099"/>
    <w:rsid w:val="2AAD1A17"/>
    <w:rsid w:val="2C5C5572"/>
    <w:rsid w:val="302502FB"/>
    <w:rsid w:val="313C6F06"/>
    <w:rsid w:val="319B7FF6"/>
    <w:rsid w:val="332F36F7"/>
    <w:rsid w:val="340A4CC4"/>
    <w:rsid w:val="345C12B5"/>
    <w:rsid w:val="3638501A"/>
    <w:rsid w:val="3E400BD8"/>
    <w:rsid w:val="3F84512C"/>
    <w:rsid w:val="40A35A86"/>
    <w:rsid w:val="45A97CA3"/>
    <w:rsid w:val="48CB4001"/>
    <w:rsid w:val="48FD0E0D"/>
    <w:rsid w:val="4A8E0607"/>
    <w:rsid w:val="500761E0"/>
    <w:rsid w:val="512C0F2A"/>
    <w:rsid w:val="5409460B"/>
    <w:rsid w:val="56DE4CCA"/>
    <w:rsid w:val="57376AD1"/>
    <w:rsid w:val="5ADC74CB"/>
    <w:rsid w:val="5B890105"/>
    <w:rsid w:val="5C8852FB"/>
    <w:rsid w:val="5E69025F"/>
    <w:rsid w:val="60327E35"/>
    <w:rsid w:val="61866A74"/>
    <w:rsid w:val="63C45F52"/>
    <w:rsid w:val="652D624A"/>
    <w:rsid w:val="666D606B"/>
    <w:rsid w:val="66746EF8"/>
    <w:rsid w:val="67535261"/>
    <w:rsid w:val="679C463C"/>
    <w:rsid w:val="67DB4D2E"/>
    <w:rsid w:val="67FA49F4"/>
    <w:rsid w:val="689635C0"/>
    <w:rsid w:val="689F0032"/>
    <w:rsid w:val="68CC7A83"/>
    <w:rsid w:val="6A9242F2"/>
    <w:rsid w:val="6AA20D65"/>
    <w:rsid w:val="6AC10F5B"/>
    <w:rsid w:val="6B1038A6"/>
    <w:rsid w:val="6B1765A5"/>
    <w:rsid w:val="6CEF77DA"/>
    <w:rsid w:val="6DA57E98"/>
    <w:rsid w:val="6E2434B3"/>
    <w:rsid w:val="6E5F5592"/>
    <w:rsid w:val="6FB7795F"/>
    <w:rsid w:val="72922C6D"/>
    <w:rsid w:val="74DA245C"/>
    <w:rsid w:val="77DB72D8"/>
    <w:rsid w:val="77F342DD"/>
    <w:rsid w:val="7AFD0E23"/>
    <w:rsid w:val="7B7F7006"/>
    <w:rsid w:val="7DDA19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First Indent 2"/>
    <w:basedOn w:val="1"/>
    <w:uiPriority w:val="0"/>
    <w:pPr>
      <w:spacing w:after="120"/>
      <w:ind w:left="420" w:leftChars="200"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1412</Words>
  <Characters>1442</Characters>
  <Lines>11</Lines>
  <Paragraphs>3</Paragraphs>
  <TotalTime>5</TotalTime>
  <ScaleCrop>false</ScaleCrop>
  <LinksUpToDate>false</LinksUpToDate>
  <CharactersWithSpaces>1443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2022-03-25T02:01:00Z</cp:lastPrinted>
  <dcterms:modified xsi:type="dcterms:W3CDTF">2022-06-16T07:48:56Z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C914B506501A42919A5683B0642D4394</vt:lpwstr>
  </property>
  <property fmtid="{D5CDD505-2E9C-101B-9397-08002B2CF9AE}" pid="4" name="commondata">
    <vt:lpwstr>eyJoZGlkIjoiMDYyNjdjOTdlZDllNTZkY2Y1N2JkNjBlMDRjOWY2ZjMifQ==</vt:lpwstr>
  </property>
</Properties>
</file>