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00"/>
        <w:jc w:val="center"/>
        <w:textAlignment w:val="auto"/>
        <w:rPr>
          <w:rFonts w:ascii="Times New Roman" w:hAnsi="Times New Roman" w:eastAsia="方正小标宋_GBK" w:cs="Times New Roman"/>
          <w:color w:val="000000"/>
          <w:sz w:val="44"/>
          <w:szCs w:val="44"/>
          <w:shd w:val="clear" w:color="auto" w:fill="FFFFFF"/>
        </w:rPr>
      </w:pPr>
      <w:r>
        <w:rPr>
          <w:rFonts w:hint="eastAsia" w:ascii="Times New Roman" w:hAnsi="Times New Roman" w:eastAsia="方正小标宋_GBK" w:cs="Times New Roman"/>
          <w:color w:val="000000"/>
          <w:sz w:val="44"/>
          <w:szCs w:val="44"/>
          <w:shd w:val="clear" w:color="auto" w:fill="FFFFFF"/>
          <w:lang w:val="en-US" w:eastAsia="zh-CN"/>
        </w:rPr>
        <w:t>灵秀云栖艺术谷产业及配套设施项目</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00"/>
        <w:jc w:val="center"/>
        <w:textAlignment w:val="auto"/>
        <w:rPr>
          <w:rFonts w:ascii="Times New Roman" w:hAnsi="Times New Roman" w:eastAsia="方正小标宋_GBK"/>
          <w:color w:val="000000"/>
          <w:sz w:val="44"/>
          <w:szCs w:val="44"/>
          <w:shd w:val="clear" w:color="auto" w:fill="FFFFFF"/>
        </w:rPr>
      </w:pPr>
      <w:r>
        <w:rPr>
          <w:rFonts w:ascii="Times New Roman" w:hAnsi="Times New Roman" w:eastAsia="方正小标宋_GBK"/>
          <w:color w:val="000000"/>
          <w:sz w:val="44"/>
          <w:szCs w:val="44"/>
          <w:shd w:val="clear" w:color="auto" w:fill="FFFFFF"/>
        </w:rPr>
        <w:t>听证会听证报告</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00"/>
        <w:jc w:val="center"/>
        <w:textAlignment w:val="auto"/>
        <w:rPr>
          <w:rFonts w:hint="eastAsia" w:ascii="Times New Roman" w:hAnsi="Times New Roman" w:eastAsia="楷体"/>
          <w:sz w:val="32"/>
          <w:szCs w:val="32"/>
          <w:lang w:eastAsia="zh-CN"/>
        </w:rPr>
      </w:pPr>
      <w:r>
        <w:rPr>
          <w:rFonts w:ascii="Times New Roman" w:hAnsi="Times New Roman" w:eastAsia="楷体"/>
          <w:sz w:val="32"/>
          <w:szCs w:val="32"/>
        </w:rPr>
        <w:t>玉溪市红塔区</w:t>
      </w:r>
      <w:r>
        <w:rPr>
          <w:rFonts w:hint="eastAsia" w:ascii="Times New Roman" w:hAnsi="Times New Roman" w:eastAsia="楷体"/>
          <w:sz w:val="32"/>
          <w:szCs w:val="32"/>
          <w:lang w:eastAsia="zh-CN"/>
        </w:rPr>
        <w:t>文化和旅游局</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00"/>
        <w:jc w:val="center"/>
        <w:textAlignment w:val="auto"/>
        <w:rPr>
          <w:rFonts w:ascii="Times New Roman" w:hAnsi="Times New Roman" w:eastAsia="楷体"/>
          <w:color w:val="000000"/>
          <w:sz w:val="36"/>
          <w:szCs w:val="36"/>
          <w:shd w:val="clear" w:color="auto" w:fill="FFFFFF"/>
        </w:rPr>
      </w:pPr>
      <w:r>
        <w:rPr>
          <w:rFonts w:ascii="Times New Roman" w:hAnsi="Times New Roman" w:eastAsia="楷体"/>
          <w:sz w:val="32"/>
          <w:szCs w:val="32"/>
        </w:rPr>
        <w:t>2022</w:t>
      </w:r>
      <w:r>
        <w:rPr>
          <w:rFonts w:ascii="Times New Roman" w:hAnsi="Times New Roman" w:eastAsia="楷体"/>
          <w:sz w:val="32"/>
          <w:szCs w:val="32"/>
        </w:rPr>
        <w:t>年</w:t>
      </w:r>
      <w:r>
        <w:rPr>
          <w:rFonts w:hint="eastAsia" w:ascii="Times New Roman" w:hAnsi="Times New Roman" w:eastAsia="楷体"/>
          <w:sz w:val="32"/>
          <w:szCs w:val="32"/>
          <w:lang w:val="en-US" w:eastAsia="zh-CN"/>
        </w:rPr>
        <w:t>6</w:t>
      </w:r>
      <w:r>
        <w:rPr>
          <w:rFonts w:ascii="Times New Roman" w:hAnsi="Times New Roman" w:eastAsia="楷体"/>
          <w:sz w:val="32"/>
          <w:szCs w:val="32"/>
        </w:rPr>
        <w:t>月</w:t>
      </w:r>
      <w:r>
        <w:rPr>
          <w:rFonts w:hint="eastAsia" w:ascii="Times New Roman" w:hAnsi="Times New Roman" w:eastAsia="楷体"/>
          <w:sz w:val="32"/>
          <w:szCs w:val="32"/>
          <w:lang w:val="en-US" w:eastAsia="zh-CN"/>
        </w:rPr>
        <w:t>7</w:t>
      </w:r>
      <w:r>
        <w:rPr>
          <w:rFonts w:ascii="Times New Roman" w:hAnsi="Times New Roman" w:eastAsia="楷体"/>
          <w:sz w:val="32"/>
          <w:szCs w:val="32"/>
        </w:rPr>
        <w:t>日</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方正黑体_GBK" w:hAnsi="方正黑体_GBK" w:eastAsia="方正黑体_GBK" w:cs="方正黑体_GBK"/>
          <w:sz w:val="32"/>
          <w:szCs w:val="32"/>
        </w:rPr>
        <w:t>听证事由</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00"/>
        <w:jc w:val="both"/>
        <w:textAlignment w:val="auto"/>
        <w:rPr>
          <w:rFonts w:ascii="Times New Roman" w:hAnsi="Times New Roman" w:eastAsia="方正仿宋_GBK"/>
          <w:sz w:val="32"/>
          <w:szCs w:val="32"/>
        </w:rPr>
      </w:pPr>
      <w:r>
        <w:rPr>
          <w:rFonts w:ascii="Times New Roman" w:hAnsi="Times New Roman" w:eastAsia="方正仿宋_GBK"/>
          <w:sz w:val="32"/>
          <w:szCs w:val="32"/>
        </w:rPr>
        <w:t>为了推行重大决策听证制度，在项目实施过程中充分发扬民主、反映民意、集中民智，增加重大事项决策工作透明度和公众参与度，根据市、区政府重大决策听证制度的相关规定，决定举行“</w:t>
      </w:r>
      <w:r>
        <w:rPr>
          <w:rFonts w:hint="eastAsia" w:ascii="Times New Roman" w:hAnsi="Times New Roman" w:eastAsia="方正仿宋_GBK" w:cs="Times New Roman"/>
          <w:sz w:val="32"/>
          <w:szCs w:val="32"/>
          <w:lang w:val="en-US" w:eastAsia="zh-CN"/>
        </w:rPr>
        <w:t>灵秀云栖艺术谷产业及配套设施项目</w:t>
      </w:r>
      <w:r>
        <w:rPr>
          <w:rFonts w:ascii="Times New Roman" w:hAnsi="Times New Roman" w:eastAsia="方正仿宋_GBK" w:cs="Times New Roman"/>
          <w:sz w:val="32"/>
          <w:szCs w:val="32"/>
        </w:rPr>
        <w:t>”</w:t>
      </w:r>
      <w:r>
        <w:rPr>
          <w:rFonts w:ascii="Times New Roman" w:hAnsi="Times New Roman" w:eastAsia="方正仿宋_GBK"/>
          <w:sz w:val="32"/>
          <w:szCs w:val="32"/>
        </w:rPr>
        <w:t>听证会，对决策事项进行听证，听取社会各方面的意见和建议。</w:t>
      </w:r>
    </w:p>
    <w:p>
      <w:pPr>
        <w:pStyle w:val="5"/>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590" w:lineRule="exact"/>
        <w:ind w:firstLine="6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会议前期准备</w:t>
      </w:r>
    </w:p>
    <w:p>
      <w:pPr>
        <w:pStyle w:val="5"/>
        <w:keepNext w:val="0"/>
        <w:keepLines w:val="0"/>
        <w:pageBreakBefore w:val="0"/>
        <w:widowControl/>
        <w:numPr>
          <w:ilvl w:val="0"/>
          <w:numId w:val="2"/>
        </w:numPr>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发布</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号公告</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按照</w:t>
      </w:r>
      <w:r>
        <w:rPr>
          <w:rFonts w:hint="eastAsia" w:ascii="仿宋_GB2312" w:hAnsi="仿宋_GB2312" w:eastAsia="仿宋_GB2312" w:cs="仿宋_GB2312"/>
          <w:b w:val="0"/>
          <w:color w:val="auto"/>
          <w:sz w:val="32"/>
          <w:szCs w:val="32"/>
        </w:rPr>
        <w:t>《玉溪市红塔区人民政府重大决策听证制度实施细则（试行）》</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规定，区文化和旅游局于</w:t>
      </w:r>
      <w:r>
        <w:rPr>
          <w:rFonts w:hint="eastAsia" w:ascii="Times New Roman" w:hAnsi="Times New Roman" w:eastAsia="仿宋_GB2312" w:cs="仿宋_GB2312"/>
          <w:b w:val="0"/>
          <w:i w:val="0"/>
          <w:caps w:val="0"/>
          <w:color w:val="auto"/>
          <w:spacing w:val="0"/>
          <w:kern w:val="0"/>
          <w:sz w:val="32"/>
          <w:szCs w:val="32"/>
          <w:shd w:val="clear" w:color="auto" w:fill="FFFFFF"/>
          <w:lang w:val="en-US" w:eastAsia="zh-CN" w:bidi="ar"/>
        </w:rPr>
        <w:t>2022</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年</w:t>
      </w:r>
      <w:r>
        <w:rPr>
          <w:rFonts w:hint="eastAsia" w:ascii="Times New Roman" w:hAnsi="Times New Roman" w:eastAsia="仿宋_GB2312" w:cs="仿宋_GB2312"/>
          <w:b w:val="0"/>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月</w:t>
      </w:r>
      <w:r>
        <w:rPr>
          <w:rFonts w:hint="eastAsia" w:ascii="Times New Roman" w:hAnsi="Times New Roman" w:eastAsia="仿宋_GB2312" w:cs="仿宋_GB2312"/>
          <w:b w:val="0"/>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日，在</w:t>
      </w:r>
      <w:r>
        <w:rPr>
          <w:rFonts w:hint="eastAsia" w:ascii="仿宋_GB2312" w:hAnsi="仿宋_GB2312" w:eastAsia="仿宋_GB2312" w:cs="仿宋_GB2312"/>
          <w:b w:val="0"/>
          <w:color w:val="auto"/>
          <w:sz w:val="32"/>
          <w:szCs w:val="32"/>
        </w:rPr>
        <w:t>红塔区</w:t>
      </w:r>
      <w:r>
        <w:rPr>
          <w:rFonts w:hint="eastAsia" w:ascii="仿宋_GB2312" w:hAnsi="仿宋_GB2312" w:eastAsia="仿宋_GB2312" w:cs="仿宋_GB2312"/>
          <w:b w:val="0"/>
          <w:color w:val="auto"/>
          <w:sz w:val="32"/>
          <w:szCs w:val="32"/>
          <w:lang w:eastAsia="zh-CN"/>
        </w:rPr>
        <w:t>政府信息公开网上分别</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发布了听证公告（第</w:t>
      </w:r>
      <w:r>
        <w:rPr>
          <w:rFonts w:hint="eastAsia" w:ascii="Times New Roman" w:hAnsi="Times New Roman" w:eastAsia="仿宋_GB2312" w:cs="仿宋_GB2312"/>
          <w:b w:val="0"/>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号），公布了听证事项、听证会时间和地点、听证会参加人产生方式和名额、</w:t>
      </w:r>
      <w:r>
        <w:rPr>
          <w:rFonts w:hint="eastAsia" w:ascii="仿宋_GB2312" w:hAnsi="仿宋_GB2312" w:eastAsia="仿宋_GB2312" w:cs="仿宋_GB2312"/>
          <w:b w:val="0"/>
          <w:color w:val="auto"/>
          <w:kern w:val="0"/>
          <w:sz w:val="32"/>
          <w:szCs w:val="32"/>
        </w:rPr>
        <w:t>报名时间、方式和要求</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等，向社会公开征集听证会参加人。</w:t>
      </w:r>
    </w:p>
    <w:p>
      <w:pPr>
        <w:pStyle w:val="5"/>
        <w:keepNext w:val="0"/>
        <w:keepLines w:val="0"/>
        <w:pageBreakBefore w:val="0"/>
        <w:widowControl/>
        <w:numPr>
          <w:ilvl w:val="0"/>
          <w:numId w:val="2"/>
        </w:numPr>
        <w:shd w:val="clear" w:color="auto" w:fill="FFFFFF"/>
        <w:kinsoku/>
        <w:wordWrap/>
        <w:overflowPunct/>
        <w:topLinePunct w:val="0"/>
        <w:autoSpaceDE/>
        <w:autoSpaceDN/>
        <w:bidi w:val="0"/>
        <w:spacing w:beforeAutospacing="0" w:afterAutospacing="0" w:line="590" w:lineRule="exact"/>
        <w:ind w:left="0" w:leftChars="0" w:firstLine="640" w:firstLineChars="200"/>
        <w:jc w:val="both"/>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确定听证参加人员</w:t>
      </w:r>
    </w:p>
    <w:p>
      <w:pPr>
        <w:keepNext w:val="0"/>
        <w:keepLines w:val="0"/>
        <w:pageBreakBefore w:val="0"/>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val="0"/>
          <w:color w:val="auto"/>
          <w:sz w:val="32"/>
          <w:szCs w:val="32"/>
        </w:rPr>
      </w:pPr>
      <w:r>
        <w:rPr>
          <w:rFonts w:hint="eastAsia" w:ascii="Times New Roman" w:hAnsi="Times New Roman" w:eastAsia="仿宋_GB2312" w:cs="仿宋_GB2312"/>
          <w:b w:val="0"/>
          <w:color w:val="auto"/>
          <w:sz w:val="32"/>
          <w:szCs w:val="32"/>
        </w:rPr>
        <w:t>202</w:t>
      </w:r>
      <w:r>
        <w:rPr>
          <w:rFonts w:hint="eastAsia" w:ascii="Times New Roman" w:hAnsi="Times New Roman" w:eastAsia="仿宋_GB2312" w:cs="仿宋_GB2312"/>
          <w:b w:val="0"/>
          <w:color w:val="auto"/>
          <w:sz w:val="32"/>
          <w:szCs w:val="32"/>
          <w:lang w:val="en-US" w:eastAsia="zh-CN"/>
        </w:rPr>
        <w:t>2</w:t>
      </w:r>
      <w:r>
        <w:rPr>
          <w:rFonts w:hint="eastAsia" w:ascii="仿宋_GB2312" w:hAnsi="仿宋_GB2312" w:eastAsia="仿宋_GB2312" w:cs="仿宋_GB2312"/>
          <w:b w:val="0"/>
          <w:color w:val="auto"/>
          <w:sz w:val="32"/>
          <w:szCs w:val="32"/>
        </w:rPr>
        <w:t>年</w:t>
      </w:r>
      <w:r>
        <w:rPr>
          <w:rFonts w:hint="eastAsia" w:ascii="Times New Roman" w:hAnsi="Times New Roman" w:eastAsia="仿宋_GB2312" w:cs="仿宋_GB2312"/>
          <w:b w:val="0"/>
          <w:color w:val="auto"/>
          <w:sz w:val="32"/>
          <w:szCs w:val="32"/>
          <w:lang w:val="en-US" w:eastAsia="zh-CN"/>
        </w:rPr>
        <w:t>5</w:t>
      </w:r>
      <w:r>
        <w:rPr>
          <w:rFonts w:hint="eastAsia" w:ascii="仿宋_GB2312" w:hAnsi="仿宋_GB2312" w:eastAsia="仿宋_GB2312" w:cs="仿宋_GB2312"/>
          <w:b w:val="0"/>
          <w:color w:val="auto"/>
          <w:sz w:val="32"/>
          <w:szCs w:val="32"/>
        </w:rPr>
        <w:t>月</w:t>
      </w:r>
      <w:r>
        <w:rPr>
          <w:rFonts w:hint="eastAsia" w:ascii="Times New Roman" w:hAnsi="Times New Roman" w:eastAsia="仿宋_GB2312" w:cs="仿宋_GB2312"/>
          <w:b w:val="0"/>
          <w:color w:val="auto"/>
          <w:sz w:val="32"/>
          <w:szCs w:val="32"/>
          <w:lang w:val="en-US" w:eastAsia="zh-CN"/>
        </w:rPr>
        <w:t>26</w:t>
      </w:r>
      <w:r>
        <w:rPr>
          <w:rFonts w:hint="eastAsia" w:ascii="仿宋_GB2312" w:hAnsi="仿宋_GB2312" w:eastAsia="仿宋_GB2312" w:cs="仿宋_GB2312"/>
          <w:b w:val="0"/>
          <w:color w:val="auto"/>
          <w:sz w:val="32"/>
          <w:szCs w:val="32"/>
        </w:rPr>
        <w:t>日前，按照程序确定了听证主持人</w:t>
      </w:r>
      <w:r>
        <w:rPr>
          <w:rFonts w:hint="eastAsia" w:ascii="Times New Roman" w:hAnsi="Times New Roman" w:eastAsia="仿宋_GB2312" w:cs="仿宋_GB2312"/>
          <w:b w:val="0"/>
          <w:color w:val="auto"/>
          <w:sz w:val="32"/>
          <w:szCs w:val="32"/>
        </w:rPr>
        <w:t>1</w:t>
      </w:r>
      <w:r>
        <w:rPr>
          <w:rFonts w:hint="eastAsia" w:ascii="仿宋_GB2312" w:hAnsi="仿宋_GB2312" w:eastAsia="仿宋_GB2312" w:cs="仿宋_GB2312"/>
          <w:b w:val="0"/>
          <w:color w:val="auto"/>
          <w:sz w:val="32"/>
          <w:szCs w:val="32"/>
        </w:rPr>
        <w:t>名、决策发言人</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bCs/>
          <w:color w:val="auto"/>
          <w:sz w:val="32"/>
          <w:szCs w:val="32"/>
        </w:rPr>
        <w:t>听证人</w:t>
      </w:r>
      <w:r>
        <w:rPr>
          <w:rFonts w:hint="eastAsia" w:ascii="仿宋_GB2312" w:hAnsi="仿宋_GB2312" w:eastAsia="仿宋_GB2312" w:cs="仿宋_GB2312"/>
          <w:b w:val="0"/>
          <w:bCs/>
          <w:color w:val="auto"/>
          <w:sz w:val="32"/>
          <w:szCs w:val="32"/>
          <w:lang w:eastAsia="zh-CN"/>
        </w:rPr>
        <w:t>，含</w:t>
      </w:r>
      <w:r>
        <w:rPr>
          <w:rFonts w:hint="eastAsia" w:ascii="仿宋_GB2312" w:hAnsi="仿宋_GB2312" w:eastAsia="仿宋_GB2312" w:cs="仿宋_GB2312"/>
          <w:b w:val="0"/>
          <w:color w:val="auto"/>
          <w:sz w:val="32"/>
          <w:szCs w:val="32"/>
        </w:rPr>
        <w:t>听证主持人</w:t>
      </w:r>
      <w:r>
        <w:rPr>
          <w:rFonts w:hint="eastAsia" w:ascii="仿宋_GB2312" w:hAnsi="仿宋_GB2312" w:eastAsia="仿宋_GB2312" w:cs="仿宋_GB2312"/>
          <w:b w:val="0"/>
          <w:color w:val="auto"/>
          <w:sz w:val="32"/>
          <w:szCs w:val="32"/>
          <w:lang w:eastAsia="zh-CN"/>
        </w:rPr>
        <w:t>）</w:t>
      </w:r>
      <w:r>
        <w:rPr>
          <w:rFonts w:hint="eastAsia" w:ascii="Times New Roman" w:hAnsi="Times New Roman" w:eastAsia="仿宋_GB2312" w:cs="仿宋_GB2312"/>
          <w:b w:val="0"/>
          <w:color w:val="auto"/>
          <w:sz w:val="32"/>
          <w:szCs w:val="32"/>
          <w:lang w:val="en-US" w:eastAsia="zh-CN"/>
        </w:rPr>
        <w:t>2</w:t>
      </w:r>
      <w:r>
        <w:rPr>
          <w:rFonts w:hint="eastAsia" w:ascii="仿宋_GB2312" w:hAnsi="仿宋_GB2312" w:eastAsia="仿宋_GB2312" w:cs="仿宋_GB2312"/>
          <w:b w:val="0"/>
          <w:color w:val="auto"/>
          <w:sz w:val="32"/>
          <w:szCs w:val="32"/>
        </w:rPr>
        <w:t>名、听证代表</w:t>
      </w:r>
      <w:r>
        <w:rPr>
          <w:rFonts w:hint="eastAsia" w:ascii="Times New Roman" w:hAnsi="Times New Roman" w:eastAsia="仿宋_GB2312" w:cs="仿宋_GB2312"/>
          <w:b w:val="0"/>
          <w:color w:val="auto"/>
          <w:sz w:val="32"/>
          <w:szCs w:val="32"/>
          <w:lang w:val="en-US" w:eastAsia="zh-CN"/>
        </w:rPr>
        <w:t>28</w:t>
      </w:r>
      <w:r>
        <w:rPr>
          <w:rFonts w:hint="eastAsia" w:ascii="仿宋_GB2312" w:hAnsi="仿宋_GB2312" w:eastAsia="仿宋_GB2312" w:cs="仿宋_GB2312"/>
          <w:b w:val="0"/>
          <w:color w:val="auto"/>
          <w:sz w:val="32"/>
          <w:szCs w:val="32"/>
        </w:rPr>
        <w:t>名，并将《</w:t>
      </w:r>
      <w:r>
        <w:rPr>
          <w:rFonts w:hint="eastAsia" w:ascii="仿宋_GB2312" w:hAnsi="仿宋_GB2312" w:eastAsia="仿宋_GB2312" w:cs="仿宋_GB2312"/>
          <w:b w:val="0"/>
          <w:color w:val="auto"/>
          <w:sz w:val="32"/>
          <w:szCs w:val="32"/>
          <w:lang w:val="en-US" w:eastAsia="zh-CN"/>
        </w:rPr>
        <w:t>灵秀云栖艺术谷产业及配套设施项目</w:t>
      </w:r>
      <w:r>
        <w:rPr>
          <w:rFonts w:hint="eastAsia" w:ascii="仿宋_GB2312" w:hAnsi="仿宋_GB2312" w:eastAsia="仿宋_GB2312" w:cs="仿宋_GB2312"/>
          <w:b w:val="0"/>
          <w:color w:val="auto"/>
          <w:sz w:val="32"/>
          <w:szCs w:val="32"/>
        </w:rPr>
        <w:t>》及相关材料在听证会举行</w:t>
      </w:r>
      <w:r>
        <w:rPr>
          <w:rFonts w:hint="eastAsia" w:ascii="Times New Roman" w:hAnsi="Times New Roman" w:eastAsia="仿宋_GB2312" w:cs="仿宋_GB2312"/>
          <w:b w:val="0"/>
          <w:color w:val="auto"/>
          <w:sz w:val="32"/>
          <w:szCs w:val="32"/>
        </w:rPr>
        <w:t>3</w:t>
      </w:r>
      <w:r>
        <w:rPr>
          <w:rFonts w:hint="eastAsia" w:ascii="仿宋_GB2312" w:hAnsi="仿宋_GB2312" w:eastAsia="仿宋_GB2312" w:cs="仿宋_GB2312"/>
          <w:b w:val="0"/>
          <w:color w:val="auto"/>
          <w:sz w:val="32"/>
          <w:szCs w:val="32"/>
        </w:rPr>
        <w:t>日前送达听证代表。</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90" w:lineRule="exact"/>
        <w:ind w:leftChars="20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本次听证会通过自愿报名、</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区文化和旅游局</w:t>
      </w:r>
      <w:r>
        <w:rPr>
          <w:rFonts w:hint="eastAsia" w:ascii="仿宋_GB2312" w:hAnsi="仿宋_GB2312" w:eastAsia="仿宋_GB2312" w:cs="仿宋_GB2312"/>
          <w:b w:val="0"/>
          <w:color w:val="auto"/>
          <w:sz w:val="32"/>
          <w:szCs w:val="32"/>
        </w:rPr>
        <w:t>邀请等方式产生听证代表</w:t>
      </w:r>
      <w:r>
        <w:rPr>
          <w:rFonts w:hint="eastAsia" w:ascii="Times New Roman" w:hAnsi="Times New Roman" w:eastAsia="仿宋_GB2312" w:cs="仿宋_GB2312"/>
          <w:b w:val="0"/>
          <w:color w:val="auto"/>
          <w:sz w:val="32"/>
          <w:szCs w:val="32"/>
          <w:lang w:val="en-US" w:eastAsia="zh-CN"/>
        </w:rPr>
        <w:t>28</w:t>
      </w:r>
      <w:r>
        <w:rPr>
          <w:rFonts w:hint="eastAsia" w:ascii="仿宋_GB2312" w:hAnsi="仿宋_GB2312" w:eastAsia="仿宋_GB2312" w:cs="仿宋_GB2312"/>
          <w:b w:val="0"/>
          <w:color w:val="auto"/>
          <w:sz w:val="32"/>
          <w:szCs w:val="32"/>
        </w:rPr>
        <w:t>名，包括</w:t>
      </w:r>
      <w:r>
        <w:rPr>
          <w:rFonts w:hint="eastAsia" w:ascii="仿宋_GB2312" w:hAnsi="仿宋_GB2312" w:eastAsia="仿宋_GB2312" w:cs="仿宋_GB2312"/>
          <w:b w:val="0"/>
          <w:color w:val="auto"/>
          <w:sz w:val="32"/>
          <w:szCs w:val="32"/>
          <w:lang w:eastAsia="zh-CN"/>
        </w:rPr>
        <w:t>灵秀一组、二组党员、居民代表、灵秀社区干部</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人大</w:t>
      </w:r>
      <w:r>
        <w:rPr>
          <w:rFonts w:hint="eastAsia" w:ascii="仿宋_GB2312" w:hAnsi="仿宋_GB2312" w:eastAsia="仿宋_GB2312" w:cs="仿宋_GB2312"/>
          <w:color w:val="auto"/>
          <w:kern w:val="0"/>
          <w:sz w:val="32"/>
          <w:szCs w:val="32"/>
          <w:lang w:eastAsia="zh-CN"/>
        </w:rPr>
        <w:t>代表、</w:t>
      </w:r>
      <w:r>
        <w:rPr>
          <w:rFonts w:hint="eastAsia" w:ascii="仿宋_GB2312" w:hAnsi="仿宋_GB2312" w:eastAsia="仿宋_GB2312" w:cs="仿宋_GB2312"/>
          <w:color w:val="auto"/>
          <w:kern w:val="0"/>
          <w:sz w:val="32"/>
          <w:szCs w:val="32"/>
        </w:rPr>
        <w:t>政协</w:t>
      </w:r>
      <w:r>
        <w:rPr>
          <w:rFonts w:hint="eastAsia" w:ascii="仿宋_GB2312" w:hAnsi="仿宋_GB2312" w:eastAsia="仿宋_GB2312" w:cs="仿宋_GB2312"/>
          <w:color w:val="auto"/>
          <w:kern w:val="0"/>
          <w:sz w:val="32"/>
          <w:szCs w:val="32"/>
          <w:lang w:eastAsia="zh-CN"/>
        </w:rPr>
        <w:t>委员</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sz w:val="32"/>
          <w:szCs w:val="32"/>
        </w:rPr>
        <w:t>法律工作者</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政府</w:t>
      </w:r>
      <w:r>
        <w:rPr>
          <w:rFonts w:hint="eastAsia" w:ascii="仿宋_GB2312" w:hAnsi="仿宋_GB2312" w:eastAsia="仿宋_GB2312" w:cs="仿宋_GB2312"/>
          <w:color w:val="auto"/>
          <w:kern w:val="0"/>
          <w:sz w:val="32"/>
          <w:szCs w:val="32"/>
          <w:lang w:eastAsia="zh-CN"/>
        </w:rPr>
        <w:t>相关职能部门主要负责人</w:t>
      </w:r>
      <w:r>
        <w:rPr>
          <w:rFonts w:hint="eastAsia" w:ascii="仿宋_GB2312" w:hAnsi="仿宋_GB2312" w:eastAsia="仿宋_GB2312" w:cs="仿宋_GB2312"/>
          <w:b w:val="0"/>
          <w:color w:val="auto"/>
          <w:sz w:val="32"/>
          <w:szCs w:val="32"/>
        </w:rPr>
        <w:t>。邀请</w:t>
      </w:r>
      <w:r>
        <w:rPr>
          <w:rFonts w:hint="eastAsia" w:ascii="仿宋_GB2312" w:hAnsi="仿宋_GB2312" w:eastAsia="仿宋_GB2312" w:cs="仿宋_GB2312"/>
          <w:b w:val="0"/>
          <w:color w:val="auto"/>
          <w:spacing w:val="-10"/>
          <w:kern w:val="0"/>
          <w:sz w:val="32"/>
          <w:szCs w:val="32"/>
        </w:rPr>
        <w:t>红塔区</w:t>
      </w:r>
      <w:r>
        <w:rPr>
          <w:rFonts w:hint="eastAsia" w:ascii="仿宋_GB2312" w:hAnsi="仿宋_GB2312" w:eastAsia="仿宋_GB2312" w:cs="仿宋_GB2312"/>
          <w:b w:val="0"/>
          <w:color w:val="auto"/>
          <w:spacing w:val="-10"/>
          <w:kern w:val="0"/>
          <w:sz w:val="32"/>
          <w:szCs w:val="32"/>
          <w:lang w:eastAsia="zh-CN"/>
        </w:rPr>
        <w:t>纪委监委</w:t>
      </w:r>
      <w:r>
        <w:rPr>
          <w:rFonts w:hint="eastAsia" w:ascii="仿宋_GB2312" w:hAnsi="仿宋_GB2312" w:eastAsia="仿宋_GB2312" w:cs="仿宋_GB2312"/>
          <w:b w:val="0"/>
          <w:color w:val="auto"/>
          <w:sz w:val="32"/>
          <w:szCs w:val="32"/>
        </w:rPr>
        <w:t>和</w:t>
      </w:r>
      <w:r>
        <w:rPr>
          <w:rFonts w:hint="eastAsia" w:ascii="仿宋_GB2312" w:hAnsi="仿宋_GB2312" w:eastAsia="仿宋_GB2312" w:cs="仿宋_GB2312"/>
          <w:b w:val="0"/>
          <w:color w:val="auto"/>
          <w:kern w:val="0"/>
          <w:sz w:val="32"/>
          <w:szCs w:val="32"/>
        </w:rPr>
        <w:t>红塔区</w:t>
      </w:r>
      <w:r>
        <w:rPr>
          <w:rFonts w:hint="eastAsia" w:ascii="仿宋_GB2312" w:hAnsi="仿宋_GB2312" w:eastAsia="仿宋_GB2312" w:cs="仿宋_GB2312"/>
          <w:b w:val="0"/>
          <w:color w:val="auto"/>
          <w:kern w:val="0"/>
          <w:sz w:val="32"/>
          <w:szCs w:val="32"/>
          <w:lang w:eastAsia="zh-CN"/>
        </w:rPr>
        <w:t>司法局</w:t>
      </w:r>
      <w:r>
        <w:rPr>
          <w:rFonts w:hint="eastAsia" w:ascii="仿宋_GB2312" w:hAnsi="仿宋_GB2312" w:eastAsia="仿宋_GB2312" w:cs="仿宋_GB2312"/>
          <w:b w:val="0"/>
          <w:color w:val="auto"/>
          <w:spacing w:val="-10"/>
          <w:kern w:val="0"/>
          <w:sz w:val="32"/>
          <w:szCs w:val="32"/>
          <w:lang w:eastAsia="zh-CN"/>
        </w:rPr>
        <w:t>干部</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名同志担任听证监察人；</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区文化和旅游局</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名</w:t>
      </w:r>
      <w:r>
        <w:rPr>
          <w:rFonts w:hint="eastAsia" w:ascii="仿宋_GB2312" w:hAnsi="仿宋_GB2312" w:eastAsia="仿宋_GB2312" w:cs="仿宋_GB2312"/>
          <w:b w:val="0"/>
          <w:color w:val="auto"/>
          <w:sz w:val="32"/>
          <w:szCs w:val="32"/>
          <w:lang w:eastAsia="zh-CN"/>
        </w:rPr>
        <w:t>工作人员</w:t>
      </w:r>
      <w:r>
        <w:rPr>
          <w:rFonts w:hint="eastAsia" w:ascii="仿宋_GB2312" w:hAnsi="仿宋_GB2312" w:eastAsia="仿宋_GB2312" w:cs="仿宋_GB2312"/>
          <w:b w:val="0"/>
          <w:color w:val="auto"/>
          <w:sz w:val="32"/>
          <w:szCs w:val="32"/>
        </w:rPr>
        <w:t>担任听证记录人。</w:t>
      </w:r>
    </w:p>
    <w:p>
      <w:pPr>
        <w:pStyle w:val="5"/>
        <w:keepNext w:val="0"/>
        <w:keepLines w:val="0"/>
        <w:pageBreakBefore w:val="0"/>
        <w:widowControl/>
        <w:numPr>
          <w:ilvl w:val="0"/>
          <w:numId w:val="2"/>
        </w:numPr>
        <w:shd w:val="clear" w:color="auto" w:fill="FFFFFF"/>
        <w:kinsoku/>
        <w:wordWrap/>
        <w:overflowPunct/>
        <w:topLinePunct w:val="0"/>
        <w:autoSpaceDE/>
        <w:autoSpaceDN/>
        <w:bidi w:val="0"/>
        <w:spacing w:beforeAutospacing="0" w:afterAutospacing="0" w:line="590" w:lineRule="exact"/>
        <w:ind w:left="0" w:lef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发布第</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号公告</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90" w:lineRule="exact"/>
        <w:ind w:leftChars="200" w:firstLine="640"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Times New Roman" w:hAnsi="Times New Roman" w:eastAsia="仿宋_GB2312" w:cs="仿宋_GB2312"/>
          <w:b w:val="0"/>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月</w:t>
      </w:r>
      <w:r>
        <w:rPr>
          <w:rFonts w:hint="eastAsia" w:ascii="Times New Roman" w:hAnsi="Times New Roman" w:eastAsia="仿宋_GB2312" w:cs="仿宋_GB2312"/>
          <w:b w:val="0"/>
          <w:i w:val="0"/>
          <w:caps w:val="0"/>
          <w:color w:val="auto"/>
          <w:spacing w:val="0"/>
          <w:kern w:val="0"/>
          <w:sz w:val="32"/>
          <w:szCs w:val="32"/>
          <w:shd w:val="clear" w:color="auto" w:fill="FFFFFF"/>
          <w:lang w:val="en-US" w:eastAsia="zh-CN" w:bidi="ar"/>
        </w:rPr>
        <w:t>26</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日，在云南省人民政府重大决策听证公开网站发布听证会公告（第</w:t>
      </w:r>
      <w:r>
        <w:rPr>
          <w:rFonts w:hint="eastAsia" w:ascii="Times New Roman" w:hAnsi="Times New Roman" w:eastAsia="仿宋_GB2312" w:cs="仿宋_GB2312"/>
          <w:b w:val="0"/>
          <w:i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号），公布了听证会时间和地点、听证会有关人员名单，包括：</w:t>
      </w:r>
      <w:r>
        <w:rPr>
          <w:rFonts w:hint="eastAsia" w:ascii="仿宋_GB2312" w:hAnsi="仿宋_GB2312" w:eastAsia="仿宋_GB2312" w:cs="仿宋_GB2312"/>
          <w:b w:val="0"/>
          <w:bCs/>
          <w:color w:val="auto"/>
          <w:sz w:val="32"/>
          <w:szCs w:val="32"/>
        </w:rPr>
        <w:t>听证主持人</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听证人</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color w:val="auto"/>
          <w:sz w:val="32"/>
          <w:szCs w:val="32"/>
        </w:rPr>
        <w:t>听证代表</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bCs/>
          <w:color w:val="auto"/>
          <w:sz w:val="32"/>
          <w:szCs w:val="32"/>
        </w:rPr>
        <w:t>听证监察人</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等其他事项。</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w:t>
      </w:r>
      <w:r>
        <w:rPr>
          <w:rFonts w:hint="eastAsia" w:ascii="方正黑体_GBK" w:hAnsi="方正黑体_GBK" w:eastAsia="方正黑体_GBK" w:cs="方正黑体_GBK"/>
          <w:sz w:val="32"/>
          <w:szCs w:val="32"/>
        </w:rPr>
        <w:t>听证会举行的时间、地点、参加人员</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听证会于</w:t>
      </w:r>
      <w:r>
        <w:rPr>
          <w:rFonts w:ascii="Times New Roman" w:hAnsi="Times New Roman" w:eastAsia="方正仿宋_GBK" w:cs="Times New Roman"/>
          <w:sz w:val="32"/>
          <w:szCs w:val="32"/>
        </w:rPr>
        <w:t>2022</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日（星期二）下午</w:t>
      </w:r>
      <w:r>
        <w:rPr>
          <w:rFonts w:hint="eastAsia" w:ascii="Times New Roman" w:hAnsi="Times New Roman" w:eastAsia="方正仿宋_GBK" w:cs="Times New Roman"/>
          <w:sz w:val="32"/>
          <w:szCs w:val="32"/>
          <w:lang w:val="en-US" w:eastAsia="zh-CN"/>
        </w:rPr>
        <w:t>15</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00</w:t>
      </w:r>
      <w:r>
        <w:rPr>
          <w:rFonts w:ascii="Times New Roman" w:hAnsi="Times New Roman" w:eastAsia="方正仿宋_GBK" w:cs="Times New Roman"/>
          <w:sz w:val="32"/>
          <w:szCs w:val="32"/>
        </w:rPr>
        <w:t>在</w:t>
      </w:r>
      <w:r>
        <w:rPr>
          <w:rFonts w:hint="eastAsia" w:ascii="Times New Roman" w:hAnsi="Times New Roman" w:eastAsia="方正仿宋_GBK" w:cs="Times New Roman"/>
          <w:sz w:val="32"/>
          <w:szCs w:val="32"/>
          <w:lang w:eastAsia="zh-CN"/>
        </w:rPr>
        <w:t>玉溪市红塔区凤凰街道灵秀社区一楼</w:t>
      </w:r>
      <w:r>
        <w:rPr>
          <w:rFonts w:ascii="Times New Roman" w:hAnsi="Times New Roman" w:eastAsia="方正仿宋_GBK" w:cs="Times New Roman"/>
          <w:sz w:val="32"/>
          <w:szCs w:val="32"/>
        </w:rPr>
        <w:t>会议室举行。参加人员如下：</w:t>
      </w:r>
    </w:p>
    <w:p>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（一）听证主持人</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红塔区文化和旅游局副局长杨婧</w:t>
      </w:r>
    </w:p>
    <w:p>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（二）决策发言人</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红塔区文化和旅游局书记孙旭</w:t>
      </w:r>
    </w:p>
    <w:p>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（三）听证记录人</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红塔区文化和旅游局张宇</w:t>
      </w:r>
    </w:p>
    <w:p>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（四）听证监察人</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红塔区司法局</w:t>
      </w:r>
      <w:r>
        <w:rPr>
          <w:rFonts w:hint="eastAsia" w:ascii="Times New Roman" w:hAnsi="Times New Roman" w:eastAsia="方正仿宋_GBK" w:cs="Times New Roman"/>
          <w:sz w:val="32"/>
          <w:szCs w:val="32"/>
          <w:lang w:eastAsia="zh-CN"/>
        </w:rPr>
        <w:t>副局长刘丹</w:t>
      </w:r>
    </w:p>
    <w:p>
      <w:pPr>
        <w:pStyle w:val="2"/>
        <w:keepNext w:val="0"/>
        <w:keepLines w:val="0"/>
        <w:pageBreakBefore w:val="0"/>
        <w:kinsoku/>
        <w:wordWrap/>
        <w:overflowPunct/>
        <w:topLinePunct w:val="0"/>
        <w:autoSpaceDE/>
        <w:autoSpaceDN/>
        <w:bidi w:val="0"/>
        <w:spacing w:after="0" w:line="590" w:lineRule="exact"/>
        <w:ind w:left="0" w:leftChars="0" w:firstLine="64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红塔区纪委驻发改纪检组组长可莉新</w:t>
      </w:r>
    </w:p>
    <w:p>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（五）听证代表</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郑应平、钱玲、邹舟、周发强、刘建祥、冯德武、王继荣、杨战英、杨曦、杨天龙、李承铭、唐兴华、攸朝林、陈颖、陈永顺、陈永安、陈健明、石晓文、石欧云、陈超、白兴福、陈伟、陈克应、陈汝德、陈晓明、陈光明、陈虎、陈小青</w:t>
      </w:r>
    </w:p>
    <w:p>
      <w:pPr>
        <w:keepNext w:val="0"/>
        <w:keepLines w:val="0"/>
        <w:pageBreakBefore w:val="0"/>
        <w:kinsoku/>
        <w:wordWrap/>
        <w:overflowPunct/>
        <w:topLinePunct w:val="0"/>
        <w:autoSpaceDE/>
        <w:autoSpaceDN/>
        <w:bidi w:val="0"/>
        <w:spacing w:line="590" w:lineRule="exact"/>
        <w:ind w:firstLine="960" w:firstLineChars="3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、各方听证代表的主要意见及理由</w:t>
      </w:r>
    </w:p>
    <w:p>
      <w:pPr>
        <w:pStyle w:val="8"/>
        <w:keepNext w:val="0"/>
        <w:keepLines w:val="0"/>
        <w:pageBreakBefore w:val="0"/>
        <w:kinsoku/>
        <w:wordWrap/>
        <w:overflowPunct/>
        <w:topLinePunct w:val="0"/>
        <w:autoSpaceDE/>
        <w:autoSpaceDN/>
        <w:bidi w:val="0"/>
        <w:spacing w:line="590" w:lineRule="exact"/>
        <w:ind w:firstLine="640"/>
        <w:jc w:val="left"/>
        <w:textAlignment w:val="auto"/>
        <w:rPr>
          <w:rFonts w:hint="eastAsia" w:ascii="Times New Roman" w:hAnsi="Times New Roman" w:eastAsia="楷体" w:cs="Times New Roman"/>
          <w:sz w:val="32"/>
          <w:szCs w:val="32"/>
          <w:lang w:eastAsia="zh-CN"/>
        </w:rPr>
      </w:pPr>
      <w:r>
        <w:rPr>
          <w:rFonts w:ascii="Times New Roman" w:hAnsi="Times New Roman" w:eastAsia="楷体" w:cs="Times New Roman"/>
          <w:sz w:val="32"/>
          <w:szCs w:val="32"/>
        </w:rPr>
        <w:t>（一）</w:t>
      </w:r>
      <w:r>
        <w:rPr>
          <w:rFonts w:hint="eastAsia" w:ascii="Times New Roman" w:hAnsi="Times New Roman" w:eastAsia="楷体" w:cs="Times New Roman"/>
          <w:sz w:val="32"/>
          <w:szCs w:val="32"/>
          <w:lang w:eastAsia="zh-CN"/>
        </w:rPr>
        <w:t>关于项目建设的意见</w:t>
      </w:r>
    </w:p>
    <w:p>
      <w:pPr>
        <w:pStyle w:val="8"/>
        <w:keepNext w:val="0"/>
        <w:keepLines w:val="0"/>
        <w:pageBreakBefore w:val="0"/>
        <w:numPr>
          <w:ilvl w:val="0"/>
          <w:numId w:val="3"/>
        </w:numPr>
        <w:kinsoku/>
        <w:wordWrap/>
        <w:overflowPunct/>
        <w:topLinePunct w:val="0"/>
        <w:autoSpaceDE/>
        <w:autoSpaceDN/>
        <w:bidi w:val="0"/>
        <w:spacing w:line="590" w:lineRule="exact"/>
        <w:ind w:left="-10" w:leftChars="0" w:firstLine="640" w:firstLineChars="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灵秀云栖艺术谷产业及配套设施项目的实施可有效盘活农村闲置土地，且此项目为产业提升项目，具有较强的盈利能，项目落地运营后将带动当地居民的就业率，促进地方经济的发展。</w:t>
      </w:r>
    </w:p>
    <w:p>
      <w:pPr>
        <w:pStyle w:val="8"/>
        <w:keepNext w:val="0"/>
        <w:keepLines w:val="0"/>
        <w:pageBreakBefore w:val="0"/>
        <w:numPr>
          <w:ilvl w:val="0"/>
          <w:numId w:val="3"/>
        </w:numPr>
        <w:kinsoku/>
        <w:wordWrap/>
        <w:overflowPunct/>
        <w:topLinePunct w:val="0"/>
        <w:autoSpaceDE/>
        <w:autoSpaceDN/>
        <w:bidi w:val="0"/>
        <w:spacing w:line="590" w:lineRule="exact"/>
        <w:ind w:left="-10" w:leftChars="0" w:firstLine="640" w:firstLineChars="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云栖艺术谷产业及配套设施项目建成后可以丰富当地及周边居民的文化体验，还能改善当地生态环境和人居环境。</w:t>
      </w:r>
    </w:p>
    <w:p>
      <w:pPr>
        <w:pStyle w:val="8"/>
        <w:keepNext w:val="0"/>
        <w:keepLines w:val="0"/>
        <w:pageBreakBefore w:val="0"/>
        <w:kinsoku/>
        <w:wordWrap/>
        <w:overflowPunct/>
        <w:topLinePunct w:val="0"/>
        <w:autoSpaceDE/>
        <w:autoSpaceDN/>
        <w:bidi w:val="0"/>
        <w:spacing w:line="590" w:lineRule="exact"/>
        <w:ind w:firstLine="640"/>
        <w:jc w:val="left"/>
        <w:textAlignment w:val="auto"/>
        <w:rPr>
          <w:rFonts w:hint="eastAsia" w:ascii="Times New Roman" w:hAnsi="Times New Roman" w:eastAsia="楷体" w:cs="Times New Roman"/>
          <w:sz w:val="32"/>
          <w:szCs w:val="32"/>
          <w:lang w:eastAsia="zh-CN"/>
        </w:rPr>
      </w:pPr>
      <w:r>
        <w:rPr>
          <w:rFonts w:ascii="Times New Roman" w:hAnsi="Times New Roman" w:eastAsia="楷体" w:cs="Times New Roman"/>
          <w:sz w:val="32"/>
          <w:szCs w:val="32"/>
        </w:rPr>
        <w:t>（二）</w:t>
      </w:r>
      <w:r>
        <w:rPr>
          <w:rFonts w:hint="eastAsia" w:ascii="Times New Roman" w:hAnsi="Times New Roman" w:eastAsia="楷体" w:cs="Times New Roman"/>
          <w:sz w:val="32"/>
          <w:szCs w:val="32"/>
          <w:lang w:eastAsia="zh-CN"/>
        </w:rPr>
        <w:t>生态环境问题</w:t>
      </w:r>
    </w:p>
    <w:p>
      <w:pPr>
        <w:pStyle w:val="8"/>
        <w:keepNext w:val="0"/>
        <w:keepLines w:val="0"/>
        <w:pageBreakBefore w:val="0"/>
        <w:numPr>
          <w:ilvl w:val="0"/>
          <w:numId w:val="4"/>
        </w:numPr>
        <w:kinsoku/>
        <w:wordWrap/>
        <w:overflowPunct/>
        <w:topLinePunct w:val="0"/>
        <w:autoSpaceDE/>
        <w:autoSpaceDN/>
        <w:bidi w:val="0"/>
        <w:spacing w:line="590" w:lineRule="exact"/>
        <w:ind w:left="-10" w:leftChars="0" w:firstLine="640" w:firstLineChars="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灵秀云栖艺术谷产业及配套设施项目的拟建地址</w:t>
      </w:r>
      <w:r>
        <w:rPr>
          <w:rFonts w:hint="eastAsia" w:ascii="Times New Roman" w:hAnsi="Times New Roman" w:eastAsia="方正仿宋_GBK" w:cs="Times New Roman"/>
          <w:sz w:val="32"/>
          <w:szCs w:val="32"/>
          <w:lang w:eastAsia="zh-CN"/>
        </w:rPr>
        <w:t>位于红塔区凤凰街道灵秀社区，灵秀社区地处东风水库饮用水水源保护区二级保护区内，在项目建设过程中建设方应注意尽量减小因项目建设对水库造成的影响；</w:t>
      </w:r>
    </w:p>
    <w:p>
      <w:pPr>
        <w:pStyle w:val="8"/>
        <w:keepNext w:val="0"/>
        <w:keepLines w:val="0"/>
        <w:pageBreakBefore w:val="0"/>
        <w:numPr>
          <w:ilvl w:val="0"/>
          <w:numId w:val="4"/>
        </w:numPr>
        <w:kinsoku/>
        <w:wordWrap/>
        <w:overflowPunct/>
        <w:topLinePunct w:val="0"/>
        <w:autoSpaceDE/>
        <w:autoSpaceDN/>
        <w:bidi w:val="0"/>
        <w:spacing w:line="590" w:lineRule="exact"/>
        <w:ind w:left="-10" w:leftChars="0" w:firstLine="640" w:firstLineChars="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相关责任主体应制定相应水土保持方案，避免项目建设过程中对地表、径流造成污染</w:t>
      </w:r>
      <w:r>
        <w:rPr>
          <w:rFonts w:hint="eastAsia" w:ascii="Times New Roman" w:hAnsi="Times New Roman" w:eastAsia="方正仿宋_GBK" w:cs="Times New Roman"/>
          <w:sz w:val="32"/>
          <w:szCs w:val="32"/>
        </w:rPr>
        <w:t>；</w:t>
      </w:r>
    </w:p>
    <w:p>
      <w:pPr>
        <w:pStyle w:val="8"/>
        <w:keepNext w:val="0"/>
        <w:keepLines w:val="0"/>
        <w:pageBreakBefore w:val="0"/>
        <w:kinsoku/>
        <w:wordWrap/>
        <w:overflowPunct/>
        <w:topLinePunct w:val="0"/>
        <w:autoSpaceDE/>
        <w:autoSpaceDN/>
        <w:bidi w:val="0"/>
        <w:spacing w:line="590" w:lineRule="exact"/>
        <w:ind w:firstLine="640"/>
        <w:textAlignment w:val="auto"/>
        <w:rPr>
          <w:rFonts w:hint="eastAsia" w:ascii="Times New Roman" w:hAnsi="Times New Roman" w:eastAsia="楷体" w:cs="Times New Roman"/>
          <w:sz w:val="32"/>
          <w:szCs w:val="32"/>
          <w:lang w:eastAsia="zh-CN"/>
        </w:rPr>
      </w:pPr>
      <w:r>
        <w:rPr>
          <w:rFonts w:ascii="Times New Roman" w:hAnsi="Times New Roman" w:eastAsia="楷体" w:cs="Times New Roman"/>
          <w:sz w:val="32"/>
          <w:szCs w:val="32"/>
        </w:rPr>
        <w:t>（三）</w:t>
      </w:r>
      <w:r>
        <w:rPr>
          <w:rFonts w:hint="eastAsia" w:ascii="Times New Roman" w:hAnsi="Times New Roman" w:eastAsia="楷体" w:cs="Times New Roman"/>
          <w:sz w:val="32"/>
          <w:szCs w:val="32"/>
          <w:lang w:eastAsia="zh-CN"/>
        </w:rPr>
        <w:t>资金及相应补偿问题</w:t>
      </w:r>
    </w:p>
    <w:p>
      <w:pPr>
        <w:pStyle w:val="8"/>
        <w:keepNext w:val="0"/>
        <w:keepLines w:val="0"/>
        <w:pageBreakBefore w:val="0"/>
        <w:numPr>
          <w:ilvl w:val="0"/>
          <w:numId w:val="5"/>
        </w:numPr>
        <w:kinsoku/>
        <w:wordWrap/>
        <w:overflowPunct/>
        <w:topLinePunct w:val="0"/>
        <w:autoSpaceDE/>
        <w:autoSpaceDN/>
        <w:bidi w:val="0"/>
        <w:spacing w:line="590" w:lineRule="exact"/>
        <w:ind w:left="0" w:firstLine="64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项目资金是由玉溪润础文旅投资发展有限责任公司自筹，主要是通过政策性银行贷款的方式进行融资，应尽快落实资金情况，保证资金链完整；</w:t>
      </w:r>
    </w:p>
    <w:p>
      <w:pPr>
        <w:pStyle w:val="8"/>
        <w:keepNext w:val="0"/>
        <w:keepLines w:val="0"/>
        <w:pageBreakBefore w:val="0"/>
        <w:numPr>
          <w:ilvl w:val="0"/>
          <w:numId w:val="5"/>
        </w:numPr>
        <w:kinsoku/>
        <w:wordWrap/>
        <w:overflowPunct/>
        <w:topLinePunct w:val="0"/>
        <w:autoSpaceDE/>
        <w:autoSpaceDN/>
        <w:bidi w:val="0"/>
        <w:spacing w:line="590" w:lineRule="exact"/>
        <w:ind w:left="0" w:firstLine="64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补偿资金应及时发放到位，避免因拖欠补偿款引起群众的不满</w:t>
      </w:r>
      <w:r>
        <w:rPr>
          <w:rFonts w:ascii="Times New Roman" w:hAnsi="Times New Roman" w:eastAsia="方正仿宋_GBK" w:cs="Times New Roman"/>
          <w:sz w:val="32"/>
          <w:szCs w:val="32"/>
        </w:rPr>
        <w:t>；</w:t>
      </w:r>
    </w:p>
    <w:p>
      <w:pPr>
        <w:pStyle w:val="8"/>
        <w:keepNext w:val="0"/>
        <w:keepLines w:val="0"/>
        <w:pageBreakBefore w:val="0"/>
        <w:numPr>
          <w:ilvl w:val="0"/>
          <w:numId w:val="5"/>
        </w:numPr>
        <w:kinsoku/>
        <w:wordWrap/>
        <w:overflowPunct/>
        <w:topLinePunct w:val="0"/>
        <w:autoSpaceDE/>
        <w:autoSpaceDN/>
        <w:bidi w:val="0"/>
        <w:spacing w:line="590" w:lineRule="exact"/>
        <w:ind w:left="0" w:firstLine="64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前期土地流转及构筑物拆除补偿应按照相应的法律法规的标准进行补偿</w:t>
      </w:r>
      <w:r>
        <w:rPr>
          <w:rFonts w:ascii="Times New Roman" w:hAnsi="Times New Roman" w:eastAsia="方正仿宋_GBK" w:cs="Times New Roman"/>
          <w:sz w:val="32"/>
          <w:szCs w:val="32"/>
        </w:rPr>
        <w:t>；</w:t>
      </w:r>
    </w:p>
    <w:p>
      <w:pPr>
        <w:pStyle w:val="8"/>
        <w:keepNext w:val="0"/>
        <w:keepLines w:val="0"/>
        <w:pageBreakBefore w:val="0"/>
        <w:numPr>
          <w:ilvl w:val="0"/>
          <w:numId w:val="6"/>
        </w:numPr>
        <w:kinsoku/>
        <w:wordWrap/>
        <w:overflowPunct/>
        <w:topLinePunct w:val="0"/>
        <w:autoSpaceDE/>
        <w:autoSpaceDN/>
        <w:bidi w:val="0"/>
        <w:spacing w:line="590" w:lineRule="exact"/>
        <w:ind w:leftChars="200" w:firstLine="320" w:firstLineChars="100"/>
        <w:textAlignment w:val="auto"/>
        <w:rPr>
          <w:rFonts w:hint="eastAsia" w:ascii="Times New Roman" w:hAnsi="Times New Roman" w:eastAsia="楷体" w:cs="Times New Roman"/>
          <w:sz w:val="32"/>
          <w:szCs w:val="32"/>
          <w:lang w:eastAsia="zh-CN"/>
        </w:rPr>
      </w:pPr>
      <w:r>
        <w:rPr>
          <w:rFonts w:hint="eastAsia" w:ascii="Times New Roman" w:hAnsi="Times New Roman" w:eastAsia="楷体" w:cs="Times New Roman"/>
          <w:sz w:val="32"/>
          <w:szCs w:val="32"/>
          <w:lang w:eastAsia="zh-CN"/>
        </w:rPr>
        <w:t>其他意见及建议</w:t>
      </w:r>
    </w:p>
    <w:p>
      <w:pPr>
        <w:pStyle w:val="8"/>
        <w:keepNext w:val="0"/>
        <w:keepLines w:val="0"/>
        <w:pageBreakBefore w:val="0"/>
        <w:numPr>
          <w:ilvl w:val="0"/>
          <w:numId w:val="0"/>
        </w:numPr>
        <w:kinsoku/>
        <w:wordWrap/>
        <w:overflowPunct/>
        <w:topLinePunct w:val="0"/>
        <w:autoSpaceDE/>
        <w:autoSpaceDN/>
        <w:bidi w:val="0"/>
        <w:spacing w:line="590" w:lineRule="exact"/>
        <w:ind w:firstLine="640" w:firstLineChars="200"/>
        <w:textAlignment w:val="auto"/>
        <w:rPr>
          <w:rFonts w:hint="eastAsia" w:ascii="Times New Roman" w:hAnsi="Times New Roman" w:eastAsia="楷体"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.项目建设过程中应注重道路等公共基础设设施的完善；</w:t>
      </w:r>
    </w:p>
    <w:p>
      <w:pPr>
        <w:pStyle w:val="8"/>
        <w:keepNext w:val="0"/>
        <w:keepLines w:val="0"/>
        <w:pageBreakBefore w:val="0"/>
        <w:numPr>
          <w:ilvl w:val="0"/>
          <w:numId w:val="0"/>
        </w:numPr>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.要按照重大行政决策程序完成该项目的风险评估工作；</w:t>
      </w:r>
    </w:p>
    <w:p>
      <w:pPr>
        <w:pStyle w:val="8"/>
        <w:keepNext w:val="0"/>
        <w:keepLines w:val="0"/>
        <w:pageBreakBefore w:val="0"/>
        <w:numPr>
          <w:ilvl w:val="0"/>
          <w:numId w:val="0"/>
        </w:numPr>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.涉及农用地转为建设用地的部分，应做好土地转用报批工作；</w:t>
      </w:r>
    </w:p>
    <w:p>
      <w:pPr>
        <w:pStyle w:val="8"/>
        <w:keepNext w:val="0"/>
        <w:keepLines w:val="0"/>
        <w:pageBreakBefore w:val="0"/>
        <w:numPr>
          <w:ilvl w:val="0"/>
          <w:numId w:val="0"/>
        </w:numPr>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.在项目建设过程中要优化施工方案，减少对群众日常生活的影响；</w:t>
      </w:r>
    </w:p>
    <w:p>
      <w:pPr>
        <w:pStyle w:val="8"/>
        <w:keepNext w:val="0"/>
        <w:keepLines w:val="0"/>
        <w:pageBreakBefore w:val="0"/>
        <w:numPr>
          <w:ilvl w:val="0"/>
          <w:numId w:val="0"/>
        </w:numPr>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.要优化交通分区，避免客流量较大时对当地交通造成影响。</w:t>
      </w:r>
    </w:p>
    <w:p>
      <w:pPr>
        <w:pStyle w:val="5"/>
        <w:keepNext w:val="0"/>
        <w:keepLines w:val="0"/>
        <w:pageBreakBefore w:val="0"/>
        <w:widowControl/>
        <w:numPr>
          <w:ilvl w:val="0"/>
          <w:numId w:val="7"/>
        </w:numPr>
        <w:shd w:val="clear" w:color="auto" w:fill="FFFFFF"/>
        <w:kinsoku/>
        <w:wordWrap/>
        <w:overflowPunct/>
        <w:topLinePunct w:val="0"/>
        <w:autoSpaceDE/>
        <w:autoSpaceDN/>
        <w:bidi w:val="0"/>
        <w:spacing w:beforeAutospacing="0" w:afterAutospacing="0" w:line="590" w:lineRule="exact"/>
        <w:ind w:firstLine="601"/>
        <w:jc w:val="both"/>
        <w:textAlignment w:val="auto"/>
        <w:rPr>
          <w:rFonts w:ascii="Times New Roman" w:hAnsi="Times New Roman" w:eastAsia="黑体"/>
          <w:bCs/>
          <w:kern w:val="2"/>
          <w:sz w:val="32"/>
          <w:szCs w:val="32"/>
        </w:rPr>
      </w:pPr>
      <w:r>
        <w:rPr>
          <w:rFonts w:ascii="Times New Roman" w:hAnsi="Times New Roman" w:eastAsia="黑体"/>
          <w:bCs/>
          <w:kern w:val="2"/>
          <w:sz w:val="32"/>
          <w:szCs w:val="32"/>
        </w:rPr>
        <w:t>决策发言人的主要意见及理由</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left="601"/>
        <w:jc w:val="both"/>
        <w:textAlignment w:val="auto"/>
        <w:rPr>
          <w:rFonts w:hint="eastAsia" w:ascii="Times New Roman" w:hAnsi="Times New Roman" w:eastAsia="楷体"/>
          <w:kern w:val="2"/>
          <w:sz w:val="32"/>
          <w:szCs w:val="32"/>
          <w:lang w:eastAsia="zh-CN"/>
        </w:rPr>
      </w:pPr>
      <w:r>
        <w:rPr>
          <w:rFonts w:ascii="Times New Roman" w:hAnsi="Times New Roman" w:eastAsia="楷体"/>
          <w:kern w:val="2"/>
          <w:sz w:val="32"/>
          <w:szCs w:val="32"/>
        </w:rPr>
        <w:t>（一）</w:t>
      </w:r>
      <w:r>
        <w:rPr>
          <w:rFonts w:hint="eastAsia" w:ascii="Times New Roman" w:hAnsi="Times New Roman" w:eastAsia="楷体"/>
          <w:kern w:val="2"/>
          <w:sz w:val="32"/>
          <w:szCs w:val="32"/>
          <w:lang w:eastAsia="zh-CN"/>
        </w:rPr>
        <w:t>生态环境保护</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val="en-US" w:eastAsia="zh-CN"/>
        </w:rPr>
        <w:t>.在项目实施前已聘请第三方编制《乡韵红塔--红塔区乡村振兴文旅环线—灵秀云栖艺术谷项目规划设计方案环保专篇》，报告中主要论述项目的建设对周边环境敏感目标的影响，并通过采取的污染防治措施，将对环境敏感目标的影响降到最小，为项目生态环境保护方面的可实施性提供依据。</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val="en-US" w:eastAsia="zh-CN"/>
        </w:rPr>
        <w:t>. 项目落地运营后将设置垃圾集中收集点，统一交由环卫部门清运处置；客栈、餐厅内餐饮食堂污水设置隔油池和化粪池，餐饮污水将通过内部管道收集后进入玉溪市第一污水处理厂进行处理。</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eastAsia" w:ascii="Times New Roman" w:hAnsi="Times New Roman" w:eastAsia="楷体"/>
          <w:sz w:val="32"/>
          <w:szCs w:val="32"/>
          <w:lang w:eastAsia="zh-CN"/>
        </w:rPr>
      </w:pPr>
      <w:r>
        <w:rPr>
          <w:rFonts w:ascii="Times New Roman" w:hAnsi="Times New Roman" w:eastAsia="楷体"/>
          <w:sz w:val="32"/>
          <w:szCs w:val="32"/>
        </w:rPr>
        <w:t>（二）</w:t>
      </w:r>
      <w:r>
        <w:rPr>
          <w:rFonts w:hint="eastAsia" w:ascii="Times New Roman" w:hAnsi="Times New Roman" w:eastAsia="楷体"/>
          <w:sz w:val="32"/>
          <w:szCs w:val="32"/>
          <w:lang w:eastAsia="zh-CN"/>
        </w:rPr>
        <w:t>资金及补偿问题</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val="en-US" w:eastAsia="zh-CN"/>
        </w:rPr>
        <w:t>.</w:t>
      </w:r>
      <w:r>
        <w:rPr>
          <w:rFonts w:hint="eastAsia" w:ascii="Times New Roman" w:hAnsi="Times New Roman" w:eastAsia="方正仿宋_GBK" w:cs="Times New Roman"/>
          <w:sz w:val="32"/>
          <w:szCs w:val="32"/>
          <w:lang w:eastAsia="zh-CN"/>
        </w:rPr>
        <w:t>玉溪润础文旅投资发展有限责任公司已按照《云南省自然资源厅关于公布实施全省征收农用地区片综合地价的通知》的补偿标准与灵秀社区签订补偿协议，补偿资金采用由润础公司向银行融资的方式筹集。</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.补偿款及项目建设资金已由</w:t>
      </w:r>
      <w:r>
        <w:rPr>
          <w:rFonts w:hint="eastAsia" w:ascii="Times New Roman" w:hAnsi="Times New Roman" w:eastAsia="方正仿宋_GBK" w:cs="Times New Roman"/>
          <w:sz w:val="32"/>
          <w:szCs w:val="32"/>
          <w:lang w:eastAsia="zh-CN"/>
        </w:rPr>
        <w:t>玉溪润础文旅投资发展有限责任公司向农发行提出融资申请，目前该资金融资申请已通过农发行审核通过，预计</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月底即可取得银行放款，以确保各类补偿费用的及时、足额发放。</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eastAsia" w:ascii="Times New Roman" w:hAnsi="Times New Roman" w:eastAsia="楷体"/>
          <w:sz w:val="32"/>
          <w:szCs w:val="32"/>
          <w:lang w:eastAsia="zh-CN"/>
        </w:rPr>
      </w:pPr>
      <w:r>
        <w:rPr>
          <w:rFonts w:ascii="Times New Roman" w:hAnsi="Times New Roman" w:eastAsia="楷体"/>
          <w:sz w:val="32"/>
          <w:szCs w:val="32"/>
        </w:rPr>
        <w:t>（三）</w:t>
      </w:r>
      <w:r>
        <w:rPr>
          <w:rFonts w:hint="eastAsia" w:ascii="Times New Roman" w:hAnsi="Times New Roman" w:eastAsia="楷体"/>
          <w:sz w:val="32"/>
          <w:szCs w:val="32"/>
          <w:lang w:eastAsia="zh-CN"/>
        </w:rPr>
        <w:t>其它问题的落实</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eastAsia" w:ascii="Times New Roman" w:hAnsi="Times New Roman" w:eastAsia="楷体"/>
          <w:sz w:val="32"/>
          <w:szCs w:val="32"/>
          <w:lang w:val="en-US" w:eastAsia="zh-CN"/>
        </w:rPr>
      </w:pPr>
      <w:r>
        <w:rPr>
          <w:rFonts w:hint="eastAsia" w:ascii="Times New Roman" w:hAnsi="Times New Roman" w:eastAsia="楷体"/>
          <w:sz w:val="32"/>
          <w:szCs w:val="32"/>
          <w:lang w:val="en-US" w:eastAsia="zh-CN"/>
        </w:rPr>
        <w:t>1</w:t>
      </w:r>
      <w:r>
        <w:rPr>
          <w:rFonts w:hint="eastAsia" w:ascii="Times New Roman" w:hAnsi="Times New Roman" w:eastAsia="楷体"/>
          <w:sz w:val="32"/>
          <w:szCs w:val="32"/>
          <w:lang w:val="en-US" w:eastAsia="zh-CN"/>
        </w:rPr>
        <w:t>.道路及停车场问题</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考虑到项目落地运营后在双休及节假日时客流量增大，届时可能对当地交通造成影响，云栖艺术谷项目还配套了道路建设工程以保证当地路网通畅，且除了原方案中拟建的停车场外，还将增加约</w:t>
      </w:r>
      <w:r>
        <w:rPr>
          <w:rFonts w:hint="eastAsia" w:ascii="Times New Roman" w:hAnsi="Times New Roman" w:eastAsia="方正仿宋_GBK"/>
          <w:sz w:val="32"/>
          <w:szCs w:val="32"/>
          <w:lang w:val="en-US" w:eastAsia="zh-CN"/>
        </w:rPr>
        <w:t>9</w:t>
      </w:r>
      <w:r>
        <w:rPr>
          <w:rFonts w:hint="eastAsia" w:ascii="Times New Roman" w:hAnsi="Times New Roman" w:eastAsia="方正仿宋_GBK"/>
          <w:sz w:val="32"/>
          <w:szCs w:val="32"/>
          <w:lang w:val="en-US" w:eastAsia="zh-CN"/>
        </w:rPr>
        <w:t>亩的闲置地增建停车场，避免停车难，行车难的问题；</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ascii="Times New Roman" w:hAnsi="Times New Roman" w:eastAsia="楷体"/>
          <w:sz w:val="32"/>
          <w:szCs w:val="32"/>
        </w:rPr>
      </w:pPr>
      <w:r>
        <w:rPr>
          <w:rFonts w:hint="eastAsia" w:ascii="Times New Roman" w:hAnsi="Times New Roman" w:eastAsia="楷体"/>
          <w:sz w:val="32"/>
          <w:szCs w:val="32"/>
          <w:lang w:val="en-US" w:eastAsia="zh-CN"/>
        </w:rPr>
        <w:t>2</w:t>
      </w:r>
      <w:r>
        <w:rPr>
          <w:rFonts w:hint="eastAsia" w:ascii="Times New Roman" w:hAnsi="Times New Roman" w:eastAsia="楷体"/>
          <w:sz w:val="32"/>
          <w:szCs w:val="32"/>
          <w:lang w:val="en-US" w:eastAsia="zh-CN"/>
        </w:rPr>
        <w:t>.</w:t>
      </w:r>
      <w:r>
        <w:rPr>
          <w:rFonts w:ascii="Times New Roman" w:hAnsi="Times New Roman" w:eastAsia="楷体"/>
          <w:sz w:val="32"/>
          <w:szCs w:val="32"/>
        </w:rPr>
        <w:t>群众宣传工作</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在灵秀云栖艺术谷产业及配套设施项目工程实施前期，凤凰街道及灵秀社区的相关工作人员协调组织，已对涉及群众户就拟建项目实施的基本内容、地上构筑物拆除情况及补偿意向进行了宣传及政策讲解，并对涉及群众针对拟建项目所提出的意见及建议进行了收集。</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90" w:lineRule="exact"/>
        <w:ind w:firstLine="640" w:firstLineChars="200"/>
        <w:jc w:val="both"/>
        <w:textAlignment w:val="auto"/>
        <w:rPr>
          <w:rFonts w:hint="default" w:ascii="Times New Roman" w:hAnsi="Times New Roman" w:eastAsia="楷体"/>
          <w:sz w:val="32"/>
          <w:szCs w:val="32"/>
          <w:lang w:val="en-US" w:eastAsia="zh-CN"/>
        </w:rPr>
      </w:pPr>
      <w:r>
        <w:rPr>
          <w:rFonts w:hint="eastAsia" w:ascii="Times New Roman" w:hAnsi="Times New Roman" w:eastAsia="楷体"/>
          <w:sz w:val="32"/>
          <w:szCs w:val="32"/>
          <w:lang w:val="en-US" w:eastAsia="zh-CN"/>
        </w:rPr>
        <w:t>3</w:t>
      </w:r>
      <w:r>
        <w:rPr>
          <w:rFonts w:hint="eastAsia" w:ascii="Times New Roman" w:hAnsi="Times New Roman" w:eastAsia="楷体"/>
          <w:sz w:val="32"/>
          <w:szCs w:val="32"/>
          <w:lang w:val="en-US" w:eastAsia="zh-CN"/>
        </w:rPr>
        <w:t>.社会稳定风险评估工作</w:t>
      </w:r>
    </w:p>
    <w:p>
      <w:pPr>
        <w:pStyle w:val="2"/>
        <w:keepNext w:val="0"/>
        <w:keepLines w:val="0"/>
        <w:pageBreakBefore w:val="0"/>
        <w:kinsoku/>
        <w:wordWrap/>
        <w:overflowPunct/>
        <w:topLinePunct w:val="0"/>
        <w:autoSpaceDE/>
        <w:autoSpaceDN/>
        <w:bidi w:val="0"/>
        <w:spacing w:after="0" w:line="59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红塔区文化和旅游局已按照重大行政决策暂行条列的规定，委托玉溪博安社会稳定风险评估公司对</w:t>
      </w:r>
      <w:r>
        <w:rPr>
          <w:rFonts w:hint="eastAsia" w:ascii="方正仿宋_GBK" w:hAnsi="方正仿宋_GBK" w:eastAsia="方正仿宋_GBK" w:cs="方正仿宋_GBK"/>
          <w:sz w:val="32"/>
          <w:szCs w:val="32"/>
          <w:lang w:val="en-US" w:eastAsia="zh-CN"/>
        </w:rPr>
        <w:t>灵秀云栖艺术谷产业及配套设施项目</w:t>
      </w:r>
      <w:r>
        <w:rPr>
          <w:rFonts w:hint="eastAsia" w:ascii="方正仿宋_GBK" w:hAnsi="方正仿宋_GBK" w:eastAsia="方正仿宋_GBK" w:cs="方正仿宋_GBK"/>
          <w:sz w:val="32"/>
          <w:szCs w:val="32"/>
          <w:lang w:eastAsia="zh-CN"/>
        </w:rPr>
        <w:t>进行社会稳定风险评估，并完成评估事项社会稳定风险评估报告的编制工作。目前该公司已对相关工作进行了安排部署，以民意调查和入户政策宣传为重点，稳步推进各项工作。</w:t>
      </w:r>
    </w:p>
    <w:p>
      <w:pPr>
        <w:pStyle w:val="2"/>
        <w:keepNext w:val="0"/>
        <w:keepLines w:val="0"/>
        <w:pageBreakBefore w:val="0"/>
        <w:kinsoku/>
        <w:wordWrap/>
        <w:overflowPunct/>
        <w:topLinePunct w:val="0"/>
        <w:autoSpaceDE/>
        <w:autoSpaceDN/>
        <w:bidi w:val="0"/>
        <w:spacing w:after="0" w:line="590" w:lineRule="exact"/>
        <w:ind w:left="0" w:leftChars="0" w:firstLine="640"/>
        <w:textAlignment w:val="auto"/>
        <w:rPr>
          <w:rFonts w:ascii="Times New Roman" w:hAnsi="Times New Roman" w:eastAsia="方正仿宋_GBK" w:cs="Times New Roman"/>
          <w:sz w:val="32"/>
          <w:szCs w:val="32"/>
        </w:rPr>
      </w:pPr>
    </w:p>
    <w:p>
      <w:pPr>
        <w:pStyle w:val="2"/>
        <w:keepNext w:val="0"/>
        <w:keepLines w:val="0"/>
        <w:pageBreakBefore w:val="0"/>
        <w:kinsoku/>
        <w:wordWrap/>
        <w:overflowPunct/>
        <w:topLinePunct w:val="0"/>
        <w:autoSpaceDE/>
        <w:autoSpaceDN/>
        <w:bidi w:val="0"/>
        <w:spacing w:after="0" w:line="590" w:lineRule="exact"/>
        <w:ind w:left="1278" w:leftChars="304" w:hanging="640" w:hangingChars="200"/>
        <w:textAlignment w:val="auto"/>
        <w:rPr>
          <w:rFonts w:ascii="Times New Roman" w:hAnsi="Times New Roman" w:eastAsia="方正仿宋_GBK" w:cs="Times New Roman"/>
          <w:sz w:val="32"/>
          <w:szCs w:val="32"/>
        </w:rPr>
      </w:pPr>
      <w:bookmarkStart w:id="0" w:name="_GoBack"/>
      <w:bookmarkEnd w:id="0"/>
      <w:r>
        <w:rPr>
          <w:rFonts w:ascii="Times New Roman" w:hAnsi="Times New Roman" w:eastAsia="方正仿宋_GBK" w:cs="Times New Roman"/>
          <w:sz w:val="32"/>
          <w:szCs w:val="32"/>
        </w:rPr>
        <w:t>附件：</w:t>
      </w:r>
      <w:r>
        <w:rPr>
          <w:rFonts w:ascii="Times New Roman" w:hAnsi="Times New Roman" w:eastAsia="方正仿宋_GBK" w:cs="Times New Roman"/>
          <w:sz w:val="32"/>
          <w:szCs w:val="32"/>
        </w:rPr>
        <w:t>1</w:t>
      </w:r>
      <w:r>
        <w:rPr>
          <w:rFonts w:ascii="Times New Roman" w:hAnsi="Times New Roman" w:eastAsia="方正仿宋_GBK" w:cs="Times New Roman"/>
          <w:sz w:val="32"/>
          <w:szCs w:val="32"/>
        </w:rPr>
        <w:t>.关于举行“</w:t>
      </w:r>
      <w:r>
        <w:rPr>
          <w:rFonts w:hint="eastAsia" w:ascii="Times New Roman" w:hAnsi="Times New Roman" w:eastAsia="方正仿宋_GBK" w:cs="Times New Roman"/>
          <w:sz w:val="32"/>
          <w:szCs w:val="32"/>
          <w:lang w:val="en-US" w:eastAsia="zh-CN"/>
        </w:rPr>
        <w:t>灵秀云栖艺术谷产业及配套设施项目</w:t>
      </w:r>
      <w:r>
        <w:rPr>
          <w:rFonts w:ascii="Times New Roman" w:hAnsi="Times New Roman" w:eastAsia="方正仿宋_GBK" w:cs="Times New Roman"/>
          <w:sz w:val="32"/>
          <w:szCs w:val="32"/>
        </w:rPr>
        <w:t>”听证会的说明</w:t>
      </w:r>
    </w:p>
    <w:p>
      <w:pPr>
        <w:pStyle w:val="2"/>
        <w:keepNext w:val="0"/>
        <w:keepLines w:val="0"/>
        <w:pageBreakBefore w:val="0"/>
        <w:kinsoku/>
        <w:wordWrap/>
        <w:overflowPunct/>
        <w:topLinePunct w:val="0"/>
        <w:autoSpaceDE/>
        <w:autoSpaceDN/>
        <w:bidi w:val="0"/>
        <w:spacing w:after="0" w:line="590" w:lineRule="exact"/>
        <w:ind w:left="1277" w:leftChars="608" w:firstLine="320" w:firstLineChars="1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sz w:val="32"/>
          <w:szCs w:val="32"/>
        </w:rPr>
        <w:t>.关于“</w:t>
      </w:r>
      <w:r>
        <w:rPr>
          <w:rFonts w:hint="eastAsia" w:ascii="Times New Roman" w:hAnsi="Times New Roman" w:eastAsia="方正仿宋_GBK" w:cs="Times New Roman"/>
          <w:sz w:val="32"/>
          <w:szCs w:val="32"/>
          <w:lang w:val="en-US" w:eastAsia="zh-CN"/>
        </w:rPr>
        <w:t>灵秀云栖艺术谷产业及配套设施项目</w:t>
      </w:r>
      <w:r>
        <w:rPr>
          <w:rFonts w:ascii="Times New Roman" w:hAnsi="Times New Roman" w:eastAsia="方正仿宋_GBK" w:cs="Times New Roman"/>
          <w:sz w:val="32"/>
          <w:szCs w:val="32"/>
        </w:rPr>
        <w:t>”主要内容说明</w:t>
      </w:r>
    </w:p>
    <w:p>
      <w:pPr>
        <w:pStyle w:val="2"/>
        <w:keepNext w:val="0"/>
        <w:keepLines w:val="0"/>
        <w:pageBreakBefore w:val="0"/>
        <w:widowControl w:val="0"/>
        <w:kinsoku/>
        <w:wordWrap/>
        <w:overflowPunct/>
        <w:topLinePunct w:val="0"/>
        <w:autoSpaceDE/>
        <w:autoSpaceDN/>
        <w:bidi w:val="0"/>
        <w:adjustRightInd/>
        <w:snapToGrid/>
        <w:spacing w:after="0" w:line="590" w:lineRule="exact"/>
        <w:ind w:left="1277" w:leftChars="608" w:firstLine="320" w:firstLineChars="1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灵秀云栖艺术谷产业及配套设施项目</w:t>
      </w:r>
      <w:r>
        <w:rPr>
          <w:rFonts w:ascii="Times New Roman" w:hAnsi="Times New Roman" w:eastAsia="方正仿宋_GBK" w:cs="Times New Roman"/>
          <w:sz w:val="32"/>
          <w:szCs w:val="32"/>
        </w:rPr>
        <w:t>”听证会参会人员名单</w:t>
      </w:r>
    </w:p>
    <w:p>
      <w:pPr>
        <w:pStyle w:val="2"/>
        <w:keepNext w:val="0"/>
        <w:keepLines w:val="0"/>
        <w:pageBreakBefore w:val="0"/>
        <w:kinsoku/>
        <w:wordWrap/>
        <w:overflowPunct/>
        <w:topLinePunct w:val="0"/>
        <w:autoSpaceDE/>
        <w:autoSpaceDN/>
        <w:bidi w:val="0"/>
        <w:spacing w:after="0" w:line="590" w:lineRule="exact"/>
        <w:ind w:left="0" w:leftChars="0" w:firstLine="640"/>
        <w:textAlignment w:val="auto"/>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213FA1"/>
    <w:multiLevelType w:val="singleLevel"/>
    <w:tmpl w:val="C2213FA1"/>
    <w:lvl w:ilvl="0" w:tentative="0">
      <w:start w:val="4"/>
      <w:numFmt w:val="chineseCounting"/>
      <w:suff w:val="nothing"/>
      <w:lvlText w:val="（%1）"/>
      <w:lvlJc w:val="left"/>
      <w:rPr>
        <w:rFonts w:hint="eastAsia"/>
      </w:rPr>
    </w:lvl>
  </w:abstractNum>
  <w:abstractNum w:abstractNumId="1">
    <w:nsid w:val="F6F31466"/>
    <w:multiLevelType w:val="singleLevel"/>
    <w:tmpl w:val="F6F31466"/>
    <w:lvl w:ilvl="0" w:tentative="0">
      <w:start w:val="1"/>
      <w:numFmt w:val="chineseCounting"/>
      <w:suff w:val="nothing"/>
      <w:lvlText w:val="（%1）"/>
      <w:lvlJc w:val="left"/>
      <w:rPr>
        <w:rFonts w:hint="eastAsia"/>
      </w:rPr>
    </w:lvl>
  </w:abstractNum>
  <w:abstractNum w:abstractNumId="2">
    <w:nsid w:val="0F7E7C58"/>
    <w:multiLevelType w:val="multilevel"/>
    <w:tmpl w:val="0F7E7C58"/>
    <w:lvl w:ilvl="0" w:tentative="0">
      <w:start w:val="1"/>
      <w:numFmt w:val="decimal"/>
      <w:suff w:val="nothing"/>
      <w:lvlText w:val="%1."/>
      <w:lvlJc w:val="left"/>
      <w:pPr>
        <w:ind w:left="125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1D9A542B"/>
    <w:multiLevelType w:val="multilevel"/>
    <w:tmpl w:val="1D9A542B"/>
    <w:lvl w:ilvl="0" w:tentative="0">
      <w:start w:val="1"/>
      <w:numFmt w:val="decimal"/>
      <w:suff w:val="nothing"/>
      <w:lvlText w:val="%1."/>
      <w:lvlJc w:val="left"/>
      <w:pPr>
        <w:ind w:left="1250" w:hanging="420"/>
      </w:pPr>
      <w:rPr>
        <w:rFonts w:hint="eastAsia"/>
      </w:rPr>
    </w:lvl>
    <w:lvl w:ilvl="1" w:tentative="0">
      <w:start w:val="1"/>
      <w:numFmt w:val="lowerLetter"/>
      <w:lvlText w:val="%2)"/>
      <w:lvlJc w:val="left"/>
      <w:pPr>
        <w:ind w:left="1670" w:hanging="420"/>
      </w:pPr>
    </w:lvl>
    <w:lvl w:ilvl="2" w:tentative="0">
      <w:start w:val="1"/>
      <w:numFmt w:val="lowerRoman"/>
      <w:lvlText w:val="%3."/>
      <w:lvlJc w:val="right"/>
      <w:pPr>
        <w:ind w:left="2090" w:hanging="420"/>
      </w:pPr>
    </w:lvl>
    <w:lvl w:ilvl="3" w:tentative="0">
      <w:start w:val="1"/>
      <w:numFmt w:val="decimal"/>
      <w:lvlText w:val="%4."/>
      <w:lvlJc w:val="left"/>
      <w:pPr>
        <w:ind w:left="2510" w:hanging="420"/>
      </w:pPr>
    </w:lvl>
    <w:lvl w:ilvl="4" w:tentative="0">
      <w:start w:val="1"/>
      <w:numFmt w:val="lowerLetter"/>
      <w:lvlText w:val="%5)"/>
      <w:lvlJc w:val="left"/>
      <w:pPr>
        <w:ind w:left="2930" w:hanging="420"/>
      </w:pPr>
    </w:lvl>
    <w:lvl w:ilvl="5" w:tentative="0">
      <w:start w:val="1"/>
      <w:numFmt w:val="lowerRoman"/>
      <w:lvlText w:val="%6."/>
      <w:lvlJc w:val="right"/>
      <w:pPr>
        <w:ind w:left="3350" w:hanging="420"/>
      </w:pPr>
    </w:lvl>
    <w:lvl w:ilvl="6" w:tentative="0">
      <w:start w:val="1"/>
      <w:numFmt w:val="decimal"/>
      <w:lvlText w:val="%7."/>
      <w:lvlJc w:val="left"/>
      <w:pPr>
        <w:ind w:left="3770" w:hanging="420"/>
      </w:pPr>
    </w:lvl>
    <w:lvl w:ilvl="7" w:tentative="0">
      <w:start w:val="1"/>
      <w:numFmt w:val="lowerLetter"/>
      <w:lvlText w:val="%8)"/>
      <w:lvlJc w:val="left"/>
      <w:pPr>
        <w:ind w:left="4190" w:hanging="420"/>
      </w:pPr>
    </w:lvl>
    <w:lvl w:ilvl="8" w:tentative="0">
      <w:start w:val="1"/>
      <w:numFmt w:val="lowerRoman"/>
      <w:lvlText w:val="%9."/>
      <w:lvlJc w:val="right"/>
      <w:pPr>
        <w:ind w:left="4610" w:hanging="420"/>
      </w:pPr>
    </w:lvl>
  </w:abstractNum>
  <w:abstractNum w:abstractNumId="4">
    <w:nsid w:val="435C6390"/>
    <w:multiLevelType w:val="multilevel"/>
    <w:tmpl w:val="435C6390"/>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6B882725"/>
    <w:multiLevelType w:val="singleLevel"/>
    <w:tmpl w:val="6B882725"/>
    <w:lvl w:ilvl="0" w:tentative="0">
      <w:start w:val="3"/>
      <w:numFmt w:val="chineseCounting"/>
      <w:suff w:val="nothing"/>
      <w:lvlText w:val="%1、"/>
      <w:lvlJc w:val="left"/>
      <w:pPr>
        <w:ind w:left="29"/>
      </w:pPr>
      <w:rPr>
        <w:rFonts w:hint="eastAsia"/>
        <w:lang w:val="en-US"/>
      </w:rPr>
    </w:lvl>
  </w:abstractNum>
  <w:abstractNum w:abstractNumId="6">
    <w:nsid w:val="7288FDD9"/>
    <w:multiLevelType w:val="singleLevel"/>
    <w:tmpl w:val="7288FDD9"/>
    <w:lvl w:ilvl="0" w:tentative="0">
      <w:start w:val="2"/>
      <w:numFmt w:val="chineseCounting"/>
      <w:suff w:val="nothing"/>
      <w:lvlText w:val="%1、"/>
      <w:lvlJc w:val="left"/>
      <w:rPr>
        <w:rFonts w:hint="eastAsia"/>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MjVlMTBiNTMwZjI0OTc5ZmQwYzczOGI4OWUwNzkifQ=="/>
  </w:docVars>
  <w:rsids>
    <w:rsidRoot w:val="00172A27"/>
    <w:rsid w:val="00172A27"/>
    <w:rsid w:val="001E687F"/>
    <w:rsid w:val="003741E5"/>
    <w:rsid w:val="00662AFA"/>
    <w:rsid w:val="00C01E77"/>
    <w:rsid w:val="00C15247"/>
    <w:rsid w:val="00CB201A"/>
    <w:rsid w:val="04245B63"/>
    <w:rsid w:val="06B63BBC"/>
    <w:rsid w:val="07F43A9E"/>
    <w:rsid w:val="09241F9B"/>
    <w:rsid w:val="148362C9"/>
    <w:rsid w:val="17566413"/>
    <w:rsid w:val="1DFE7FE4"/>
    <w:rsid w:val="216E3C93"/>
    <w:rsid w:val="223859DC"/>
    <w:rsid w:val="24977834"/>
    <w:rsid w:val="26DF4B91"/>
    <w:rsid w:val="273D2914"/>
    <w:rsid w:val="2A2034AE"/>
    <w:rsid w:val="2F176141"/>
    <w:rsid w:val="3518051D"/>
    <w:rsid w:val="3D3930F2"/>
    <w:rsid w:val="3DD22AE1"/>
    <w:rsid w:val="46CC1167"/>
    <w:rsid w:val="46D46CAF"/>
    <w:rsid w:val="48270D4B"/>
    <w:rsid w:val="48695285"/>
    <w:rsid w:val="493D0932"/>
    <w:rsid w:val="4B7C13AE"/>
    <w:rsid w:val="4C3A6B73"/>
    <w:rsid w:val="52F932E4"/>
    <w:rsid w:val="5A0766CF"/>
    <w:rsid w:val="5A6D17B7"/>
    <w:rsid w:val="5A755B7A"/>
    <w:rsid w:val="5EB55739"/>
    <w:rsid w:val="67803B7C"/>
    <w:rsid w:val="6796339F"/>
    <w:rsid w:val="6B144D07"/>
    <w:rsid w:val="6E015A83"/>
    <w:rsid w:val="6E4C2A0A"/>
    <w:rsid w:val="6F293FF7"/>
    <w:rsid w:val="70984B9E"/>
    <w:rsid w:val="761107C1"/>
    <w:rsid w:val="77884AB3"/>
    <w:rsid w:val="78E6015F"/>
    <w:rsid w:val="7CE00EED"/>
    <w:rsid w:val="7E517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7</Pages>
  <Words>2493</Words>
  <Characters>2547</Characters>
  <Lines>16</Lines>
  <Paragraphs>4</Paragraphs>
  <TotalTime>10</TotalTime>
  <ScaleCrop>false</ScaleCrop>
  <LinksUpToDate>false</LinksUpToDate>
  <CharactersWithSpaces>2549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2022-06-16T07:46:35Z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4BE63CE4A2BD4CFF98EC0B3C4C09BAC7</vt:lpwstr>
  </property>
</Properties>
</file>