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hint="eastAsia" w:ascii="方正黑体_GBK" w:eastAsia="方正黑体_GBK"/>
          <w:bCs/>
          <w:color w:val="auto"/>
          <w:kern w:val="0"/>
          <w:sz w:val="32"/>
          <w:szCs w:val="32"/>
        </w:rPr>
      </w:pPr>
      <w:r>
        <w:rPr>
          <w:rFonts w:hint="eastAsia" w:eastAsia="方正仿宋_GBK"/>
          <w:color w:val="auto"/>
          <w:sz w:val="32"/>
          <w:szCs w:val="32"/>
          <w:lang w:val="en-US" w:eastAsia="zh-CN"/>
        </w:rPr>
        <w:t xml:space="preserve">附件二 </w:t>
      </w:r>
      <w:r>
        <w:rPr>
          <w:rFonts w:hint="eastAsia" w:ascii="方正黑体_GBK" w:eastAsia="方正黑体_GBK"/>
          <w:bCs/>
          <w:color w:val="auto"/>
          <w:kern w:val="0"/>
          <w:sz w:val="32"/>
          <w:szCs w:val="32"/>
        </w:rPr>
        <w:t xml:space="preserve"> </w:t>
      </w:r>
    </w:p>
    <w:p>
      <w:pPr>
        <w:widowControl/>
        <w:shd w:val="clear" w:color="auto" w:fill="FFFFFF"/>
        <w:spacing w:line="560" w:lineRule="exact"/>
        <w:ind w:firstLine="627" w:firstLineChars="196"/>
        <w:rPr>
          <w:rFonts w:hint="eastAsia" w:ascii="方正黑体_GBK" w:eastAsia="方正黑体_GBK"/>
          <w:bCs/>
          <w:color w:val="auto"/>
          <w:kern w:val="0"/>
          <w:sz w:val="32"/>
          <w:szCs w:val="32"/>
        </w:rPr>
      </w:pPr>
      <w:r>
        <w:rPr>
          <w:rFonts w:hint="eastAsia" w:ascii="方正黑体_GBK" w:eastAsia="方正黑体_GBK"/>
          <w:bCs/>
          <w:color w:val="auto"/>
          <w:kern w:val="0"/>
          <w:sz w:val="32"/>
          <w:szCs w:val="32"/>
        </w:rPr>
        <w:t xml:space="preserve"> </w:t>
      </w:r>
    </w:p>
    <w:p>
      <w:pPr>
        <w:spacing w:line="600" w:lineRule="exact"/>
        <w:jc w:val="center"/>
        <w:rPr>
          <w:rFonts w:hint="eastAsia" w:ascii="方正小标宋简体" w:hAnsi="方正小标宋简体" w:eastAsia="方正小标宋简体" w:cs="方正小标宋简体"/>
          <w:bCs/>
          <w:color w:val="auto"/>
          <w:sz w:val="44"/>
          <w:szCs w:val="44"/>
        </w:rPr>
      </w:pPr>
      <w:bookmarkStart w:id="0" w:name="_GoBack"/>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bCs/>
          <w:color w:val="auto"/>
          <w:sz w:val="44"/>
          <w:szCs w:val="44"/>
        </w:rPr>
        <w:t>玉溪市红塔区金家边片区城市更新改造项目（一期）集体土地上房屋拆迁补偿</w:t>
      </w:r>
    </w:p>
    <w:p>
      <w:pPr>
        <w:spacing w:line="6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安置方案（</w:t>
      </w:r>
      <w:r>
        <w:rPr>
          <w:rFonts w:hint="eastAsia" w:ascii="方正小标宋简体" w:hAnsi="方正小标宋简体" w:eastAsia="方正小标宋简体" w:cs="方正小标宋简体"/>
          <w:bCs/>
          <w:color w:val="auto"/>
          <w:sz w:val="44"/>
          <w:szCs w:val="44"/>
          <w:lang w:eastAsia="zh-CN"/>
        </w:rPr>
        <w:t>征求意见稿</w:t>
      </w:r>
      <w:r>
        <w:rPr>
          <w:rFonts w:hint="eastAsia" w:ascii="方正小标宋简体" w:hAnsi="方正小标宋简体" w:eastAsia="方正小标宋简体" w:cs="方正小标宋简体"/>
          <w:bCs/>
          <w:color w:val="auto"/>
          <w:sz w:val="44"/>
          <w:szCs w:val="44"/>
        </w:rPr>
        <w:t>）》的说明</w:t>
      </w:r>
      <w:bookmarkEnd w:id="0"/>
    </w:p>
    <w:p>
      <w:pPr>
        <w:spacing w:line="560" w:lineRule="exact"/>
        <w:ind w:right="-153" w:rightChars="-73" w:firstLine="641"/>
        <w:rPr>
          <w:rFonts w:hint="eastAsia" w:ascii="仿宋_GB2312" w:eastAsia="仿宋_GB2312"/>
          <w:bCs/>
          <w:color w:val="auto"/>
          <w:kern w:val="0"/>
          <w:szCs w:val="21"/>
        </w:rPr>
      </w:pPr>
    </w:p>
    <w:p>
      <w:pPr>
        <w:spacing w:line="600" w:lineRule="exact"/>
        <w:ind w:firstLine="640" w:firstLineChars="200"/>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为深入贯彻落实省、市党委政府关于城市更新</w:t>
      </w:r>
      <w:r>
        <w:rPr>
          <w:rFonts w:hint="eastAsia" w:ascii="Times New Roman" w:hAnsi="Times New Roman" w:eastAsia="方正仿宋_GBK" w:cs="Times New Roman"/>
          <w:color w:val="auto"/>
          <w:sz w:val="32"/>
          <w:szCs w:val="32"/>
          <w:lang w:eastAsia="zh-CN"/>
        </w:rPr>
        <w:t>改造</w:t>
      </w:r>
      <w:r>
        <w:rPr>
          <w:rFonts w:hint="default" w:ascii="Times New Roman" w:hAnsi="Times New Roman" w:eastAsia="方正仿宋_GBK" w:cs="Times New Roman"/>
          <w:color w:val="auto"/>
          <w:sz w:val="32"/>
          <w:szCs w:val="32"/>
        </w:rPr>
        <w:t>决策部署，围绕玉溪市“一极两区”发展定位，不断优化城市发展布局，按照“统一规划、连片改造、整体配套”的要求，扎实推进以人为核心的新型城镇化，集约高效利用土地，完善城市功能，提升人居环境，玉溪市红塔区人民政府决定启动玉溪市红塔区金家边片区城市更新改造项目（一期）房屋拆迁工作。</w:t>
      </w:r>
      <w:r>
        <w:rPr>
          <w:rFonts w:hint="eastAsia" w:ascii="方正仿宋_GBK" w:hAnsi="方正仿宋_GBK" w:eastAsia="方正仿宋_GBK" w:cs="方正仿宋_GBK"/>
          <w:color w:val="auto"/>
          <w:sz w:val="32"/>
          <w:szCs w:val="32"/>
        </w:rPr>
        <w:t>于20</w:t>
      </w:r>
      <w:r>
        <w:rPr>
          <w:rFonts w:hint="eastAsia" w:ascii="方正仿宋_GBK" w:hAnsi="方正仿宋_GBK" w:eastAsia="方正仿宋_GBK" w:cs="方正仿宋_GBK"/>
          <w:color w:val="auto"/>
          <w:sz w:val="32"/>
          <w:szCs w:val="32"/>
          <w:lang w:val="en-US" w:eastAsia="zh-CN"/>
        </w:rPr>
        <w:t>21</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日发布了《</w:t>
      </w:r>
      <w:r>
        <w:rPr>
          <w:rFonts w:hint="eastAsia" w:ascii="方正仿宋_GBK" w:hAnsi="方正仿宋_GBK" w:eastAsia="方正仿宋_GBK" w:cs="方正仿宋_GBK"/>
          <w:color w:val="auto"/>
          <w:sz w:val="32"/>
          <w:szCs w:val="32"/>
          <w:lang w:eastAsia="zh-CN"/>
        </w:rPr>
        <w:t>玉</w:t>
      </w:r>
      <w:r>
        <w:rPr>
          <w:rFonts w:hint="eastAsia" w:ascii="方正仿宋_GBK" w:hAnsi="方正仿宋_GBK" w:eastAsia="方正仿宋_GBK" w:cs="方正仿宋_GBK"/>
          <w:color w:val="auto"/>
          <w:sz w:val="32"/>
          <w:szCs w:val="32"/>
        </w:rPr>
        <w:t>溪市红塔区人民政府关于启动</w:t>
      </w:r>
      <w:r>
        <w:rPr>
          <w:rFonts w:hint="eastAsia" w:ascii="方正仿宋_GBK" w:hAnsi="方正仿宋_GBK" w:eastAsia="方正仿宋_GBK" w:cs="方正仿宋_GBK"/>
          <w:color w:val="auto"/>
          <w:sz w:val="32"/>
          <w:szCs w:val="32"/>
          <w:lang w:eastAsia="zh-CN"/>
        </w:rPr>
        <w:t>玉溪市红塔区金家边片区城市更新改造项目（一期）房屋拆迁工作的通告</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default" w:ascii="Times New Roman" w:hAnsi="Times New Roman" w:eastAsia="方正仿宋_GBK" w:cs="Times New Roman"/>
          <w:color w:val="auto"/>
          <w:sz w:val="32"/>
          <w:szCs w:val="32"/>
        </w:rPr>
        <w:t>根据《中华人民共和国民法典》《中华人民共和国土地管理法》《中华人民共和国城乡规划法》等法律法规的规定，</w:t>
      </w:r>
      <w:r>
        <w:rPr>
          <w:rFonts w:hint="eastAsia" w:ascii="方正仿宋_GBK" w:hAnsi="方正仿宋_GBK" w:eastAsia="方正仿宋_GBK" w:cs="方正仿宋_GBK"/>
          <w:color w:val="auto"/>
          <w:sz w:val="32"/>
          <w:szCs w:val="32"/>
        </w:rPr>
        <w:t>拟</w:t>
      </w:r>
      <w:r>
        <w:rPr>
          <w:rFonts w:hint="eastAsia" w:ascii="Times New Roman" w:hAnsi="Times New Roman" w:eastAsia="方正仿宋_GBK" w:cs="Times New Roman"/>
          <w:color w:val="auto"/>
          <w:kern w:val="2"/>
          <w:sz w:val="32"/>
          <w:szCs w:val="32"/>
          <w:lang w:val="en-US" w:eastAsia="zh-CN" w:bidi="ar-SA"/>
        </w:rPr>
        <w:t>定了《玉溪市红塔区金家边片区城市更新改造项目（一期）集体土地上房屋拆迁补偿安置方案（征求意见稿）》（</w:t>
      </w:r>
      <w:r>
        <w:rPr>
          <w:rFonts w:hint="eastAsia" w:ascii="方正仿宋_GBK" w:hAnsi="方正仿宋_GBK" w:eastAsia="方正仿宋_GBK" w:cs="方正仿宋_GBK"/>
          <w:color w:val="auto"/>
          <w:sz w:val="32"/>
          <w:szCs w:val="32"/>
        </w:rPr>
        <w:t>以下简称《</w:t>
      </w:r>
      <w:r>
        <w:rPr>
          <w:rFonts w:hint="eastAsia" w:ascii="方正仿宋_GBK" w:hAnsi="方正仿宋_GBK" w:eastAsia="方正仿宋_GBK" w:cs="方正仿宋_GBK"/>
          <w:color w:val="auto"/>
          <w:sz w:val="32"/>
          <w:szCs w:val="32"/>
          <w:lang w:eastAsia="zh-CN"/>
        </w:rPr>
        <w:t>方案（</w:t>
      </w:r>
      <w:r>
        <w:rPr>
          <w:rFonts w:hint="eastAsia" w:ascii="方正仿宋_GBK" w:hAnsi="方正仿宋_GBK" w:eastAsia="方正仿宋_GBK" w:cs="方正仿宋_GBK"/>
          <w:color w:val="auto"/>
          <w:sz w:val="32"/>
          <w:szCs w:val="32"/>
        </w:rPr>
        <w:t>征求意见稿</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》）并予以公布征求意见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现将《方案（</w:t>
      </w:r>
      <w:r>
        <w:rPr>
          <w:rFonts w:hint="eastAsia" w:eastAsia="方正仿宋_GBK"/>
          <w:color w:val="auto"/>
          <w:sz w:val="32"/>
          <w:szCs w:val="32"/>
          <w:lang w:eastAsia="zh-CN"/>
        </w:rPr>
        <w:t>征求意见稿</w:t>
      </w:r>
      <w:r>
        <w:rPr>
          <w:rFonts w:hint="eastAsia" w:ascii="方正仿宋_GBK" w:hAnsi="方正仿宋_GBK" w:eastAsia="方正仿宋_GBK" w:cs="方正仿宋_GBK"/>
          <w:color w:val="auto"/>
          <w:sz w:val="32"/>
          <w:szCs w:val="32"/>
        </w:rPr>
        <w:t>）》有关情况作如下说明。</w:t>
      </w:r>
    </w:p>
    <w:p>
      <w:pPr>
        <w:spacing w:line="560" w:lineRule="exact"/>
        <w:ind w:right="-153" w:rightChars="-73" w:firstLine="641"/>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一、《方案（</w:t>
      </w:r>
      <w:r>
        <w:rPr>
          <w:rFonts w:hint="eastAsia" w:ascii="方正黑体_GBK" w:hAnsi="方正黑体_GBK" w:eastAsia="方正黑体_GBK" w:cs="方正黑体_GBK"/>
          <w:b w:val="0"/>
          <w:bCs/>
          <w:color w:val="auto"/>
          <w:sz w:val="32"/>
          <w:szCs w:val="32"/>
          <w:lang w:eastAsia="zh-CN"/>
        </w:rPr>
        <w:t>征求意见稿</w:t>
      </w:r>
      <w:r>
        <w:rPr>
          <w:rFonts w:hint="eastAsia" w:ascii="方正黑体_GBK" w:hAnsi="方正黑体_GBK" w:eastAsia="方正黑体_GBK" w:cs="方正黑体_GBK"/>
          <w:b w:val="0"/>
          <w:bCs/>
          <w:color w:val="auto"/>
          <w:sz w:val="32"/>
          <w:szCs w:val="32"/>
        </w:rPr>
        <w:t>）》的形成</w:t>
      </w:r>
    </w:p>
    <w:p>
      <w:pPr>
        <w:spacing w:line="560" w:lineRule="exact"/>
        <w:ind w:right="-153" w:rightChars="-73" w:firstLine="64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w:t>
      </w:r>
      <w:r>
        <w:rPr>
          <w:rFonts w:hint="eastAsia" w:eastAsia="方正仿宋_GBK"/>
          <w:color w:val="auto"/>
          <w:sz w:val="32"/>
          <w:szCs w:val="32"/>
          <w:lang w:eastAsia="zh-CN"/>
        </w:rPr>
        <w:t>征求意见稿</w:t>
      </w:r>
      <w:r>
        <w:rPr>
          <w:rFonts w:hint="eastAsia" w:ascii="方正仿宋_GBK" w:hAnsi="方正仿宋_GBK" w:eastAsia="方正仿宋_GBK" w:cs="方正仿宋_GBK"/>
          <w:color w:val="auto"/>
          <w:sz w:val="32"/>
          <w:szCs w:val="32"/>
        </w:rPr>
        <w:t>）》的形成经过拟定、论证、收集整理</w:t>
      </w:r>
      <w:r>
        <w:rPr>
          <w:rFonts w:hint="eastAsia" w:ascii="方正仿宋_GBK" w:hAnsi="方正仿宋_GBK" w:eastAsia="方正仿宋_GBK" w:cs="方正仿宋_GBK"/>
          <w:color w:val="auto"/>
          <w:sz w:val="32"/>
          <w:szCs w:val="32"/>
          <w:lang w:eastAsia="zh-CN"/>
        </w:rPr>
        <w:t>和</w:t>
      </w:r>
      <w:r>
        <w:rPr>
          <w:rFonts w:hint="eastAsia" w:ascii="方正仿宋_GBK" w:hAnsi="方正仿宋_GBK" w:eastAsia="方正仿宋_GBK" w:cs="方正仿宋_GBK"/>
          <w:color w:val="auto"/>
          <w:sz w:val="32"/>
          <w:szCs w:val="32"/>
        </w:rPr>
        <w:t>修改等阶段，充分听取了各方面的意见进行集体讨论，通过以上程序，保证了方案在制定过程中的合法性及公平性，最大限度的维护了被</w:t>
      </w:r>
      <w:r>
        <w:rPr>
          <w:rFonts w:hint="eastAsia" w:ascii="方正仿宋_GBK" w:hAnsi="方正仿宋_GBK" w:eastAsia="方正仿宋_GBK" w:cs="方正仿宋_GBK"/>
          <w:color w:val="auto"/>
          <w:sz w:val="32"/>
          <w:szCs w:val="32"/>
          <w:lang w:eastAsia="zh-CN"/>
        </w:rPr>
        <w:t>拆迁</w:t>
      </w:r>
      <w:r>
        <w:rPr>
          <w:rFonts w:hint="eastAsia" w:ascii="方正仿宋_GBK" w:hAnsi="方正仿宋_GBK" w:eastAsia="方正仿宋_GBK" w:cs="方正仿宋_GBK"/>
          <w:color w:val="auto"/>
          <w:sz w:val="32"/>
          <w:szCs w:val="32"/>
        </w:rPr>
        <w:t>人的合法权益。</w:t>
      </w:r>
    </w:p>
    <w:p>
      <w:pPr>
        <w:spacing w:line="560" w:lineRule="exact"/>
        <w:ind w:right="-153" w:rightChars="-73" w:firstLine="641"/>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二、制定《方案（</w:t>
      </w:r>
      <w:r>
        <w:rPr>
          <w:rFonts w:hint="eastAsia" w:ascii="方正黑体_GBK" w:hAnsi="方正黑体_GBK" w:eastAsia="方正黑体_GBK" w:cs="方正黑体_GBK"/>
          <w:b w:val="0"/>
          <w:bCs/>
          <w:color w:val="auto"/>
          <w:sz w:val="32"/>
          <w:szCs w:val="32"/>
          <w:lang w:eastAsia="zh-CN"/>
        </w:rPr>
        <w:t>征求意见稿</w:t>
      </w:r>
      <w:r>
        <w:rPr>
          <w:rFonts w:hint="eastAsia" w:ascii="方正黑体_GBK" w:hAnsi="方正黑体_GBK" w:eastAsia="方正黑体_GBK" w:cs="方正黑体_GBK"/>
          <w:b w:val="0"/>
          <w:bCs/>
          <w:color w:val="auto"/>
          <w:sz w:val="32"/>
          <w:szCs w:val="32"/>
        </w:rPr>
        <w:t>）》的原则</w:t>
      </w:r>
    </w:p>
    <w:p>
      <w:pPr>
        <w:widowControl/>
        <w:shd w:val="clear" w:color="auto" w:fill="FFFFFF"/>
        <w:spacing w:line="500" w:lineRule="exact"/>
        <w:ind w:firstLine="640" w:firstLineChars="200"/>
        <w:jc w:val="left"/>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（一）严格依照法律、法规的规定拟定</w:t>
      </w:r>
    </w:p>
    <w:p>
      <w:pPr>
        <w:widowControl/>
        <w:shd w:val="clear" w:color="auto" w:fill="FFFFFF"/>
        <w:spacing w:line="500" w:lineRule="exact"/>
        <w:ind w:firstLine="640"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方案</w:t>
      </w:r>
      <w:r>
        <w:rPr>
          <w:rFonts w:hint="eastAsia" w:ascii="方正仿宋_GBK" w:hAnsi="方正仿宋_GBK" w:eastAsia="方正仿宋_GBK" w:cs="方正仿宋_GBK"/>
          <w:color w:val="auto"/>
          <w:sz w:val="32"/>
          <w:szCs w:val="32"/>
          <w:lang w:eastAsia="zh-CN"/>
        </w:rPr>
        <w:t>（征求意见稿）》</w:t>
      </w:r>
      <w:r>
        <w:rPr>
          <w:rFonts w:hint="eastAsia" w:ascii="方正仿宋_GBK" w:hAnsi="方正仿宋_GBK" w:eastAsia="方正仿宋_GBK" w:cs="方正仿宋_GBK"/>
          <w:color w:val="auto"/>
          <w:sz w:val="32"/>
          <w:szCs w:val="32"/>
        </w:rPr>
        <w:t>的起草制订均严格按照</w:t>
      </w:r>
      <w:r>
        <w:rPr>
          <w:rFonts w:hint="default" w:ascii="Times New Roman" w:hAnsi="Times New Roman" w:eastAsia="方正仿宋_GBK" w:cs="Times New Roman"/>
          <w:color w:val="auto"/>
          <w:sz w:val="32"/>
          <w:szCs w:val="32"/>
        </w:rPr>
        <w:t>《中华人民共和国民法典》《中华人民共和国土地管理法》《中华人民共和国城乡规划法》</w:t>
      </w:r>
      <w:r>
        <w:rPr>
          <w:rFonts w:hint="eastAsia" w:ascii="方正仿宋_GBK" w:hAnsi="方正仿宋_GBK" w:eastAsia="方正仿宋_GBK" w:cs="方正仿宋_GBK"/>
          <w:color w:val="auto"/>
          <w:sz w:val="32"/>
          <w:szCs w:val="32"/>
        </w:rPr>
        <w:t>等规定拟定。</w:t>
      </w:r>
    </w:p>
    <w:p>
      <w:pPr>
        <w:widowControl/>
        <w:shd w:val="clear" w:color="auto" w:fill="FFFFFF"/>
        <w:spacing w:line="500" w:lineRule="exact"/>
        <w:ind w:firstLine="640" w:firstLineChars="200"/>
        <w:jc w:val="left"/>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（二）结合实际</w:t>
      </w:r>
    </w:p>
    <w:p>
      <w:pPr>
        <w:widowControl/>
        <w:shd w:val="clear" w:color="auto" w:fill="FFFFFF"/>
        <w:spacing w:line="540" w:lineRule="exact"/>
        <w:ind w:firstLine="630"/>
        <w:rPr>
          <w:rFonts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rPr>
        <w:t>本项目启动后对被</w:t>
      </w:r>
      <w:r>
        <w:rPr>
          <w:rFonts w:hint="eastAsia" w:ascii="方正仿宋_GBK" w:hAnsi="方正仿宋_GBK" w:eastAsia="方正仿宋_GBK" w:cs="方正仿宋_GBK"/>
          <w:color w:val="auto"/>
          <w:kern w:val="0"/>
          <w:sz w:val="32"/>
          <w:szCs w:val="32"/>
          <w:lang w:eastAsia="zh-CN"/>
        </w:rPr>
        <w:t>拆迁</w:t>
      </w:r>
      <w:r>
        <w:rPr>
          <w:rFonts w:hint="eastAsia" w:ascii="方正仿宋_GBK" w:hAnsi="方正仿宋_GBK" w:eastAsia="方正仿宋_GBK" w:cs="方正仿宋_GBK"/>
          <w:color w:val="auto"/>
          <w:kern w:val="0"/>
          <w:sz w:val="32"/>
          <w:szCs w:val="32"/>
        </w:rPr>
        <w:t>房屋的权属、用途、建筑面积、租赁等情况进行了调查，同时收集了红塔区境内其他项目</w:t>
      </w:r>
      <w:r>
        <w:rPr>
          <w:rFonts w:hint="eastAsia" w:ascii="方正仿宋_GBK" w:hAnsi="方正仿宋_GBK" w:eastAsia="方正仿宋_GBK" w:cs="方正仿宋_GBK"/>
          <w:color w:val="auto"/>
          <w:kern w:val="0"/>
          <w:sz w:val="32"/>
          <w:szCs w:val="32"/>
          <w:highlight w:val="none"/>
        </w:rPr>
        <w:t>的</w:t>
      </w:r>
      <w:r>
        <w:rPr>
          <w:rFonts w:hint="eastAsia" w:ascii="方正仿宋_GBK" w:hAnsi="方正仿宋_GBK" w:eastAsia="方正仿宋_GBK" w:cs="方正仿宋_GBK"/>
          <w:color w:val="auto"/>
          <w:kern w:val="0"/>
          <w:sz w:val="32"/>
          <w:szCs w:val="32"/>
          <w:highlight w:val="none"/>
          <w:lang w:eastAsia="zh-CN"/>
        </w:rPr>
        <w:t>拆迁</w:t>
      </w:r>
      <w:r>
        <w:rPr>
          <w:rFonts w:hint="eastAsia" w:ascii="方正仿宋_GBK" w:hAnsi="方正仿宋_GBK" w:eastAsia="方正仿宋_GBK" w:cs="方正仿宋_GBK"/>
          <w:color w:val="auto"/>
          <w:kern w:val="0"/>
          <w:sz w:val="32"/>
          <w:szCs w:val="32"/>
          <w:highlight w:val="none"/>
        </w:rPr>
        <w:t>补偿情况，在制定相关补偿标准时充分考虑本项目的实际情况并参照其他项目的补偿情况，保证补偿标准的拟定，更符合本项目的实际情况。</w:t>
      </w:r>
    </w:p>
    <w:p>
      <w:pPr>
        <w:widowControl/>
        <w:shd w:val="clear" w:color="auto" w:fill="FFFFFF"/>
        <w:spacing w:line="500" w:lineRule="exact"/>
        <w:ind w:firstLine="640" w:firstLineChars="200"/>
        <w:jc w:val="left"/>
        <w:rPr>
          <w:rFonts w:hint="eastAsia" w:ascii="方正楷体_GBK" w:hAnsi="方正楷体_GBK" w:eastAsia="方正楷体_GBK" w:cs="方正楷体_GBK"/>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rPr>
        <w:t>（三）补偿公平</w:t>
      </w:r>
    </w:p>
    <w:p>
      <w:pPr>
        <w:widowControl/>
        <w:shd w:val="clear" w:color="auto" w:fill="FFFFFF"/>
        <w:spacing w:line="540" w:lineRule="exact"/>
        <w:ind w:firstLine="640" w:firstLineChars="200"/>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highlight w:val="none"/>
        </w:rPr>
        <w:t>本《方案</w:t>
      </w:r>
      <w:r>
        <w:rPr>
          <w:rFonts w:hint="eastAsia" w:ascii="方正仿宋_GBK" w:hAnsi="方正仿宋_GBK" w:eastAsia="方正仿宋_GBK" w:cs="方正仿宋_GBK"/>
          <w:color w:val="auto"/>
          <w:kern w:val="0"/>
          <w:sz w:val="32"/>
          <w:szCs w:val="32"/>
          <w:highlight w:val="none"/>
          <w:lang w:eastAsia="zh-CN"/>
        </w:rPr>
        <w:t>（征求意见稿）</w:t>
      </w:r>
      <w:r>
        <w:rPr>
          <w:rFonts w:hint="eastAsia" w:ascii="方正仿宋_GBK" w:hAnsi="方正仿宋_GBK" w:eastAsia="方正仿宋_GBK" w:cs="方正仿宋_GBK"/>
          <w:color w:val="auto"/>
          <w:kern w:val="0"/>
          <w:sz w:val="32"/>
          <w:szCs w:val="32"/>
          <w:highlight w:val="none"/>
        </w:rPr>
        <w:t>》的奖励、临时安置补偿费、搬</w:t>
      </w:r>
      <w:r>
        <w:rPr>
          <w:rFonts w:hint="eastAsia" w:ascii="方正仿宋_GBK" w:hAnsi="方正仿宋_GBK" w:eastAsia="方正仿宋_GBK" w:cs="方正仿宋_GBK"/>
          <w:color w:val="auto"/>
          <w:kern w:val="0"/>
          <w:sz w:val="32"/>
          <w:szCs w:val="32"/>
          <w:highlight w:val="none"/>
          <w:lang w:eastAsia="zh-CN"/>
        </w:rPr>
        <w:t>家补偿</w:t>
      </w:r>
      <w:r>
        <w:rPr>
          <w:rFonts w:hint="eastAsia" w:ascii="方正仿宋_GBK" w:hAnsi="方正仿宋_GBK" w:eastAsia="方正仿宋_GBK" w:cs="方正仿宋_GBK"/>
          <w:color w:val="auto"/>
          <w:kern w:val="0"/>
          <w:sz w:val="32"/>
          <w:szCs w:val="32"/>
          <w:highlight w:val="none"/>
        </w:rPr>
        <w:t>费用、停产停业损失补偿费的补偿标准的制订均是通过对该片区进行市场价格调查后确定，房屋价值及房屋装修由</w:t>
      </w:r>
      <w:r>
        <w:rPr>
          <w:rFonts w:hint="eastAsia" w:ascii="方正仿宋_GBK" w:hAnsi="方正仿宋_GBK" w:eastAsia="方正仿宋_GBK" w:cs="方正仿宋_GBK"/>
          <w:color w:val="auto"/>
          <w:kern w:val="0"/>
          <w:sz w:val="32"/>
          <w:szCs w:val="32"/>
          <w:highlight w:val="none"/>
          <w:lang w:eastAsia="zh-CN"/>
        </w:rPr>
        <w:t>第三方中介</w:t>
      </w:r>
      <w:r>
        <w:rPr>
          <w:rFonts w:hint="eastAsia" w:ascii="方正仿宋_GBK" w:hAnsi="方正仿宋_GBK" w:eastAsia="方正仿宋_GBK" w:cs="方正仿宋_GBK"/>
          <w:color w:val="auto"/>
          <w:kern w:val="0"/>
          <w:sz w:val="32"/>
          <w:szCs w:val="32"/>
          <w:highlight w:val="none"/>
        </w:rPr>
        <w:t>评估公司进</w:t>
      </w:r>
      <w:r>
        <w:rPr>
          <w:rFonts w:hint="eastAsia" w:ascii="方正仿宋_GBK" w:hAnsi="方正仿宋_GBK" w:eastAsia="方正仿宋_GBK" w:cs="方正仿宋_GBK"/>
          <w:color w:val="auto"/>
          <w:kern w:val="0"/>
          <w:sz w:val="32"/>
          <w:szCs w:val="32"/>
        </w:rPr>
        <w:t>行评估，</w:t>
      </w:r>
      <w:r>
        <w:rPr>
          <w:rFonts w:hint="eastAsia" w:ascii="方正仿宋_GBK" w:hAnsi="方正仿宋_GBK" w:eastAsia="方正仿宋_GBK" w:cs="方正仿宋_GBK"/>
          <w:color w:val="auto"/>
          <w:kern w:val="0"/>
          <w:sz w:val="32"/>
          <w:szCs w:val="32"/>
          <w:lang w:val="en-US" w:eastAsia="zh-CN"/>
        </w:rPr>
        <w:t>保证</w:t>
      </w:r>
      <w:r>
        <w:rPr>
          <w:rFonts w:hint="eastAsia" w:ascii="方正仿宋_GBK" w:hAnsi="方正仿宋_GBK" w:eastAsia="方正仿宋_GBK" w:cs="方正仿宋_GBK"/>
          <w:color w:val="auto"/>
          <w:kern w:val="0"/>
          <w:sz w:val="32"/>
          <w:szCs w:val="32"/>
          <w:lang w:eastAsia="zh-CN"/>
        </w:rPr>
        <w:t>拆迁</w:t>
      </w:r>
      <w:r>
        <w:rPr>
          <w:rFonts w:hint="eastAsia" w:ascii="方正仿宋_GBK" w:hAnsi="方正仿宋_GBK" w:eastAsia="方正仿宋_GBK" w:cs="方正仿宋_GBK"/>
          <w:color w:val="auto"/>
          <w:kern w:val="0"/>
          <w:sz w:val="32"/>
          <w:szCs w:val="32"/>
        </w:rPr>
        <w:t>补偿、补助及奖励具有公平性和合理性。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52C0D"/>
    <w:rsid w:val="1A952C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2021-08-25T09:25:00Z</dcterms:created>
  <dc:creator>红塔区李棋街道办事处</dc:creator>
  <cp:lastModifiedBy>红塔区李棋街道办事处</cp:lastModifiedBy>
  <dcterms:modified xsi:type="dcterms:W3CDTF">2021-08-25T09:26:15Z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