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  <w:t>市发改委主任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  <w:lang w:eastAsia="zh-CN"/>
        </w:rPr>
        <w:t>王军</w:t>
      </w: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  <w:t>一行深入我区调研</w:t>
      </w:r>
    </w:p>
    <w:p>
      <w:pPr>
        <w:jc w:val="center"/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b/>
          <w:bCs/>
          <w:sz w:val="36"/>
          <w:szCs w:val="36"/>
        </w:rPr>
        <w:t>固定资产投资工作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午，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市发改委主任王军一行三人到红塔区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实地调研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建设项目和固定资产投资情况。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640" w:firstLineChars="20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当日，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王军主任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先后对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邦泰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.天誉、玉溪锦府.景明、玉溪锦府.春和、玉溪锦府.青云、玉溪市第三人民医院迁建建设及提质扩容、嘉年华（老五街）、新兴州城风貌保护和更新改造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等项目进行了实地调研，并现场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了解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进展和建设过程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中遇到的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困难和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问题。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both"/>
        <w:rPr>
          <w:rFonts w:hint="eastAsia" w:ascii="Arial" w:hAnsi="Arial" w:cs="Arial" w:eastAsia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Arial" w:hAnsi="Arial" w:cs="Arial" w:eastAsia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636770" cy="3477895"/>
            <wp:effectExtent l="0" t="0" r="11430" b="8255"/>
            <wp:docPr id="1" name="图片 1" descr="18350bb5032ff5be0710c237914d6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350bb5032ff5be0710c237914d6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调研中，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王军主任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要求，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红塔区要做好项目的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服务，及时解决影响项目投资建设的问题，抓好固定资产投资进度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统计上报工作，按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时间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节点力保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完成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定资产投资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计划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，为全市实现年度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投资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目标提供有力支撑。</w:t>
      </w:r>
    </w:p>
    <w:sectPr>
      <w:footerReference r:id="rId3" w:type="default"/>
      <w:pgSz w:w="11906" w:h="16838"/>
      <w:pgMar w:top="1440" w:right="1576" w:bottom="1213" w:left="163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1736F"/>
    <w:rsid w:val="14EF477A"/>
    <w:rsid w:val="15A9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2021-04-22T09:28:00Z</dcterms:created>
  <dc:creator>admin</dc:creator>
  <cp:lastModifiedBy>admin</cp:lastModifiedBy>
  <dcterms:modified xsi:type="dcterms:W3CDTF">2021-04-23T02:10:03Z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