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简体" w:hAnsi="方正小标宋简体" w:eastAsia="方正小标宋简体" w:cs="方正小标宋简体"/>
          <w:spacing w:val="6"/>
          <w:kern w:val="0"/>
          <w:sz w:val="40"/>
          <w:szCs w:val="40"/>
          <w:highlight w:val="none"/>
        </w:rPr>
      </w:pPr>
    </w:p>
    <w:p>
      <w:pPr>
        <w:spacing w:line="579" w:lineRule="exact"/>
        <w:jc w:val="center"/>
        <w:rPr>
          <w:rFonts w:ascii="方正小标宋简体" w:hAnsi="方正小标宋简体" w:eastAsia="方正小标宋简体" w:cs="方正小标宋简体"/>
          <w:spacing w:val="6"/>
          <w:kern w:val="0"/>
          <w:sz w:val="40"/>
          <w:szCs w:val="40"/>
          <w:highlight w:val="none"/>
        </w:rPr>
      </w:pPr>
    </w:p>
    <w:p>
      <w:pPr>
        <w:spacing w:line="579" w:lineRule="exact"/>
        <w:ind w:firstLine="0" w:firstLineChars="0"/>
        <w:jc w:val="center"/>
        <w:rPr>
          <w:rFonts w:hint="eastAsia" w:ascii="方正小标宋简体" w:hAnsi="Times New Roman" w:eastAsia="方正小标宋简体"/>
          <w:snapToGrid/>
          <w:spacing w:val="0"/>
          <w:kern w:val="30"/>
          <w:sz w:val="44"/>
          <w:szCs w:val="44"/>
          <w:highlight w:val="none"/>
          <w:lang w:val="en-US" w:eastAsia="zh-CN"/>
        </w:rPr>
      </w:pPr>
      <w:r>
        <w:rPr>
          <w:rFonts w:hint="eastAsia" w:ascii="方正小标宋简体" w:hAnsi="Times New Roman" w:eastAsia="方正小标宋简体"/>
          <w:snapToGrid/>
          <w:spacing w:val="0"/>
          <w:kern w:val="30"/>
          <w:sz w:val="44"/>
          <w:szCs w:val="44"/>
          <w:highlight w:val="none"/>
          <w:lang w:val="en-US" w:eastAsia="zh-CN"/>
        </w:rPr>
        <w:t>玉溪市红塔区卫生健康局新型冠状病毒</w:t>
      </w:r>
    </w:p>
    <w:p>
      <w:pPr>
        <w:spacing w:line="579" w:lineRule="exact"/>
        <w:jc w:val="center"/>
        <w:rPr>
          <w:rFonts w:ascii="方正小标宋简体" w:hAnsi="Arial Narrow" w:eastAsia="方正小标宋简体"/>
          <w:kern w:val="0"/>
          <w:sz w:val="40"/>
          <w:szCs w:val="40"/>
          <w:highlight w:val="none"/>
        </w:rPr>
      </w:pPr>
      <w:r>
        <w:rPr>
          <w:rFonts w:hint="eastAsia" w:ascii="方正小标宋简体" w:hAnsi="Times New Roman" w:eastAsia="方正小标宋简体"/>
          <w:snapToGrid/>
          <w:spacing w:val="0"/>
          <w:kern w:val="30"/>
          <w:sz w:val="44"/>
          <w:szCs w:val="44"/>
          <w:highlight w:val="none"/>
          <w:lang w:val="en-US" w:eastAsia="zh-CN"/>
        </w:rPr>
        <w:t>专项资金</w:t>
      </w:r>
      <w:r>
        <w:rPr>
          <w:rFonts w:hint="eastAsia" w:ascii="方正小标宋简体" w:hAnsi="Arial Narrow" w:eastAsia="方正小标宋简体"/>
          <w:kern w:val="0"/>
          <w:sz w:val="44"/>
          <w:szCs w:val="44"/>
          <w:highlight w:val="none"/>
        </w:rPr>
        <w:t>项目</w:t>
      </w:r>
    </w:p>
    <w:p>
      <w:pPr>
        <w:spacing w:line="579" w:lineRule="exact"/>
        <w:jc w:val="center"/>
        <w:rPr>
          <w:rFonts w:ascii="方正小标宋简体" w:hAnsi="方正小标宋简体" w:eastAsia="方正小标宋简体" w:cs="方正小标宋简体"/>
          <w:kern w:val="0"/>
          <w:sz w:val="36"/>
          <w:szCs w:val="36"/>
          <w:highlight w:val="none"/>
        </w:rPr>
      </w:pPr>
    </w:p>
    <w:p>
      <w:pPr>
        <w:jc w:val="center"/>
        <w:rPr>
          <w:rFonts w:ascii="方正小标宋简体" w:hAnsi="宋体" w:eastAsia="方正小标宋简体"/>
          <w:color w:val="000000" w:themeColor="text1"/>
          <w:kern w:val="2"/>
          <w:sz w:val="72"/>
          <w:szCs w:val="72"/>
          <w:highlight w:val="none"/>
          <w14:textFill>
            <w14:solidFill>
              <w14:schemeClr w14:val="tx1"/>
            </w14:solidFill>
          </w14:textFill>
        </w:rPr>
      </w:pPr>
      <w:r>
        <w:rPr>
          <w:rFonts w:hint="eastAsia" w:ascii="方正小标宋简体" w:hAnsi="宋体" w:eastAsia="方正小标宋简体"/>
          <w:color w:val="000000" w:themeColor="text1"/>
          <w:kern w:val="2"/>
          <w:sz w:val="72"/>
          <w:szCs w:val="72"/>
          <w:highlight w:val="none"/>
          <w14:textFill>
            <w14:solidFill>
              <w14:schemeClr w14:val="tx1"/>
            </w14:solidFill>
          </w14:textFill>
        </w:rPr>
        <w:t>绩效评价报告</w:t>
      </w:r>
    </w:p>
    <w:p>
      <w:pPr>
        <w:spacing w:line="590" w:lineRule="exact"/>
        <w:jc w:val="left"/>
        <w:rPr>
          <w:rFonts w:ascii="方正小标宋简体" w:hAnsi="宋体" w:eastAsia="方正小标宋简体"/>
          <w:color w:val="000000" w:themeColor="text1"/>
          <w:kern w:val="2"/>
          <w:sz w:val="44"/>
          <w:szCs w:val="44"/>
          <w:highlight w:val="none"/>
          <w14:textFill>
            <w14:solidFill>
              <w14:schemeClr w14:val="tx1"/>
            </w14:solidFill>
          </w14:textFill>
        </w:rPr>
      </w:pPr>
    </w:p>
    <w:p>
      <w:pPr>
        <w:spacing w:line="590" w:lineRule="exact"/>
        <w:jc w:val="left"/>
        <w:rPr>
          <w:rFonts w:ascii="方正小标宋简体" w:hAnsi="宋体" w:eastAsia="方正小标宋简体"/>
          <w:color w:val="000000" w:themeColor="text1"/>
          <w:kern w:val="2"/>
          <w:sz w:val="44"/>
          <w:szCs w:val="44"/>
          <w:highlight w:val="none"/>
          <w14:textFill>
            <w14:solidFill>
              <w14:schemeClr w14:val="tx1"/>
            </w14:solidFill>
          </w14:textFill>
        </w:rPr>
      </w:pPr>
    </w:p>
    <w:p>
      <w:pPr>
        <w:spacing w:line="590" w:lineRule="exact"/>
        <w:jc w:val="left"/>
        <w:rPr>
          <w:rFonts w:ascii="方正小标宋简体" w:hAnsi="宋体" w:eastAsia="方正小标宋简体"/>
          <w:color w:val="000000" w:themeColor="text1"/>
          <w:kern w:val="2"/>
          <w:sz w:val="44"/>
          <w:szCs w:val="44"/>
          <w:highlight w:val="none"/>
          <w14:textFill>
            <w14:solidFill>
              <w14:schemeClr w14:val="tx1"/>
            </w14:solidFill>
          </w14:textFill>
        </w:rPr>
      </w:pPr>
    </w:p>
    <w:p>
      <w:pPr>
        <w:adjustRightInd w:val="0"/>
        <w:spacing w:line="590" w:lineRule="exact"/>
        <w:rPr>
          <w:rFonts w:hint="default" w:ascii="黑体" w:hAnsi="宋体" w:eastAsia="黑体"/>
          <w:color w:val="000000" w:themeColor="text1"/>
          <w:kern w:val="2"/>
          <w:sz w:val="30"/>
          <w:szCs w:val="30"/>
          <w:highlight w:val="none"/>
          <w:lang w:val="en-US"/>
          <w14:textFill>
            <w14:solidFill>
              <w14:schemeClr w14:val="tx1"/>
            </w14:solidFill>
          </w14:textFill>
        </w:rPr>
      </w:pPr>
      <w:r>
        <w:rPr>
          <w:rFonts w:hint="eastAsia" w:ascii="黑体" w:hAnsi="宋体" w:eastAsia="黑体"/>
          <w:color w:val="000000" w:themeColor="text1"/>
          <w:kern w:val="2"/>
          <w:sz w:val="30"/>
          <w:szCs w:val="30"/>
          <w:highlight w:val="none"/>
          <w14:textFill>
            <w14:solidFill>
              <w14:schemeClr w14:val="tx1"/>
            </w14:solidFill>
          </w14:textFill>
        </w:rPr>
        <w:t>委托单位名称：</w:t>
      </w:r>
      <w:r>
        <w:rPr>
          <w:rFonts w:hint="eastAsia" w:ascii="黑体" w:hAnsi="宋体" w:eastAsia="黑体"/>
          <w:color w:val="000000"/>
          <w:spacing w:val="6"/>
          <w:sz w:val="30"/>
          <w:szCs w:val="30"/>
          <w:highlight w:val="none"/>
          <w:lang w:val="en-US" w:eastAsia="zh-CN"/>
        </w:rPr>
        <w:t>玉溪市红塔区财政局（章）</w:t>
      </w:r>
    </w:p>
    <w:p>
      <w:pPr>
        <w:adjustRightInd w:val="0"/>
        <w:spacing w:line="590" w:lineRule="exact"/>
        <w:rPr>
          <w:rFonts w:ascii="黑体" w:hAnsi="宋体" w:eastAsia="黑体"/>
          <w:color w:val="000000" w:themeColor="text1"/>
          <w:kern w:val="2"/>
          <w:sz w:val="30"/>
          <w:szCs w:val="30"/>
          <w:highlight w:val="none"/>
          <w14:textFill>
            <w14:solidFill>
              <w14:schemeClr w14:val="tx1"/>
            </w14:solidFill>
          </w14:textFill>
        </w:rPr>
      </w:pPr>
    </w:p>
    <w:p>
      <w:pPr>
        <w:adjustRightInd w:val="0"/>
        <w:spacing w:line="590" w:lineRule="exact"/>
        <w:rPr>
          <w:rFonts w:ascii="黑体" w:hAnsi="宋体" w:eastAsia="黑体"/>
          <w:color w:val="000000" w:themeColor="text1"/>
          <w:kern w:val="2"/>
          <w:sz w:val="30"/>
          <w:szCs w:val="30"/>
          <w:highlight w:val="none"/>
          <w14:textFill>
            <w14:solidFill>
              <w14:schemeClr w14:val="tx1"/>
            </w14:solidFill>
          </w14:textFill>
        </w:rPr>
      </w:pPr>
    </w:p>
    <w:p>
      <w:pPr>
        <w:spacing w:line="590" w:lineRule="exact"/>
        <w:ind w:left="2438" w:hanging="2286" w:hangingChars="726"/>
        <w:rPr>
          <w:rFonts w:eastAsia="黑体"/>
          <w:color w:val="000000" w:themeColor="text1"/>
          <w:kern w:val="2"/>
          <w:szCs w:val="30"/>
          <w:highlight w:val="none"/>
          <w14:textFill>
            <w14:solidFill>
              <w14:schemeClr w14:val="tx1"/>
            </w14:solidFill>
          </w14:textFill>
        </w:rPr>
      </w:pPr>
      <w:r>
        <w:rPr>
          <w:rFonts w:hint="eastAsia" w:ascii="黑体" w:hAnsi="黑体" w:eastAsia="黑体"/>
          <w:kern w:val="32"/>
          <w:sz w:val="30"/>
          <w:szCs w:val="30"/>
          <w:highlight w:val="none"/>
        </w:rPr>
        <w:t>评价机构：</w:t>
      </w:r>
      <w:r>
        <w:rPr>
          <w:rFonts w:hint="eastAsia" w:ascii="黑体" w:hAnsi="宋体" w:eastAsia="黑体"/>
          <w:color w:val="000000"/>
          <w:spacing w:val="6"/>
          <w:sz w:val="30"/>
          <w:szCs w:val="30"/>
          <w:highlight w:val="none"/>
          <w:lang w:val="en-US" w:eastAsia="zh-CN"/>
        </w:rPr>
        <w:t>华昆</w:t>
      </w:r>
      <w:r>
        <w:rPr>
          <w:rFonts w:hint="eastAsia" w:ascii="黑体" w:hAnsi="宋体" w:eastAsia="黑体"/>
          <w:color w:val="000000"/>
          <w:spacing w:val="6"/>
          <w:sz w:val="30"/>
          <w:szCs w:val="30"/>
          <w:highlight w:val="none"/>
        </w:rPr>
        <w:t>工程</w:t>
      </w:r>
      <w:r>
        <w:rPr>
          <w:rFonts w:hint="eastAsia" w:ascii="黑体" w:hAnsi="宋体" w:eastAsia="黑体"/>
          <w:color w:val="000000"/>
          <w:spacing w:val="6"/>
          <w:sz w:val="30"/>
          <w:szCs w:val="30"/>
          <w:highlight w:val="none"/>
          <w:lang w:val="en-US" w:eastAsia="zh-CN"/>
        </w:rPr>
        <w:t>管理</w:t>
      </w:r>
      <w:r>
        <w:rPr>
          <w:rFonts w:hint="eastAsia" w:ascii="黑体" w:hAnsi="宋体" w:eastAsia="黑体"/>
          <w:color w:val="000000"/>
          <w:spacing w:val="6"/>
          <w:sz w:val="30"/>
          <w:szCs w:val="30"/>
          <w:highlight w:val="none"/>
        </w:rPr>
        <w:t>咨询有限公司</w:t>
      </w:r>
      <w:r>
        <w:rPr>
          <w:rFonts w:hint="eastAsia" w:ascii="黑体" w:hAnsi="黑体" w:eastAsia="黑体"/>
          <w:kern w:val="32"/>
          <w:sz w:val="30"/>
          <w:szCs w:val="30"/>
          <w:highlight w:val="none"/>
        </w:rPr>
        <w:t>（章）</w:t>
      </w:r>
    </w:p>
    <w:p>
      <w:pPr>
        <w:spacing w:line="590" w:lineRule="exact"/>
        <w:rPr>
          <w:rFonts w:eastAsia="黑体"/>
          <w:color w:val="000000" w:themeColor="text1"/>
          <w:kern w:val="2"/>
          <w:szCs w:val="30"/>
          <w:highlight w:val="none"/>
          <w14:textFill>
            <w14:solidFill>
              <w14:schemeClr w14:val="tx1"/>
            </w14:solidFill>
          </w14:textFill>
        </w:rPr>
      </w:pPr>
    </w:p>
    <w:p>
      <w:pPr>
        <w:autoSpaceDE w:val="0"/>
        <w:autoSpaceDN w:val="0"/>
        <w:adjustRightInd w:val="0"/>
        <w:spacing w:line="590" w:lineRule="exact"/>
        <w:rPr>
          <w:rFonts w:ascii="黑体" w:hAnsi="黑体" w:eastAsia="黑体"/>
          <w:kern w:val="2"/>
          <w:szCs w:val="30"/>
          <w:highlight w:val="none"/>
        </w:rPr>
      </w:pPr>
      <w:r>
        <w:rPr>
          <w:rFonts w:hint="eastAsia" w:ascii="黑体" w:eastAsia="黑体" w:cs="黑体"/>
          <w:kern w:val="2"/>
          <w:szCs w:val="30"/>
          <w:highlight w:val="none"/>
          <w:lang w:val="zh-CN"/>
        </w:rPr>
        <w:t>项目评审起止时间</w:t>
      </w:r>
      <w:r>
        <w:rPr>
          <w:rFonts w:hint="eastAsia" w:ascii="黑体" w:hAnsi="黑体" w:eastAsia="黑体"/>
          <w:kern w:val="2"/>
          <w:szCs w:val="30"/>
          <w:highlight w:val="none"/>
        </w:rPr>
        <w:t>:2020</w:t>
      </w:r>
      <w:r>
        <w:rPr>
          <w:rFonts w:ascii="黑体" w:hAnsi="黑体" w:eastAsia="黑体"/>
          <w:kern w:val="2"/>
          <w:szCs w:val="30"/>
          <w:highlight w:val="none"/>
        </w:rPr>
        <w:t>年</w:t>
      </w:r>
      <w:r>
        <w:rPr>
          <w:rFonts w:hint="eastAsia" w:ascii="黑体" w:hAnsi="黑体" w:eastAsia="黑体"/>
          <w:kern w:val="2"/>
          <w:szCs w:val="30"/>
          <w:highlight w:val="none"/>
          <w:lang w:val="en-US" w:eastAsia="zh-CN"/>
        </w:rPr>
        <w:t>6</w:t>
      </w:r>
      <w:r>
        <w:rPr>
          <w:rFonts w:hint="eastAsia" w:ascii="黑体" w:hAnsi="黑体" w:eastAsia="黑体"/>
          <w:kern w:val="2"/>
          <w:szCs w:val="30"/>
          <w:highlight w:val="none"/>
        </w:rPr>
        <w:t>月至2020</w:t>
      </w:r>
      <w:r>
        <w:rPr>
          <w:rFonts w:ascii="黑体" w:hAnsi="黑体" w:eastAsia="黑体"/>
          <w:kern w:val="2"/>
          <w:szCs w:val="30"/>
          <w:highlight w:val="none"/>
        </w:rPr>
        <w:t>年</w:t>
      </w:r>
      <w:r>
        <w:rPr>
          <w:rFonts w:hint="eastAsia" w:ascii="黑体" w:hAnsi="黑体" w:eastAsia="黑体"/>
          <w:kern w:val="2"/>
          <w:szCs w:val="30"/>
          <w:highlight w:val="none"/>
          <w:lang w:val="en-US" w:eastAsia="zh-CN"/>
        </w:rPr>
        <w:t>8</w:t>
      </w:r>
      <w:r>
        <w:rPr>
          <w:rFonts w:ascii="黑体" w:hAnsi="黑体" w:eastAsia="黑体"/>
          <w:kern w:val="2"/>
          <w:szCs w:val="30"/>
          <w:highlight w:val="none"/>
        </w:rPr>
        <w:t>月</w:t>
      </w:r>
    </w:p>
    <w:p>
      <w:pPr>
        <w:autoSpaceDE w:val="0"/>
        <w:autoSpaceDN w:val="0"/>
        <w:adjustRightInd w:val="0"/>
        <w:spacing w:line="590" w:lineRule="exact"/>
        <w:rPr>
          <w:rFonts w:ascii="黑体" w:eastAsia="黑体" w:cs="黑体"/>
          <w:kern w:val="2"/>
          <w:szCs w:val="30"/>
          <w:highlight w:val="none"/>
        </w:rPr>
      </w:pPr>
      <w:r>
        <w:rPr>
          <w:rFonts w:hint="eastAsia" w:ascii="黑体" w:eastAsia="黑体" w:cs="黑体"/>
          <w:kern w:val="2"/>
          <w:szCs w:val="30"/>
          <w:highlight w:val="none"/>
          <w:lang w:val="zh-CN"/>
        </w:rPr>
        <w:t>评审报告出具时间:</w:t>
      </w:r>
      <w:r>
        <w:rPr>
          <w:rFonts w:hint="eastAsia" w:ascii="黑体" w:eastAsia="黑体" w:cs="黑体"/>
          <w:kern w:val="2"/>
          <w:szCs w:val="30"/>
          <w:highlight w:val="none"/>
        </w:rPr>
        <w:t>2020年</w:t>
      </w:r>
      <w:r>
        <w:rPr>
          <w:rFonts w:hint="eastAsia" w:ascii="黑体" w:eastAsia="黑体" w:cs="黑体"/>
          <w:kern w:val="2"/>
          <w:szCs w:val="30"/>
          <w:highlight w:val="none"/>
          <w:lang w:val="en-US" w:eastAsia="zh-CN"/>
        </w:rPr>
        <w:t>9</w:t>
      </w:r>
      <w:r>
        <w:rPr>
          <w:rFonts w:hint="eastAsia" w:ascii="黑体" w:eastAsia="黑体" w:cs="黑体"/>
          <w:kern w:val="2"/>
          <w:szCs w:val="30"/>
          <w:highlight w:val="none"/>
        </w:rPr>
        <w:t>月</w:t>
      </w:r>
      <w:r>
        <w:rPr>
          <w:rFonts w:hint="eastAsia" w:ascii="黑体" w:eastAsia="黑体" w:cs="黑体"/>
          <w:kern w:val="2"/>
          <w:szCs w:val="30"/>
          <w:highlight w:val="none"/>
          <w:lang w:val="en-US" w:eastAsia="zh-CN"/>
        </w:rPr>
        <w:t>3</w:t>
      </w:r>
      <w:r>
        <w:rPr>
          <w:rFonts w:hint="eastAsia" w:ascii="黑体" w:eastAsia="黑体" w:cs="黑体"/>
          <w:kern w:val="2"/>
          <w:szCs w:val="30"/>
          <w:highlight w:val="none"/>
        </w:rPr>
        <w:t>日</w:t>
      </w:r>
    </w:p>
    <w:p>
      <w:pPr>
        <w:spacing w:line="579" w:lineRule="exact"/>
        <w:jc w:val="center"/>
        <w:rPr>
          <w:rFonts w:ascii="方正小标宋简体" w:hAnsi="方正小标宋简体" w:eastAsia="方正小标宋简体" w:cs="方正小标宋简体"/>
          <w:kern w:val="0"/>
          <w:sz w:val="36"/>
          <w:szCs w:val="36"/>
          <w:highlight w:val="none"/>
        </w:rPr>
      </w:pPr>
    </w:p>
    <w:p>
      <w:pPr>
        <w:spacing w:line="579" w:lineRule="exact"/>
        <w:rPr>
          <w:rFonts w:ascii="方正小标宋简体" w:hAnsi="方正小标宋简体" w:eastAsia="方正小标宋简体" w:cs="方正小标宋简体"/>
          <w:kern w:val="0"/>
          <w:sz w:val="36"/>
          <w:szCs w:val="36"/>
          <w:highlight w:val="none"/>
        </w:rPr>
      </w:pPr>
    </w:p>
    <w:p>
      <w:pPr>
        <w:spacing w:line="579" w:lineRule="exact"/>
        <w:jc w:val="center"/>
        <w:rPr>
          <w:rFonts w:ascii="方正小标宋简体" w:hAnsi="方正小标宋简体" w:eastAsia="方正小标宋简体" w:cs="方正小标宋简体"/>
          <w:kern w:val="0"/>
          <w:sz w:val="36"/>
          <w:szCs w:val="36"/>
          <w:highlight w:val="none"/>
        </w:rPr>
      </w:pPr>
    </w:p>
    <w:p>
      <w:pPr>
        <w:jc w:val="center"/>
        <w:rPr>
          <w:rFonts w:ascii="宋体" w:hAnsi="宋体" w:eastAsia="宋体"/>
          <w:sz w:val="21"/>
          <w:highlight w:val="none"/>
        </w:rPr>
        <w:sectPr>
          <w:type w:val="oddPage"/>
          <w:pgSz w:w="11906" w:h="16838"/>
          <w:pgMar w:top="2098" w:right="1474" w:bottom="1985" w:left="1588" w:header="851" w:footer="1474" w:gutter="0"/>
          <w:pgNumType w:start="1"/>
          <w:cols w:space="425" w:num="1"/>
          <w:docGrid w:type="linesAndChars" w:linePitch="579" w:charSpace="3247"/>
        </w:sectPr>
      </w:pPr>
    </w:p>
    <w:sdt>
      <w:sdtPr>
        <w:rPr>
          <w:rFonts w:ascii="宋体" w:hAnsi="宋体" w:eastAsia="宋体" w:cs="Times New Roman"/>
          <w:kern w:val="30"/>
          <w:sz w:val="21"/>
          <w:szCs w:val="21"/>
          <w:highlight w:val="none"/>
          <w:lang w:val="en-US" w:eastAsia="zh-CN" w:bidi="ar-SA"/>
        </w:rPr>
        <w:id w:val="147470419"/>
        <w15:color w:val="DBDBDB"/>
        <w:docPartObj>
          <w:docPartGallery w:val="Table of Contents"/>
          <w:docPartUnique/>
        </w:docPartObj>
      </w:sdtPr>
      <w:sdtEndPr>
        <w:rPr>
          <w:rFonts w:hint="eastAsia" w:ascii="方正小标宋简体" w:hAnsi="Times New Roman" w:eastAsia="方正小标宋简体" w:cs="Times New Roman"/>
          <w:b/>
          <w:kern w:val="36"/>
          <w:sz w:val="24"/>
          <w:szCs w:val="24"/>
          <w:highlight w:val="none"/>
          <w:lang w:val="en-US" w:eastAsia="zh-CN" w:bidi="ar-SA"/>
        </w:rPr>
      </w:sdtEndPr>
      <w:sdtContent>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jc w:val="center"/>
            <w:textAlignment w:val="auto"/>
            <w:rPr>
              <w:rFonts w:hint="eastAsia" w:ascii="方正小标宋简体" w:hAnsi="Times New Roman" w:eastAsia="方正小标宋简体" w:cs="Times New Roman"/>
              <w:b/>
              <w:kern w:val="36"/>
              <w:sz w:val="24"/>
              <w:szCs w:val="24"/>
              <w:highlight w:val="none"/>
              <w:lang w:val="en-US" w:eastAsia="zh-CN" w:bidi="ar-SA"/>
            </w:rPr>
          </w:pPr>
          <w:r>
            <w:rPr>
              <w:rFonts w:hint="eastAsia" w:ascii="方正小标宋简体" w:hAnsi="方正小标宋简体" w:eastAsia="方正小标宋简体" w:cs="方正小标宋简体"/>
              <w:sz w:val="36"/>
              <w:szCs w:val="36"/>
              <w:highlight w:val="none"/>
            </w:rPr>
            <w:t>目</w:t>
          </w:r>
          <w:r>
            <w:rPr>
              <w:rFonts w:hint="eastAsia" w:ascii="方正小标宋简体" w:hAnsi="方正小标宋简体" w:eastAsia="方正小标宋简体" w:cs="方正小标宋简体"/>
              <w:sz w:val="36"/>
              <w:szCs w:val="36"/>
              <w:highlight w:val="none"/>
              <w:lang w:val="en-US" w:eastAsia="zh-CN"/>
            </w:rPr>
            <w:t xml:space="preserve"> </w:t>
          </w:r>
          <w:r>
            <w:rPr>
              <w:rFonts w:hint="eastAsia" w:ascii="方正小标宋简体" w:hAnsi="方正小标宋简体" w:eastAsia="方正小标宋简体" w:cs="方正小标宋简体"/>
              <w:sz w:val="36"/>
              <w:szCs w:val="36"/>
              <w:highlight w:val="none"/>
            </w:rPr>
            <w:t>录</w:t>
          </w:r>
          <w:r>
            <w:rPr>
              <w:rFonts w:hint="eastAsia" w:ascii="方正小标宋简体" w:eastAsia="方正小标宋简体"/>
              <w:kern w:val="36"/>
              <w:sz w:val="24"/>
              <w:szCs w:val="24"/>
              <w:highlight w:val="none"/>
            </w:rPr>
            <w:fldChar w:fldCharType="begin"/>
          </w:r>
          <w:r>
            <w:rPr>
              <w:rFonts w:hint="eastAsia" w:ascii="方正小标宋简体" w:eastAsia="方正小标宋简体"/>
              <w:kern w:val="36"/>
              <w:sz w:val="24"/>
              <w:szCs w:val="24"/>
              <w:highlight w:val="none"/>
            </w:rPr>
            <w:instrText xml:space="preserve">TOC \o "1-2" \h \u </w:instrText>
          </w:r>
          <w:r>
            <w:rPr>
              <w:rFonts w:hint="eastAsia" w:ascii="方正小标宋简体" w:eastAsia="方正小标宋简体"/>
              <w:kern w:val="36"/>
              <w:sz w:val="24"/>
              <w:szCs w:val="24"/>
              <w:highlight w:val="none"/>
            </w:rPr>
            <w:fldChar w:fldCharType="separate"/>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_Toc23662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一、绩效评价目的</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_Toc23662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1</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_Toc14051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二、基本情况</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_Toc14051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1</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_Toc19158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（一）项目概况</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_Toc19158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_Toc25272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（二）项目绩效目标设立情况</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_Toc25272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2</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_Toc18538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（三）项目资金安排及使用情况</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_Toc18538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2</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_Toc18791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（四）项目实施内容</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_Toc18791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2</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_Toc7448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（五）组织管理情况</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_Toc7448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4</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_Toc25379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三、 绩效评价组织情况</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_Toc25379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4</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_Toc14797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（一）绩效评价依据</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_Toc14797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5</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_Toc6108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（二）绩效评价工作程序</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_Toc6108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5</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_Toc30042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（三）绩效评价方法</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_Toc30042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7</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_Toc1392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（四）绩效评价指标体系（设计思路）</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_Toc1392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8</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_Toc22429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（五）绩效评价抽样情况</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_Toc22429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10</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_Toc17545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四、绩效评价结论</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_Toc17545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10</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_Toc19023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（一）绩效评价综合结论</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_Toc19023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10</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_Toc22895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（二）绩效目标实现情况</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_Toc22895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11</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_Toc28844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五、绩效评价情况分析</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_Toc28844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12</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_Toc11082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（一）决策情况分析</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_Toc11082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12</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_Toc20444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（二）过程情况分析</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_Toc20444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13</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_Toc9361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（三）产出情况分析</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_Toc9361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14</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_Toc24609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（四）效果情况分析</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_Toc24609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15</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_Toc32043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六、 主要经验及做法</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_Toc32043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16</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_Toc11451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七、存在的问题及原因分析</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_Toc11451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17</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_Toc19299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（一）预算执行率有待加强</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_Toc19299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17</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_Toc29504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八、相关建议</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_Toc29504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17</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_Toc11743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（一）完善绩效目标设置，加强绩效自评管理工作</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_Toc11743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17</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7"/>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highlight w:val="none"/>
              <w:lang w:val="en-US" w:eastAsia="zh-CN"/>
            </w:rPr>
          </w:pP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HYPERLINK \l _Toc28243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（二）强化事后监督，保障资金使用规范性。</w:t>
          </w:r>
          <w:r>
            <w:rPr>
              <w:rFonts w:hint="eastAsia" w:ascii="楷体" w:hAnsi="楷体" w:eastAsia="楷体" w:cs="Times New Roman"/>
              <w:sz w:val="24"/>
              <w:szCs w:val="24"/>
              <w:highlight w:val="none"/>
              <w:lang w:val="en-US" w:eastAsia="zh-CN"/>
            </w:rPr>
            <w:tab/>
          </w:r>
          <w:r>
            <w:rPr>
              <w:rFonts w:hint="eastAsia" w:ascii="楷体" w:hAnsi="楷体" w:eastAsia="楷体" w:cs="Times New Roman"/>
              <w:sz w:val="24"/>
              <w:szCs w:val="24"/>
              <w:highlight w:val="none"/>
              <w:lang w:val="en-US" w:eastAsia="zh-CN"/>
            </w:rPr>
            <w:fldChar w:fldCharType="begin"/>
          </w:r>
          <w:r>
            <w:rPr>
              <w:rFonts w:hint="eastAsia" w:ascii="楷体" w:hAnsi="楷体" w:eastAsia="楷体" w:cs="Times New Roman"/>
              <w:sz w:val="24"/>
              <w:szCs w:val="24"/>
              <w:highlight w:val="none"/>
              <w:lang w:val="en-US" w:eastAsia="zh-CN"/>
            </w:rPr>
            <w:instrText xml:space="preserve"> PAGEREF _Toc28243 </w:instrText>
          </w:r>
          <w:r>
            <w:rPr>
              <w:rFonts w:hint="eastAsia" w:ascii="楷体" w:hAnsi="楷体" w:eastAsia="楷体" w:cs="Times New Roman"/>
              <w:sz w:val="24"/>
              <w:szCs w:val="24"/>
              <w:highlight w:val="none"/>
              <w:lang w:val="en-US" w:eastAsia="zh-CN"/>
            </w:rPr>
            <w:fldChar w:fldCharType="separate"/>
          </w:r>
          <w:r>
            <w:rPr>
              <w:rFonts w:hint="eastAsia" w:ascii="楷体" w:hAnsi="楷体" w:eastAsia="楷体" w:cs="Times New Roman"/>
              <w:sz w:val="24"/>
              <w:szCs w:val="24"/>
              <w:highlight w:val="none"/>
              <w:lang w:val="en-US" w:eastAsia="zh-CN"/>
            </w:rPr>
            <w:t>18</w:t>
          </w:r>
          <w:r>
            <w:rPr>
              <w:rFonts w:hint="eastAsia" w:ascii="楷体" w:hAnsi="楷体" w:eastAsia="楷体" w:cs="Times New Roman"/>
              <w:sz w:val="24"/>
              <w:szCs w:val="24"/>
              <w:highlight w:val="none"/>
              <w:lang w:val="en-US" w:eastAsia="zh-CN"/>
            </w:rPr>
            <w:fldChar w:fldCharType="end"/>
          </w:r>
          <w:r>
            <w:rPr>
              <w:rFonts w:hint="eastAsia" w:ascii="楷体" w:hAnsi="楷体" w:eastAsia="楷体" w:cs="Times New Roman"/>
              <w:sz w:val="24"/>
              <w:szCs w:val="24"/>
              <w:highlight w:val="none"/>
              <w:lang w:val="en-US" w:eastAsia="zh-CN"/>
            </w:rPr>
            <w:fldChar w:fldCharType="end"/>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rFonts w:hint="eastAsia"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_Toc1843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九、绩效评价结果应用建议</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_Toc1843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18</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pStyle w:val="36"/>
            <w:keepNext w:val="0"/>
            <w:keepLines w:val="0"/>
            <w:pageBreakBefore w:val="0"/>
            <w:widowControl/>
            <w:tabs>
              <w:tab w:val="right" w:leader="dot" w:pos="8844"/>
            </w:tabs>
            <w:kinsoku/>
            <w:wordWrap/>
            <w:overflowPunct/>
            <w:topLinePunct w:val="0"/>
            <w:autoSpaceDE/>
            <w:autoSpaceDN/>
            <w:bidi w:val="0"/>
            <w:adjustRightInd/>
            <w:snapToGrid/>
            <w:spacing w:line="400" w:lineRule="exact"/>
            <w:textAlignment w:val="auto"/>
            <w:rPr>
              <w:highlight w:val="none"/>
            </w:rPr>
          </w:pP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HYPERLINK \l _Toc27725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十、其它需说明的问题</w:t>
          </w:r>
          <w:r>
            <w:rPr>
              <w:rFonts w:hint="eastAsia" w:ascii="黑体" w:hAnsi="黑体" w:eastAsia="黑体" w:cs="黑体"/>
              <w:b/>
              <w:sz w:val="24"/>
              <w:szCs w:val="24"/>
              <w:highlight w:val="none"/>
              <w:lang w:val="en-US" w:eastAsia="zh-CN"/>
            </w:rPr>
            <w:tab/>
          </w:r>
          <w:r>
            <w:rPr>
              <w:rFonts w:hint="eastAsia" w:ascii="黑体" w:hAnsi="黑体" w:eastAsia="黑体" w:cs="黑体"/>
              <w:b/>
              <w:sz w:val="24"/>
              <w:szCs w:val="24"/>
              <w:highlight w:val="none"/>
              <w:lang w:val="en-US" w:eastAsia="zh-CN"/>
            </w:rPr>
            <w:fldChar w:fldCharType="begin"/>
          </w:r>
          <w:r>
            <w:rPr>
              <w:rFonts w:hint="eastAsia" w:ascii="黑体" w:hAnsi="黑体" w:eastAsia="黑体" w:cs="黑体"/>
              <w:b/>
              <w:sz w:val="24"/>
              <w:szCs w:val="24"/>
              <w:highlight w:val="none"/>
              <w:lang w:val="en-US" w:eastAsia="zh-CN"/>
            </w:rPr>
            <w:instrText xml:space="preserve"> PAGEREF _Toc27725 </w:instrText>
          </w:r>
          <w:r>
            <w:rPr>
              <w:rFonts w:hint="eastAsia" w:ascii="黑体" w:hAnsi="黑体" w:eastAsia="黑体" w:cs="黑体"/>
              <w:b/>
              <w:sz w:val="24"/>
              <w:szCs w:val="24"/>
              <w:highlight w:val="none"/>
              <w:lang w:val="en-US" w:eastAsia="zh-CN"/>
            </w:rPr>
            <w:fldChar w:fldCharType="separate"/>
          </w:r>
          <w:r>
            <w:rPr>
              <w:rFonts w:hint="eastAsia" w:ascii="黑体" w:hAnsi="黑体" w:eastAsia="黑体" w:cs="黑体"/>
              <w:b/>
              <w:sz w:val="24"/>
              <w:szCs w:val="24"/>
              <w:highlight w:val="none"/>
              <w:lang w:val="en-US" w:eastAsia="zh-CN"/>
            </w:rPr>
            <w:t>19</w:t>
          </w:r>
          <w:r>
            <w:rPr>
              <w:rFonts w:hint="eastAsia" w:ascii="黑体" w:hAnsi="黑体" w:eastAsia="黑体" w:cs="黑体"/>
              <w:b/>
              <w:sz w:val="24"/>
              <w:szCs w:val="24"/>
              <w:highlight w:val="none"/>
              <w:lang w:val="en-US" w:eastAsia="zh-CN"/>
            </w:rPr>
            <w:fldChar w:fldCharType="end"/>
          </w:r>
          <w:r>
            <w:rPr>
              <w:rFonts w:hint="eastAsia" w:ascii="黑体" w:hAnsi="黑体" w:eastAsia="黑体" w:cs="黑体"/>
              <w:b/>
              <w:sz w:val="24"/>
              <w:szCs w:val="24"/>
              <w:highlight w:val="none"/>
              <w:lang w:val="en-US" w:eastAsia="zh-CN"/>
            </w:rPr>
            <w:fldChar w:fldCharType="end"/>
          </w:r>
        </w:p>
        <w:p>
          <w:pPr>
            <w:keepNext w:val="0"/>
            <w:keepLines w:val="0"/>
            <w:pageBreakBefore w:val="0"/>
            <w:widowControl/>
            <w:tabs>
              <w:tab w:val="right" w:leader="dot" w:pos="8844"/>
            </w:tabs>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简体" w:eastAsia="方正小标宋简体"/>
              <w:kern w:val="36"/>
              <w:sz w:val="24"/>
              <w:szCs w:val="24"/>
              <w:highlight w:val="none"/>
            </w:rPr>
            <w:sectPr>
              <w:footerReference r:id="rId3" w:type="default"/>
              <w:footerReference r:id="rId4" w:type="even"/>
              <w:pgSz w:w="11906" w:h="16838"/>
              <w:pgMar w:top="2098" w:right="1474" w:bottom="1985" w:left="1588" w:header="851" w:footer="1474" w:gutter="0"/>
              <w:pgNumType w:start="1"/>
              <w:cols w:space="425" w:num="1"/>
              <w:docGrid w:type="linesAndChars" w:linePitch="579" w:charSpace="3247"/>
            </w:sectPr>
          </w:pPr>
          <w:r>
            <w:rPr>
              <w:rFonts w:hint="eastAsia" w:ascii="方正小标宋简体" w:eastAsia="方正小标宋简体"/>
              <w:b/>
              <w:kern w:val="36"/>
              <w:sz w:val="24"/>
              <w:szCs w:val="24"/>
              <w:highlight w:val="none"/>
            </w:rPr>
            <w:fldChar w:fldCharType="end"/>
          </w:r>
        </w:p>
      </w:sdtContent>
    </w:sdt>
    <w:p>
      <w:pPr>
        <w:spacing w:line="590" w:lineRule="exact"/>
        <w:jc w:val="center"/>
        <w:rPr>
          <w:rFonts w:hint="default" w:ascii="方正小标宋简体" w:eastAsia="方正小标宋简体"/>
          <w:spacing w:val="6"/>
          <w:kern w:val="0"/>
          <w:sz w:val="36"/>
          <w:szCs w:val="36"/>
          <w:highlight w:val="none"/>
          <w:lang w:val="en-US" w:eastAsia="zh-CN"/>
        </w:rPr>
      </w:pPr>
      <w:r>
        <w:rPr>
          <w:rFonts w:hint="eastAsia" w:ascii="方正小标宋简体" w:eastAsia="方正小标宋简体"/>
          <w:spacing w:val="6"/>
          <w:kern w:val="0"/>
          <w:sz w:val="36"/>
          <w:szCs w:val="36"/>
          <w:highlight w:val="none"/>
          <w:lang w:val="en-US" w:eastAsia="zh-CN"/>
        </w:rPr>
        <w:t>玉溪市红塔区卫生健康局抗击新型冠状病毒疫情</w:t>
      </w:r>
    </w:p>
    <w:p>
      <w:pPr>
        <w:spacing w:line="590" w:lineRule="exact"/>
        <w:jc w:val="center"/>
        <w:rPr>
          <w:rFonts w:ascii="方正小标宋简体" w:eastAsia="方正小标宋简体"/>
          <w:spacing w:val="6"/>
          <w:kern w:val="0"/>
          <w:sz w:val="36"/>
          <w:szCs w:val="36"/>
          <w:highlight w:val="none"/>
        </w:rPr>
      </w:pPr>
      <w:r>
        <w:rPr>
          <w:rFonts w:hint="eastAsia" w:ascii="方正小标宋简体" w:eastAsia="方正小标宋简体"/>
          <w:spacing w:val="6"/>
          <w:kern w:val="0"/>
          <w:sz w:val="36"/>
          <w:szCs w:val="36"/>
          <w:highlight w:val="none"/>
          <w:lang w:val="en-US" w:eastAsia="zh-CN"/>
        </w:rPr>
        <w:t>专项资金项目</w:t>
      </w:r>
      <w:r>
        <w:rPr>
          <w:rFonts w:hint="eastAsia" w:ascii="方正小标宋简体" w:eastAsia="方正小标宋简体"/>
          <w:spacing w:val="6"/>
          <w:kern w:val="0"/>
          <w:sz w:val="36"/>
          <w:szCs w:val="36"/>
          <w:highlight w:val="none"/>
        </w:rPr>
        <w:t>绩效评价报告</w:t>
      </w:r>
    </w:p>
    <w:p>
      <w:pPr>
        <w:spacing w:line="579" w:lineRule="exact"/>
        <w:rPr>
          <w:rFonts w:hAnsi="仿宋"/>
          <w:kern w:val="36"/>
          <w:szCs w:val="30"/>
          <w:highlight w:val="none"/>
        </w:rPr>
      </w:pPr>
    </w:p>
    <w:p>
      <w:pPr>
        <w:spacing w:line="579" w:lineRule="exact"/>
        <w:ind w:firstLine="630" w:firstLineChars="200"/>
        <w:outlineLvl w:val="0"/>
        <w:rPr>
          <w:rFonts w:hint="eastAsia" w:ascii="黑体" w:hAnsi="黑体" w:eastAsia="黑体" w:cs="黑体"/>
          <w:color w:val="000000"/>
          <w:highlight w:val="none"/>
          <w:lang w:val="en-US" w:eastAsia="zh-CN"/>
        </w:rPr>
      </w:pPr>
      <w:bookmarkStart w:id="0" w:name="_Toc23662"/>
      <w:r>
        <w:rPr>
          <w:rFonts w:hint="eastAsia" w:ascii="黑体" w:hAnsi="黑体" w:eastAsia="黑体" w:cs="黑体"/>
          <w:color w:val="000000"/>
          <w:highlight w:val="none"/>
          <w:lang w:val="en-US" w:eastAsia="zh-CN"/>
        </w:rPr>
        <w:t>一、绩效评价目的</w:t>
      </w:r>
      <w:bookmarkEnd w:id="0"/>
    </w:p>
    <w:p>
      <w:pPr>
        <w:spacing w:line="579" w:lineRule="exact"/>
        <w:ind w:firstLine="600"/>
        <w:jc w:val="left"/>
        <w:rPr>
          <w:rFonts w:hint="eastAsia" w:hAnsi="仿宋"/>
          <w:szCs w:val="30"/>
          <w:highlight w:val="none"/>
          <w:lang w:val="en-US" w:eastAsia="zh-CN"/>
        </w:rPr>
      </w:pPr>
      <w:r>
        <w:rPr>
          <w:rFonts w:hint="eastAsia" w:hAnsi="仿宋"/>
          <w:szCs w:val="30"/>
          <w:highlight w:val="none"/>
          <w:lang w:val="en-US" w:eastAsia="zh-CN"/>
        </w:rPr>
        <w:t>根据红塔区财政局关于印发《关于做好区级预算绩效管理工作的通知》和《关于区本级开展2019年预算资金绩效自评的通知》玉红财监〔2020〕3号的要求，玉溪市红塔区财政局委托华昆工程管理咨询有限公司（以下简称“我公司”），于2020年6月至2020年8月对红塔区卫生健康局抗击新型冠状病毒疫情专项资金项目（以下简称“新冠专项资金”）进行绩效评价。</w:t>
      </w:r>
    </w:p>
    <w:p>
      <w:pPr>
        <w:spacing w:line="579" w:lineRule="exact"/>
        <w:ind w:firstLine="600"/>
        <w:jc w:val="left"/>
        <w:rPr>
          <w:rFonts w:hint="eastAsia" w:hAnsi="仿宋"/>
          <w:szCs w:val="30"/>
          <w:highlight w:val="none"/>
          <w:lang w:val="en-US" w:eastAsia="zh-CN"/>
        </w:rPr>
      </w:pPr>
      <w:r>
        <w:rPr>
          <w:rFonts w:hint="eastAsia" w:hAnsi="仿宋"/>
          <w:szCs w:val="30"/>
          <w:highlight w:val="none"/>
          <w:lang w:val="en-US" w:eastAsia="zh-CN"/>
        </w:rPr>
        <w:t>现将本次绩效评价情况报告如下：</w:t>
      </w:r>
    </w:p>
    <w:p>
      <w:pPr>
        <w:spacing w:line="579" w:lineRule="exact"/>
        <w:ind w:firstLine="630" w:firstLineChars="200"/>
        <w:outlineLvl w:val="0"/>
        <w:rPr>
          <w:rFonts w:ascii="黑体" w:hAnsi="黑体" w:eastAsia="黑体" w:cs="宋体"/>
          <w:szCs w:val="30"/>
          <w:highlight w:val="none"/>
        </w:rPr>
      </w:pPr>
      <w:bookmarkStart w:id="1" w:name="_Toc6111_WPSOffice_Level1"/>
      <w:bookmarkStart w:id="2" w:name="_Toc15120404"/>
      <w:bookmarkStart w:id="3" w:name="_Toc28966"/>
      <w:bookmarkStart w:id="4" w:name="_Toc14051"/>
      <w:r>
        <w:rPr>
          <w:rFonts w:hint="eastAsia" w:ascii="黑体" w:hAnsi="黑体" w:eastAsia="黑体" w:cs="宋体"/>
          <w:szCs w:val="30"/>
          <w:highlight w:val="none"/>
          <w:lang w:val="en-US" w:eastAsia="zh-CN"/>
        </w:rPr>
        <w:t>二</w:t>
      </w:r>
      <w:r>
        <w:rPr>
          <w:rFonts w:hint="eastAsia" w:ascii="黑体" w:hAnsi="黑体" w:eastAsia="黑体" w:cs="宋体"/>
          <w:szCs w:val="30"/>
          <w:highlight w:val="none"/>
        </w:rPr>
        <w:t>、</w:t>
      </w:r>
      <w:bookmarkEnd w:id="1"/>
      <w:bookmarkEnd w:id="2"/>
      <w:r>
        <w:rPr>
          <w:rFonts w:hint="eastAsia" w:ascii="黑体" w:hAnsi="黑体" w:eastAsia="黑体" w:cs="宋体"/>
          <w:szCs w:val="30"/>
          <w:highlight w:val="none"/>
        </w:rPr>
        <w:t>基本情况</w:t>
      </w:r>
      <w:bookmarkEnd w:id="3"/>
      <w:bookmarkEnd w:id="4"/>
    </w:p>
    <w:p>
      <w:pPr>
        <w:spacing w:line="579" w:lineRule="exact"/>
        <w:ind w:firstLine="630" w:firstLineChars="200"/>
        <w:outlineLvl w:val="1"/>
        <w:rPr>
          <w:rFonts w:ascii="楷体" w:hAnsi="楷体" w:eastAsia="楷体"/>
          <w:szCs w:val="30"/>
          <w:highlight w:val="none"/>
        </w:rPr>
      </w:pPr>
      <w:bookmarkStart w:id="5" w:name="_Toc19158"/>
      <w:bookmarkStart w:id="6" w:name="_Toc23578"/>
      <w:bookmarkStart w:id="7" w:name="_Toc15120405"/>
      <w:bookmarkStart w:id="8" w:name="_Toc3964_WPSOffice_Level2"/>
      <w:r>
        <w:rPr>
          <w:rFonts w:hint="eastAsia" w:ascii="楷体" w:hAnsi="楷体" w:eastAsia="楷体"/>
          <w:szCs w:val="30"/>
          <w:highlight w:val="none"/>
        </w:rPr>
        <w:t>（一）项目概况</w:t>
      </w:r>
      <w:bookmarkEnd w:id="5"/>
      <w:bookmarkEnd w:id="6"/>
    </w:p>
    <w:bookmarkEnd w:id="7"/>
    <w:bookmarkEnd w:id="8"/>
    <w:p>
      <w:pPr>
        <w:spacing w:line="579" w:lineRule="exact"/>
        <w:ind w:firstLine="600"/>
        <w:jc w:val="left"/>
        <w:rPr>
          <w:rFonts w:hint="default" w:hAnsi="仿宋"/>
          <w:sz w:val="32"/>
          <w:szCs w:val="32"/>
          <w:highlight w:val="none"/>
          <w:lang w:val="en-US" w:eastAsia="zh-CN"/>
        </w:rPr>
      </w:pPr>
      <w:bookmarkStart w:id="9" w:name="_Toc480552559"/>
      <w:bookmarkStart w:id="10" w:name="_Toc493346280"/>
      <w:bookmarkStart w:id="11" w:name="_Toc479318437"/>
      <w:bookmarkStart w:id="12" w:name="_Toc15136055"/>
      <w:bookmarkStart w:id="13" w:name="_Toc15914828"/>
      <w:bookmarkStart w:id="14" w:name="_Toc19098"/>
      <w:bookmarkStart w:id="15" w:name="_Toc15120408"/>
      <w:bookmarkStart w:id="16" w:name="_Toc10804_WPSOffice_Level2"/>
      <w:r>
        <w:rPr>
          <w:rFonts w:hint="eastAsia" w:hAnsi="仿宋"/>
          <w:szCs w:val="30"/>
          <w:highlight w:val="none"/>
          <w:lang w:val="en-US" w:eastAsia="zh-CN"/>
        </w:rPr>
        <w:t>为科学防范和有效应对全球、全国性的新型冠状病毒感染、传播，加之我区可能发生的新型冠状病毒感染的肺炎疫情输入及区内发现散发病例时的应急处置工作，预防、救治疑似患者和新冠患者，切实保护人民群众身体健康，维护经济发展和社会稳定。</w:t>
      </w:r>
    </w:p>
    <w:bookmarkEnd w:id="9"/>
    <w:bookmarkEnd w:id="10"/>
    <w:bookmarkEnd w:id="11"/>
    <w:bookmarkEnd w:id="12"/>
    <w:bookmarkEnd w:id="13"/>
    <w:p>
      <w:pPr>
        <w:spacing w:line="579" w:lineRule="exact"/>
        <w:ind w:firstLine="630" w:firstLineChars="200"/>
        <w:outlineLvl w:val="1"/>
        <w:rPr>
          <w:rFonts w:ascii="仿宋_GB2312" w:eastAsia="仿宋_GB2312"/>
          <w:spacing w:val="6"/>
          <w:sz w:val="30"/>
          <w:szCs w:val="30"/>
          <w:highlight w:val="none"/>
        </w:rPr>
      </w:pPr>
      <w:bookmarkStart w:id="17" w:name="_Toc15164"/>
      <w:r>
        <w:rPr>
          <w:rFonts w:hint="eastAsia" w:hAnsi="仿宋"/>
          <w:szCs w:val="30"/>
          <w:highlight w:val="none"/>
          <w:lang w:val="en-US" w:eastAsia="zh-CN"/>
        </w:rPr>
        <w:t>2020</w:t>
      </w:r>
      <w:r>
        <w:rPr>
          <w:rFonts w:hint="eastAsia" w:hAnsi="仿宋"/>
          <w:szCs w:val="30"/>
          <w:highlight w:val="none"/>
        </w:rPr>
        <w:t>年，</w:t>
      </w:r>
      <w:r>
        <w:rPr>
          <w:rFonts w:hint="eastAsia" w:hAnsi="仿宋"/>
          <w:szCs w:val="30"/>
          <w:highlight w:val="none"/>
          <w:lang w:val="en-US" w:eastAsia="zh-CN"/>
        </w:rPr>
        <w:t>根据《玉溪市卫生健康委员会关于印发新型冠状病毒防控专项工作方案》玉卫健发[2020]2号、《红塔区突发公共卫生事件应急预案》文件，红塔区卫生健康局结合实际制定了《红塔区新型冠状病毒感染肺炎防控专项工作方案》，区卫生健康局在区政府领导下成立新型冠状病毒防控领导小组，方案要求严格落实防控责任、保持防控工作公开透明、严肃工作纪律</w:t>
      </w:r>
      <w:r>
        <w:rPr>
          <w:rFonts w:hint="default" w:hAnsi="仿宋"/>
          <w:szCs w:val="30"/>
          <w:highlight w:val="none"/>
          <w:lang w:val="en-US" w:eastAsia="zh-CN"/>
        </w:rPr>
        <w:t>。</w:t>
      </w:r>
      <w:bookmarkEnd w:id="17"/>
    </w:p>
    <w:p>
      <w:pPr>
        <w:spacing w:line="579" w:lineRule="exact"/>
        <w:ind w:firstLine="630" w:firstLineChars="200"/>
        <w:outlineLvl w:val="1"/>
        <w:rPr>
          <w:rFonts w:hint="default" w:ascii="楷体" w:hAnsi="楷体" w:eastAsia="楷体"/>
          <w:szCs w:val="30"/>
          <w:highlight w:val="none"/>
          <w:lang w:val="en-US" w:eastAsia="zh-CN"/>
        </w:rPr>
      </w:pPr>
      <w:bookmarkStart w:id="18" w:name="_Toc25272"/>
      <w:r>
        <w:rPr>
          <w:rFonts w:hint="eastAsia" w:ascii="楷体" w:hAnsi="楷体" w:eastAsia="楷体"/>
          <w:szCs w:val="30"/>
          <w:highlight w:val="none"/>
        </w:rPr>
        <w:t>（二）</w:t>
      </w:r>
      <w:r>
        <w:rPr>
          <w:rFonts w:hint="eastAsia" w:ascii="楷体" w:hAnsi="楷体" w:eastAsia="楷体"/>
          <w:szCs w:val="30"/>
          <w:highlight w:val="none"/>
          <w:lang w:val="en-US" w:eastAsia="zh-CN"/>
        </w:rPr>
        <w:t>项目</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14"/>
      <w:bookmarkEnd w:id="18"/>
    </w:p>
    <w:p>
      <w:pPr>
        <w:spacing w:line="579" w:lineRule="exact"/>
        <w:ind w:firstLine="630" w:firstLineChars="200"/>
        <w:outlineLvl w:val="1"/>
        <w:rPr>
          <w:rFonts w:hint="eastAsia" w:hAnsi="仿宋"/>
          <w:szCs w:val="30"/>
          <w:highlight w:val="none"/>
          <w:lang w:val="en-US" w:eastAsia="zh-CN"/>
        </w:rPr>
      </w:pPr>
      <w:bookmarkStart w:id="19" w:name="_Toc18922"/>
      <w:bookmarkStart w:id="20" w:name="_Toc28197"/>
      <w:r>
        <w:rPr>
          <w:rFonts w:hint="eastAsia" w:hAnsi="仿宋"/>
          <w:szCs w:val="30"/>
          <w:highlight w:val="none"/>
          <w:lang w:val="en-US" w:eastAsia="zh-CN"/>
        </w:rPr>
        <w:t>1.预算批复（申报）绩效目标和绩效指标情况</w:t>
      </w:r>
      <w:bookmarkEnd w:id="19"/>
    </w:p>
    <w:p>
      <w:pPr>
        <w:spacing w:line="579" w:lineRule="exact"/>
        <w:ind w:firstLine="630" w:firstLineChars="200"/>
        <w:outlineLvl w:val="1"/>
        <w:rPr>
          <w:rFonts w:hint="eastAsia" w:hAnsi="仿宋"/>
          <w:szCs w:val="30"/>
          <w:highlight w:val="none"/>
          <w:lang w:val="en-US" w:eastAsia="zh-CN"/>
        </w:rPr>
      </w:pPr>
      <w:bookmarkStart w:id="21" w:name="_Toc25684"/>
      <w:r>
        <w:rPr>
          <w:rFonts w:hint="eastAsia" w:hAnsi="仿宋"/>
          <w:szCs w:val="30"/>
          <w:highlight w:val="none"/>
          <w:lang w:val="en-US" w:eastAsia="zh-CN"/>
        </w:rPr>
        <w:t>玉溪市红塔区卫生健康局新型冠状病毒专项资金截至评价日未收到项目相关绩效目标和绩效指标情况表。</w:t>
      </w:r>
      <w:bookmarkEnd w:id="21"/>
    </w:p>
    <w:p>
      <w:pPr>
        <w:spacing w:line="579" w:lineRule="exact"/>
        <w:ind w:firstLine="630" w:firstLineChars="200"/>
        <w:outlineLvl w:val="1"/>
        <w:rPr>
          <w:rFonts w:hint="eastAsia" w:hAnsi="仿宋"/>
          <w:szCs w:val="30"/>
          <w:highlight w:val="none"/>
          <w:lang w:val="en-US" w:eastAsia="zh-CN"/>
        </w:rPr>
      </w:pPr>
      <w:bookmarkStart w:id="22" w:name="_Toc10824"/>
      <w:r>
        <w:rPr>
          <w:rFonts w:hint="eastAsia" w:hAnsi="仿宋"/>
          <w:szCs w:val="30"/>
          <w:highlight w:val="none"/>
          <w:lang w:val="en-US" w:eastAsia="zh-CN"/>
        </w:rPr>
        <w:t>2.绩效评价调整后的绩效目标和绩效指标情况</w:t>
      </w:r>
      <w:bookmarkEnd w:id="22"/>
    </w:p>
    <w:p>
      <w:pPr>
        <w:spacing w:line="579" w:lineRule="exact"/>
        <w:ind w:firstLine="630" w:firstLineChars="200"/>
        <w:outlineLvl w:val="1"/>
        <w:rPr>
          <w:rFonts w:hint="eastAsia" w:hAnsi="仿宋"/>
          <w:spacing w:val="6"/>
          <w:sz w:val="32"/>
          <w:szCs w:val="32"/>
          <w:highlight w:val="none"/>
          <w:lang w:val="en-US" w:eastAsia="zh-CN"/>
        </w:rPr>
      </w:pPr>
      <w:bookmarkStart w:id="23" w:name="_Toc18758"/>
      <w:r>
        <w:rPr>
          <w:rFonts w:hint="eastAsia" w:hAnsi="仿宋"/>
          <w:szCs w:val="30"/>
          <w:highlight w:val="none"/>
          <w:lang w:val="en-US" w:eastAsia="zh-CN"/>
        </w:rPr>
        <w:t>根据项目主管部门及实施单位职能职责，结合预算绩效目标、绩效指标及玉溪市红塔区卫生健康局新型冠状病毒专项资金实际使用用途，为客观反映项目产出及效果情况，对该项目绩效目标及指标进行了重新梳理、分析，绩效评价调整后的绩效目标和考核指标详见（附件1：玉溪市红塔区卫生健康局新型冠状病毒专项资金绩效指标体系表）。</w:t>
      </w:r>
      <w:bookmarkEnd w:id="23"/>
    </w:p>
    <w:p>
      <w:pPr>
        <w:spacing w:line="579" w:lineRule="exact"/>
        <w:ind w:firstLine="630" w:firstLineChars="200"/>
        <w:outlineLvl w:val="1"/>
        <w:rPr>
          <w:rFonts w:hint="default" w:eastAsia="楷体"/>
          <w:color w:val="000000"/>
          <w:highlight w:val="none"/>
          <w:lang w:val="en-US" w:eastAsia="zh-CN"/>
        </w:rPr>
      </w:pPr>
      <w:bookmarkStart w:id="24" w:name="_Toc18538"/>
      <w:r>
        <w:rPr>
          <w:rFonts w:hint="eastAsia" w:ascii="楷体" w:hAnsi="楷体" w:eastAsia="楷体" w:cs="楷体"/>
          <w:b w:val="0"/>
          <w:bCs w:val="0"/>
          <w:color w:val="000000"/>
          <w:highlight w:val="none"/>
          <w:lang w:eastAsia="zh-CN"/>
        </w:rPr>
        <w:t>（</w:t>
      </w:r>
      <w:r>
        <w:rPr>
          <w:rFonts w:hint="eastAsia" w:ascii="楷体" w:hAnsi="楷体" w:eastAsia="楷体" w:cs="楷体"/>
          <w:b w:val="0"/>
          <w:bCs w:val="0"/>
          <w:color w:val="000000"/>
          <w:highlight w:val="none"/>
          <w:lang w:val="en-US" w:eastAsia="zh-CN"/>
        </w:rPr>
        <w:t>三</w:t>
      </w:r>
      <w:r>
        <w:rPr>
          <w:rFonts w:hint="eastAsia" w:ascii="楷体" w:hAnsi="楷体" w:eastAsia="楷体" w:cs="楷体"/>
          <w:b w:val="0"/>
          <w:bCs w:val="0"/>
          <w:color w:val="000000"/>
          <w:highlight w:val="none"/>
          <w:lang w:eastAsia="zh-CN"/>
        </w:rPr>
        <w:t>）</w:t>
      </w:r>
      <w:r>
        <w:rPr>
          <w:rFonts w:hint="eastAsia" w:ascii="楷体" w:hAnsi="楷体" w:eastAsia="楷体" w:cs="楷体"/>
          <w:b w:val="0"/>
          <w:bCs w:val="0"/>
          <w:color w:val="000000"/>
          <w:highlight w:val="none"/>
          <w:lang w:val="en-US" w:eastAsia="zh-CN"/>
        </w:rPr>
        <w:t>项目</w:t>
      </w:r>
      <w:r>
        <w:rPr>
          <w:rFonts w:hint="eastAsia" w:ascii="楷体" w:hAnsi="楷体" w:eastAsia="楷体" w:cs="楷体"/>
          <w:b w:val="0"/>
          <w:bCs w:val="0"/>
          <w:color w:val="000000"/>
          <w:highlight w:val="none"/>
        </w:rPr>
        <w:t>资金</w:t>
      </w:r>
      <w:r>
        <w:rPr>
          <w:rFonts w:hint="eastAsia" w:ascii="楷体" w:hAnsi="楷体" w:eastAsia="楷体" w:cs="楷体"/>
          <w:b w:val="0"/>
          <w:bCs w:val="0"/>
          <w:color w:val="000000"/>
          <w:highlight w:val="none"/>
          <w:lang w:val="en-US" w:eastAsia="zh-CN"/>
        </w:rPr>
        <w:t>安排及使用情况</w:t>
      </w:r>
      <w:bookmarkEnd w:id="20"/>
      <w:bookmarkEnd w:id="24"/>
    </w:p>
    <w:p>
      <w:pPr>
        <w:spacing w:line="579" w:lineRule="exact"/>
        <w:ind w:firstLine="670" w:firstLineChars="200"/>
        <w:outlineLvl w:val="1"/>
        <w:rPr>
          <w:rFonts w:hint="eastAsia" w:ascii="仿宋" w:hAnsi="仿宋" w:eastAsia="仿宋" w:cs="仿宋"/>
          <w:sz w:val="30"/>
          <w:szCs w:val="30"/>
          <w:highlight w:val="none"/>
          <w:lang w:val="en-US" w:eastAsia="zh-CN"/>
        </w:rPr>
      </w:pPr>
      <w:bookmarkStart w:id="25" w:name="_Toc27290"/>
      <w:bookmarkStart w:id="26" w:name="_Toc20598"/>
      <w:r>
        <w:rPr>
          <w:rFonts w:hint="eastAsia" w:hAnsi="仿宋"/>
          <w:sz w:val="32"/>
          <w:szCs w:val="32"/>
          <w:highlight w:val="none"/>
          <w:lang w:val="en-US" w:eastAsia="zh-CN"/>
        </w:rPr>
        <w:t>玉溪市红塔区卫生健康局新型冠状病毒专项资金截至6月15日，实际到位专项资金2295.25万元，实际支出资金1863.52万元，账面剩余约431.73万元;</w:t>
      </w:r>
      <w:bookmarkEnd w:id="25"/>
      <w:r>
        <w:rPr>
          <w:rFonts w:hint="eastAsia" w:ascii="仿宋" w:hAnsi="仿宋" w:eastAsia="仿宋" w:cs="仿宋"/>
          <w:sz w:val="30"/>
          <w:szCs w:val="30"/>
          <w:highlight w:val="none"/>
          <w:lang w:val="en-US" w:eastAsia="zh-CN"/>
        </w:rPr>
        <w:t xml:space="preserve">  </w:t>
      </w:r>
    </w:p>
    <w:p>
      <w:pPr>
        <w:spacing w:line="579" w:lineRule="exact"/>
        <w:ind w:firstLine="630" w:firstLineChars="200"/>
        <w:outlineLvl w:val="1"/>
        <w:rPr>
          <w:color w:val="000000"/>
          <w:highlight w:val="none"/>
        </w:rPr>
      </w:pPr>
      <w:bookmarkStart w:id="27" w:name="_Toc18791"/>
      <w:r>
        <w:rPr>
          <w:rFonts w:hint="eastAsia" w:ascii="楷体" w:hAnsi="楷体" w:eastAsia="楷体" w:cs="楷体"/>
          <w:szCs w:val="30"/>
          <w:highlight w:val="none"/>
          <w:lang w:eastAsia="zh-CN"/>
        </w:rPr>
        <w:t>（</w:t>
      </w:r>
      <w:r>
        <w:rPr>
          <w:rFonts w:hint="eastAsia" w:ascii="楷体" w:hAnsi="楷体" w:eastAsia="楷体" w:cs="楷体"/>
          <w:szCs w:val="30"/>
          <w:highlight w:val="none"/>
          <w:lang w:val="en-US" w:eastAsia="zh-CN"/>
        </w:rPr>
        <w:t>四</w:t>
      </w:r>
      <w:r>
        <w:rPr>
          <w:rFonts w:hint="eastAsia" w:ascii="楷体" w:hAnsi="楷体" w:eastAsia="楷体" w:cs="楷体"/>
          <w:szCs w:val="30"/>
          <w:highlight w:val="none"/>
          <w:lang w:eastAsia="zh-CN"/>
        </w:rPr>
        <w:t>）</w:t>
      </w:r>
      <w:r>
        <w:rPr>
          <w:rFonts w:hint="eastAsia" w:ascii="楷体" w:hAnsi="楷体" w:eastAsia="楷体" w:cs="楷体"/>
          <w:szCs w:val="30"/>
          <w:highlight w:val="none"/>
          <w:lang w:val="en-US" w:eastAsia="zh-CN"/>
        </w:rPr>
        <w:t>项目实施内容</w:t>
      </w:r>
      <w:bookmarkEnd w:id="26"/>
      <w:bookmarkEnd w:id="27"/>
    </w:p>
    <w:p>
      <w:pPr>
        <w:spacing w:line="579" w:lineRule="exact"/>
        <w:ind w:firstLine="630" w:firstLineChars="200"/>
        <w:outlineLvl w:val="1"/>
        <w:rPr>
          <w:rFonts w:hint="eastAsia"/>
          <w:color w:val="000000"/>
          <w:spacing w:val="0"/>
          <w:w w:val="100"/>
          <w:position w:val="0"/>
          <w:highlight w:val="none"/>
          <w:lang w:val="en-US" w:eastAsia="zh-CN" w:bidi="zh-CN"/>
        </w:rPr>
      </w:pPr>
      <w:bookmarkStart w:id="28" w:name="_Toc12372"/>
      <w:bookmarkStart w:id="29" w:name="_Toc11877"/>
      <w:r>
        <w:rPr>
          <w:rFonts w:hint="eastAsia"/>
          <w:color w:val="000000"/>
          <w:spacing w:val="0"/>
          <w:w w:val="100"/>
          <w:position w:val="0"/>
          <w:highlight w:val="none"/>
          <w:lang w:val="en-US" w:eastAsia="zh-CN" w:bidi="zh-CN"/>
        </w:rPr>
        <w:t>玉溪市红塔区卫生健康局新型冠状病毒专项资金实施内容主要开展以下几个方面的工作:</w:t>
      </w:r>
      <w:bookmarkEnd w:id="28"/>
    </w:p>
    <w:p>
      <w:pPr>
        <w:spacing w:line="579" w:lineRule="exact"/>
        <w:ind w:firstLine="630" w:firstLineChars="200"/>
        <w:outlineLvl w:val="1"/>
        <w:rPr>
          <w:rFonts w:hint="eastAsia"/>
          <w:color w:val="000000"/>
          <w:spacing w:val="0"/>
          <w:w w:val="100"/>
          <w:position w:val="0"/>
          <w:highlight w:val="none"/>
          <w:lang w:val="en-US" w:eastAsia="zh-CN" w:bidi="zh-CN"/>
        </w:rPr>
      </w:pPr>
      <w:bookmarkStart w:id="30" w:name="_Toc14141"/>
      <w:r>
        <w:rPr>
          <w:rFonts w:hint="eastAsia"/>
          <w:color w:val="000000"/>
          <w:spacing w:val="0"/>
          <w:w w:val="100"/>
          <w:position w:val="0"/>
          <w:highlight w:val="none"/>
          <w:lang w:val="en-US" w:eastAsia="zh-CN" w:bidi="zh-CN"/>
        </w:rPr>
        <w:t>1.各乡(街道) 、区级各部门均要严格落实防控工作责任，建立领导和工作机构，明确管理人员，制定疫情防控工作预案，提前做好返岗、复工、开学、防疫等相关工作。</w:t>
      </w:r>
      <w:bookmarkEnd w:id="30"/>
    </w:p>
    <w:p>
      <w:pPr>
        <w:spacing w:line="579" w:lineRule="exact"/>
        <w:ind w:firstLine="630" w:firstLineChars="200"/>
        <w:outlineLvl w:val="1"/>
        <w:rPr>
          <w:rFonts w:hint="eastAsia"/>
          <w:color w:val="000000"/>
          <w:spacing w:val="0"/>
          <w:w w:val="100"/>
          <w:position w:val="0"/>
          <w:highlight w:val="none"/>
          <w:lang w:val="en-US" w:eastAsia="zh-CN" w:bidi="zh-CN"/>
        </w:rPr>
      </w:pPr>
      <w:bookmarkStart w:id="31" w:name="_Toc24166"/>
      <w:r>
        <w:rPr>
          <w:rFonts w:hint="eastAsia"/>
          <w:color w:val="000000"/>
          <w:spacing w:val="0"/>
          <w:w w:val="100"/>
          <w:position w:val="0"/>
          <w:highlight w:val="none"/>
          <w:lang w:val="en-US" w:eastAsia="zh-CN" w:bidi="zh-CN"/>
        </w:rPr>
        <w:t>2.要有专人负责开展职工健康状况排查。全面掌握职工假期外出情况、返程情况和身体健康状况。对收假前14天内去过湖北或与确诊病例、疑似病例有接触史的职工进行登记，按规定进行居家观察或集中隔离观察，摸排人员基础信息登记表要及时报指挥部疫情防控组，没有以上情况的也要报无，报送相关联系人。</w:t>
      </w:r>
      <w:bookmarkEnd w:id="31"/>
    </w:p>
    <w:p>
      <w:pPr>
        <w:spacing w:line="579" w:lineRule="exact"/>
        <w:ind w:firstLine="630" w:firstLineChars="200"/>
        <w:outlineLvl w:val="1"/>
        <w:rPr>
          <w:rFonts w:hint="eastAsia"/>
          <w:color w:val="000000"/>
          <w:spacing w:val="0"/>
          <w:w w:val="100"/>
          <w:position w:val="0"/>
          <w:highlight w:val="none"/>
          <w:lang w:val="en-US" w:eastAsia="zh-CN" w:bidi="zh-CN"/>
        </w:rPr>
      </w:pPr>
      <w:bookmarkStart w:id="32" w:name="_Toc10353"/>
      <w:r>
        <w:rPr>
          <w:rFonts w:hint="eastAsia"/>
          <w:color w:val="000000"/>
          <w:spacing w:val="0"/>
          <w:w w:val="100"/>
          <w:position w:val="0"/>
          <w:highlight w:val="none"/>
          <w:lang w:val="en-US" w:eastAsia="zh-CN" w:bidi="zh-CN"/>
        </w:rPr>
        <w:t>3.上下班一律佩戴口罩。各部门各单位干部职工中如有身体不适宜工作的，由各级各部门根据政策，结合实际，适时妥善安排。</w:t>
      </w:r>
      <w:bookmarkEnd w:id="32"/>
    </w:p>
    <w:p>
      <w:pPr>
        <w:spacing w:line="579" w:lineRule="exact"/>
        <w:ind w:firstLine="630" w:firstLineChars="200"/>
        <w:outlineLvl w:val="1"/>
        <w:rPr>
          <w:rFonts w:hint="eastAsia"/>
          <w:color w:val="000000"/>
          <w:spacing w:val="0"/>
          <w:w w:val="100"/>
          <w:position w:val="0"/>
          <w:highlight w:val="none"/>
          <w:lang w:val="en-US" w:eastAsia="zh-CN" w:bidi="zh-CN"/>
        </w:rPr>
      </w:pPr>
      <w:bookmarkStart w:id="33" w:name="_Toc29226"/>
      <w:r>
        <w:rPr>
          <w:rFonts w:hint="eastAsia"/>
          <w:color w:val="000000"/>
          <w:spacing w:val="0"/>
          <w:w w:val="100"/>
          <w:position w:val="0"/>
          <w:highlight w:val="none"/>
          <w:lang w:val="en-US" w:eastAsia="zh-CN" w:bidi="zh-CN"/>
        </w:rPr>
        <w:t>4.减少人员聚集。减少会议，控制会议人数，压缩会议时间，提倡召开视频会议。单位集体食堂应采取分时段供餐和分餐方式，避免集体用餐。</w:t>
      </w:r>
      <w:bookmarkEnd w:id="33"/>
    </w:p>
    <w:p>
      <w:pPr>
        <w:spacing w:line="579" w:lineRule="exact"/>
        <w:ind w:firstLine="630" w:firstLineChars="200"/>
        <w:outlineLvl w:val="1"/>
        <w:rPr>
          <w:rFonts w:hint="eastAsia"/>
          <w:color w:val="000000"/>
          <w:spacing w:val="0"/>
          <w:w w:val="100"/>
          <w:position w:val="0"/>
          <w:highlight w:val="none"/>
          <w:lang w:val="en-US" w:eastAsia="zh-CN" w:bidi="zh-CN"/>
        </w:rPr>
      </w:pPr>
      <w:bookmarkStart w:id="34" w:name="_Toc10781"/>
      <w:r>
        <w:rPr>
          <w:rFonts w:hint="eastAsia"/>
          <w:color w:val="000000"/>
          <w:spacing w:val="0"/>
          <w:w w:val="100"/>
          <w:position w:val="0"/>
          <w:highlight w:val="none"/>
          <w:lang w:val="en-US" w:eastAsia="zh-CN" w:bidi="zh-CN"/>
        </w:rPr>
        <w:t>5.各相应行业主管部门负责各自管理服务对象的复工人员排查情况，有接触史或症状的按属地原则报各乡、街道。</w:t>
      </w:r>
      <w:bookmarkEnd w:id="34"/>
    </w:p>
    <w:p>
      <w:pPr>
        <w:spacing w:line="579" w:lineRule="exact"/>
        <w:ind w:firstLine="630" w:firstLineChars="200"/>
        <w:outlineLvl w:val="1"/>
        <w:rPr>
          <w:rFonts w:hint="eastAsia"/>
          <w:color w:val="000000"/>
          <w:spacing w:val="0"/>
          <w:w w:val="100"/>
          <w:position w:val="0"/>
          <w:highlight w:val="none"/>
          <w:lang w:val="en-US" w:eastAsia="zh-CN" w:bidi="zh-CN"/>
        </w:rPr>
      </w:pPr>
      <w:bookmarkStart w:id="35" w:name="_Toc23771"/>
      <w:r>
        <w:rPr>
          <w:rFonts w:hint="eastAsia"/>
          <w:color w:val="000000"/>
          <w:spacing w:val="0"/>
          <w:w w:val="100"/>
          <w:position w:val="0"/>
          <w:highlight w:val="none"/>
          <w:lang w:val="en-US" w:eastAsia="zh-CN" w:bidi="zh-CN"/>
        </w:rPr>
        <w:t>6.根据上级要求，适当延长全区中小学幼儿园春节假期，在区高校一律不得提前开学和接受学生提前返校。假期内由责任老师保持与学生的联系，掌握每个学生健康状况。开学前14天须通知所有学生居家隔离观察，没有发热等不适症状方可入校。根据教体部门的具体方案执行。</w:t>
      </w:r>
      <w:bookmarkEnd w:id="35"/>
    </w:p>
    <w:p>
      <w:pPr>
        <w:spacing w:line="579" w:lineRule="exact"/>
        <w:ind w:firstLine="630" w:firstLineChars="200"/>
        <w:outlineLvl w:val="1"/>
        <w:rPr>
          <w:rFonts w:hint="eastAsia"/>
          <w:color w:val="000000"/>
          <w:spacing w:val="0"/>
          <w:w w:val="100"/>
          <w:position w:val="0"/>
          <w:highlight w:val="none"/>
          <w:lang w:val="en-US" w:eastAsia="zh-CN" w:bidi="zh-CN"/>
        </w:rPr>
      </w:pPr>
      <w:bookmarkStart w:id="36" w:name="_Toc9999"/>
      <w:r>
        <w:rPr>
          <w:rFonts w:hint="eastAsia"/>
          <w:color w:val="000000"/>
          <w:spacing w:val="0"/>
          <w:w w:val="100"/>
          <w:position w:val="0"/>
          <w:highlight w:val="none"/>
          <w:lang w:val="en-US" w:eastAsia="zh-CN" w:bidi="zh-CN"/>
        </w:rPr>
        <w:t>7.公安、交通、卫生防疫等部门要细化应对春节收假人流高峰的防控措施，强化火车站、汽车站等重点场所和火车、汽车、城市公交等交通工具的卫生管理工作，配足防疫人员，做好防疫和联合检查。</w:t>
      </w:r>
      <w:bookmarkEnd w:id="36"/>
    </w:p>
    <w:p>
      <w:pPr>
        <w:spacing w:line="579" w:lineRule="exact"/>
        <w:ind w:firstLine="630" w:firstLineChars="200"/>
        <w:outlineLvl w:val="1"/>
        <w:rPr>
          <w:rFonts w:hint="eastAsia"/>
          <w:color w:val="000000"/>
          <w:spacing w:val="0"/>
          <w:w w:val="100"/>
          <w:position w:val="0"/>
          <w:highlight w:val="none"/>
          <w:lang w:val="en-US" w:eastAsia="zh-CN" w:bidi="zh-CN"/>
        </w:rPr>
      </w:pPr>
      <w:bookmarkStart w:id="37" w:name="_Toc2719"/>
      <w:r>
        <w:rPr>
          <w:rFonts w:hint="eastAsia"/>
          <w:color w:val="000000"/>
          <w:spacing w:val="0"/>
          <w:w w:val="100"/>
          <w:position w:val="0"/>
          <w:highlight w:val="none"/>
          <w:lang w:val="en-US" w:eastAsia="zh-CN" w:bidi="zh-CN"/>
        </w:rPr>
        <w:t>8.做好重点部位管理。提前准备消毒、体温测量仪等疫情防控物品，加强个人防护培训和出入口检测，公共场所必须戴口罩；对办公室、会议室、过道、电梯、卫生间等公共区域定时通风、清洁和消毒。如无紧要业务，可适当推迟上班和提前下班时间。</w:t>
      </w:r>
      <w:bookmarkEnd w:id="37"/>
    </w:p>
    <w:p>
      <w:pPr>
        <w:spacing w:line="579" w:lineRule="exact"/>
        <w:ind w:firstLine="630" w:firstLineChars="200"/>
        <w:outlineLvl w:val="1"/>
        <w:rPr>
          <w:rFonts w:hint="eastAsia" w:ascii="楷体" w:hAnsi="楷体" w:eastAsia="楷体" w:cs="楷体"/>
          <w:color w:val="000000"/>
          <w:highlight w:val="none"/>
          <w:lang w:val="en-US" w:eastAsia="zh-CN"/>
        </w:rPr>
      </w:pPr>
      <w:bookmarkStart w:id="38" w:name="_Toc7448"/>
      <w:r>
        <w:rPr>
          <w:rFonts w:hint="eastAsia" w:ascii="楷体" w:hAnsi="楷体" w:eastAsia="楷体" w:cs="楷体"/>
          <w:color w:val="000000"/>
          <w:highlight w:val="none"/>
          <w:lang w:eastAsia="zh-CN"/>
        </w:rPr>
        <w:t>（</w:t>
      </w:r>
      <w:r>
        <w:rPr>
          <w:rFonts w:hint="eastAsia" w:ascii="楷体" w:hAnsi="楷体" w:eastAsia="楷体" w:cs="楷体"/>
          <w:color w:val="000000"/>
          <w:highlight w:val="none"/>
          <w:lang w:val="en-US" w:eastAsia="zh-CN"/>
        </w:rPr>
        <w:t>五</w:t>
      </w:r>
      <w:r>
        <w:rPr>
          <w:rFonts w:hint="eastAsia" w:ascii="楷体" w:hAnsi="楷体" w:eastAsia="楷体" w:cs="楷体"/>
          <w:color w:val="000000"/>
          <w:highlight w:val="none"/>
          <w:lang w:eastAsia="zh-CN"/>
        </w:rPr>
        <w:t>）</w:t>
      </w:r>
      <w:r>
        <w:rPr>
          <w:rFonts w:hint="eastAsia" w:ascii="楷体" w:hAnsi="楷体" w:eastAsia="楷体" w:cs="楷体"/>
          <w:color w:val="000000"/>
          <w:highlight w:val="none"/>
          <w:lang w:val="en-US" w:eastAsia="zh-CN"/>
        </w:rPr>
        <w:t>组织管理情况</w:t>
      </w:r>
      <w:bookmarkEnd w:id="29"/>
      <w:bookmarkEnd w:id="38"/>
    </w:p>
    <w:p>
      <w:pPr>
        <w:spacing w:line="579" w:lineRule="exact"/>
        <w:ind w:firstLine="630" w:firstLineChars="200"/>
        <w:rPr>
          <w:rFonts w:hint="eastAsia" w:hAnsi="仿宋"/>
          <w:szCs w:val="30"/>
          <w:highlight w:val="none"/>
          <w:lang w:val="en-US" w:eastAsia="zh-CN"/>
        </w:rPr>
      </w:pPr>
      <w:bookmarkStart w:id="39" w:name="_Toc31223"/>
      <w:r>
        <w:rPr>
          <w:rFonts w:hint="eastAsia" w:hAnsi="仿宋"/>
          <w:szCs w:val="30"/>
          <w:highlight w:val="none"/>
          <w:lang w:val="en-US" w:eastAsia="zh-CN"/>
        </w:rPr>
        <w:t>玉溪市红塔区卫生健康局新型冠状病毒专项资金领导小组。负责贯彻落实省委、省政府决策部署，统筹协调玉溪市红塔区卫生健康局新型冠状病毒专项资金项目的推进，切实保障人民生命安全，研究制定项目发展目标、发展规划和政策措施。</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红塔区卫生健康部门在红塔区政府统一领导下，指导辖区内新型冠状病毒感染的肺炎防治工作，主动加强与各有关部门的信息沟通，共同做好防治工作。</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红塔区财政局分配及下达年度专项资金，对红塔区卫生健康局新型冠状病毒专项资金进行监督检查和绩效管理。</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红塔区卫生健康局作为具体的项目实施主体，深入项目开展督促指导工作，推进项目新冠疫情防控、救治工作。</w:t>
      </w:r>
    </w:p>
    <w:p>
      <w:pPr>
        <w:numPr>
          <w:ilvl w:val="0"/>
          <w:numId w:val="1"/>
        </w:numPr>
        <w:spacing w:line="579" w:lineRule="exact"/>
        <w:ind w:firstLine="630" w:firstLineChars="200"/>
        <w:outlineLvl w:val="0"/>
        <w:rPr>
          <w:rFonts w:hint="eastAsia" w:ascii="黑体" w:hAnsi="黑体" w:eastAsia="黑体" w:cs="黑体"/>
          <w:szCs w:val="30"/>
          <w:highlight w:val="none"/>
          <w:lang w:val="en-US" w:eastAsia="zh-CN"/>
        </w:rPr>
      </w:pPr>
      <w:bookmarkStart w:id="40" w:name="_Toc25379"/>
      <w:r>
        <w:rPr>
          <w:rFonts w:hint="eastAsia" w:ascii="黑体" w:hAnsi="黑体" w:eastAsia="黑体" w:cs="黑体"/>
          <w:szCs w:val="30"/>
          <w:highlight w:val="none"/>
          <w:lang w:val="en-US" w:eastAsia="zh-CN"/>
        </w:rPr>
        <w:t>绩效评价组织情况</w:t>
      </w:r>
      <w:bookmarkEnd w:id="39"/>
      <w:bookmarkEnd w:id="40"/>
    </w:p>
    <w:p>
      <w:pPr>
        <w:numPr>
          <w:ilvl w:val="0"/>
          <w:numId w:val="0"/>
        </w:numPr>
        <w:spacing w:line="579" w:lineRule="exact"/>
        <w:ind w:firstLine="630" w:firstLineChars="200"/>
        <w:outlineLvl w:val="1"/>
        <w:rPr>
          <w:rFonts w:hint="eastAsia" w:ascii="楷体" w:hAnsi="楷体" w:eastAsia="楷体" w:cs="楷体"/>
          <w:szCs w:val="30"/>
          <w:highlight w:val="none"/>
          <w:lang w:val="en-US" w:eastAsia="zh-CN"/>
        </w:rPr>
      </w:pPr>
      <w:bookmarkStart w:id="41" w:name="_Toc10715"/>
      <w:bookmarkStart w:id="42" w:name="_Toc14797"/>
      <w:r>
        <w:rPr>
          <w:rFonts w:hint="eastAsia" w:ascii="楷体" w:hAnsi="楷体" w:eastAsia="楷体" w:cs="楷体"/>
          <w:szCs w:val="30"/>
          <w:highlight w:val="none"/>
          <w:lang w:val="en-US" w:eastAsia="zh-CN"/>
        </w:rPr>
        <w:t>（一）绩效评价依据</w:t>
      </w:r>
      <w:bookmarkEnd w:id="41"/>
      <w:bookmarkEnd w:id="42"/>
    </w:p>
    <w:p>
      <w:pPr>
        <w:spacing w:line="579" w:lineRule="exact"/>
        <w:ind w:firstLine="630" w:firstLineChars="200"/>
        <w:rPr>
          <w:rFonts w:hint="default" w:hAnsi="仿宋"/>
          <w:szCs w:val="30"/>
          <w:highlight w:val="none"/>
          <w:lang w:val="en-US" w:eastAsia="zh-CN"/>
        </w:rPr>
      </w:pPr>
      <w:bookmarkStart w:id="43" w:name="_Toc21517"/>
      <w:bookmarkStart w:id="44" w:name="_Toc14773"/>
      <w:bookmarkStart w:id="45" w:name="_Toc16995"/>
      <w:r>
        <w:rPr>
          <w:rFonts w:hint="eastAsia" w:hAnsi="仿宋"/>
          <w:szCs w:val="30"/>
          <w:highlight w:val="none"/>
        </w:rPr>
        <w:t>1.《中华人民共和国预算法》（2014年修订）；</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2.《关于区本级开展2019年预算资金绩效自评的通知》玉红财监〔2020〕3号；</w:t>
      </w:r>
    </w:p>
    <w:p>
      <w:pPr>
        <w:spacing w:line="579" w:lineRule="exact"/>
        <w:ind w:firstLine="630" w:firstLineChars="200"/>
        <w:rPr>
          <w:rFonts w:hint="eastAsia" w:hAnsi="仿宋"/>
          <w:szCs w:val="30"/>
          <w:highlight w:val="none"/>
          <w:lang w:val="en-US" w:eastAsia="zh-CN"/>
        </w:rPr>
      </w:pPr>
      <w:r>
        <w:rPr>
          <w:rFonts w:hint="eastAsia" w:ascii="仿宋" w:hAnsi="仿宋" w:eastAsia="仿宋" w:cs="Times New Roman"/>
          <w:kern w:val="30"/>
          <w:sz w:val="30"/>
          <w:szCs w:val="30"/>
          <w:highlight w:val="none"/>
          <w:lang w:val="en-US" w:eastAsia="zh-CN" w:bidi="ar-SA"/>
        </w:rPr>
        <w:t>3.&lt;红塔区卫生健康局关于印发《红塔区新型冠状病毒感染肺炎防控专项工作方案》的通知&gt;玉红卫健</w:t>
      </w:r>
      <w:r>
        <w:rPr>
          <w:rFonts w:hint="eastAsia" w:hAnsi="仿宋"/>
          <w:szCs w:val="30"/>
          <w:highlight w:val="none"/>
          <w:lang w:val="en-US" w:eastAsia="zh-CN"/>
        </w:rPr>
        <w:t>〔2020〕7号;</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4.《中共玉溪市红塔区委办公室玉溪市红塔区人民政府办公室关于调整充实玉溪市红塔区新型冠状病毒感染的肺炎疫情防控工作领导小组的通知》玉红办函〔2020〕2号；</w:t>
      </w:r>
    </w:p>
    <w:p>
      <w:pPr>
        <w:spacing w:line="579" w:lineRule="exact"/>
        <w:ind w:firstLine="630" w:firstLineChars="200"/>
        <w:rPr>
          <w:rFonts w:hint="default"/>
          <w:highlight w:val="none"/>
          <w:lang w:val="en-US" w:eastAsia="zh-CN"/>
        </w:rPr>
      </w:pPr>
      <w:r>
        <w:rPr>
          <w:rFonts w:hint="eastAsia" w:hAnsi="仿宋"/>
          <w:szCs w:val="30"/>
          <w:highlight w:val="none"/>
          <w:lang w:val="en-US" w:eastAsia="zh-CN"/>
        </w:rPr>
        <w:t>5.《红塔区卫生健康局关于成立新型冠状病毒感染的肺炎疫情防控专家组的通知》玉红卫健〔2020〕20号；</w:t>
      </w:r>
    </w:p>
    <w:p>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6.《红塔区应对新型冠状病毒感染肺炎疫情工作群众举报奖励办法（试行）》玉红应疫发〔2020〕38号；</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7.《红塔区春节收假后应对新型冠状病毒感染肺炎疫情相关措施的通知》玉红防疫办〔2020〕23号；</w:t>
      </w:r>
    </w:p>
    <w:p>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8.《关于印发红塔区应对新型冠状病毒感染肺炎疫情工作信息公开发布审核制度的通知》玉红应疫发〔2020〕26号；</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9.其他相关依据文件。</w:t>
      </w:r>
    </w:p>
    <w:p>
      <w:pPr>
        <w:spacing w:line="579" w:lineRule="exact"/>
        <w:ind w:firstLine="654" w:firstLineChars="200"/>
        <w:outlineLvl w:val="1"/>
        <w:rPr>
          <w:rFonts w:hint="eastAsia" w:ascii="楷体" w:hAnsi="楷体" w:eastAsia="楷体" w:cs="楷体"/>
          <w:spacing w:val="6"/>
          <w:szCs w:val="30"/>
          <w:highlight w:val="none"/>
          <w:lang w:eastAsia="zh-CN"/>
        </w:rPr>
      </w:pPr>
      <w:bookmarkStart w:id="46" w:name="_Toc6108"/>
      <w:r>
        <w:rPr>
          <w:rFonts w:hint="eastAsia" w:ascii="楷体" w:hAnsi="楷体" w:eastAsia="楷体" w:cs="楷体"/>
          <w:spacing w:val="6"/>
          <w:szCs w:val="30"/>
          <w:highlight w:val="none"/>
          <w:lang w:val="en-US" w:eastAsia="zh-CN"/>
        </w:rPr>
        <w:t>（二）</w:t>
      </w:r>
      <w:r>
        <w:rPr>
          <w:rFonts w:hint="eastAsia" w:ascii="楷体" w:hAnsi="楷体" w:eastAsia="楷体" w:cs="楷体"/>
          <w:spacing w:val="6"/>
          <w:szCs w:val="30"/>
          <w:highlight w:val="none"/>
        </w:rPr>
        <w:t>绩效评价工作</w:t>
      </w:r>
      <w:bookmarkEnd w:id="43"/>
      <w:bookmarkEnd w:id="44"/>
      <w:r>
        <w:rPr>
          <w:rFonts w:hint="eastAsia" w:ascii="楷体" w:hAnsi="楷体" w:eastAsia="楷体" w:cs="楷体"/>
          <w:spacing w:val="6"/>
          <w:szCs w:val="30"/>
          <w:highlight w:val="none"/>
          <w:lang w:val="en-US" w:eastAsia="zh-CN"/>
        </w:rPr>
        <w:t>程序</w:t>
      </w:r>
      <w:bookmarkEnd w:id="46"/>
    </w:p>
    <w:p>
      <w:pPr>
        <w:spacing w:line="579" w:lineRule="exact"/>
        <w:ind w:firstLine="630" w:firstLineChars="200"/>
        <w:rPr>
          <w:rFonts w:hint="eastAsia" w:hAnsi="仿宋"/>
          <w:szCs w:val="30"/>
          <w:highlight w:val="none"/>
        </w:rPr>
      </w:pPr>
      <w:r>
        <w:rPr>
          <w:rFonts w:hint="eastAsia" w:hAnsi="仿宋"/>
          <w:szCs w:val="30"/>
          <w:highlight w:val="none"/>
        </w:rPr>
        <w:t>为高质量完成</w:t>
      </w:r>
      <w:r>
        <w:rPr>
          <w:rFonts w:hint="eastAsia" w:hAnsi="仿宋"/>
          <w:szCs w:val="30"/>
          <w:highlight w:val="none"/>
          <w:lang w:val="en-US" w:eastAsia="zh-CN"/>
        </w:rPr>
        <w:t>玉溪市红塔区卫生健康局新型冠状病毒专项资金</w:t>
      </w:r>
      <w:r>
        <w:rPr>
          <w:rFonts w:hint="eastAsia" w:hAnsi="仿宋"/>
          <w:szCs w:val="30"/>
          <w:highlight w:val="none"/>
        </w:rPr>
        <w:t>项目绩效评价工作。</w:t>
      </w:r>
      <w:r>
        <w:rPr>
          <w:rFonts w:hint="eastAsia" w:hAnsi="仿宋"/>
          <w:szCs w:val="30"/>
          <w:highlight w:val="none"/>
          <w:lang w:val="en-US" w:eastAsia="zh-CN"/>
        </w:rPr>
        <w:t>红塔区财政局</w:t>
      </w:r>
      <w:r>
        <w:rPr>
          <w:rFonts w:hint="eastAsia" w:hAnsi="仿宋"/>
          <w:szCs w:val="30"/>
          <w:highlight w:val="none"/>
        </w:rPr>
        <w:t>委托第三方，成立绩效评价工作组，制定绩效评价实施方案，设计绩效评价指标体系，实施绩效评价，进行综合评价分析，撰写绩效评价报告等工作，具体工作内容如下：</w:t>
      </w:r>
    </w:p>
    <w:p>
      <w:pPr>
        <w:spacing w:line="579" w:lineRule="exact"/>
        <w:ind w:firstLine="630" w:firstLineChars="200"/>
        <w:rPr>
          <w:rFonts w:hint="eastAsia" w:hAnsi="仿宋"/>
          <w:szCs w:val="30"/>
          <w:highlight w:val="none"/>
        </w:rPr>
      </w:pPr>
      <w:r>
        <w:rPr>
          <w:rFonts w:hint="eastAsia" w:hAnsi="仿宋"/>
          <w:szCs w:val="30"/>
          <w:highlight w:val="none"/>
          <w:lang w:val="en-US" w:eastAsia="zh-CN"/>
        </w:rPr>
        <w:t>1.成立绩效评价</w:t>
      </w:r>
      <w:r>
        <w:rPr>
          <w:rFonts w:hint="eastAsia" w:hAnsi="仿宋"/>
          <w:szCs w:val="30"/>
          <w:highlight w:val="none"/>
        </w:rPr>
        <w:t>工作组</w:t>
      </w:r>
    </w:p>
    <w:p>
      <w:pPr>
        <w:spacing w:line="579" w:lineRule="exact"/>
        <w:ind w:firstLine="630" w:firstLineChars="200"/>
        <w:rPr>
          <w:rFonts w:hAnsi="仿宋"/>
          <w:szCs w:val="30"/>
          <w:highlight w:val="none"/>
        </w:rPr>
      </w:pPr>
      <w:r>
        <w:rPr>
          <w:rFonts w:hint="eastAsia" w:hAnsi="仿宋"/>
          <w:szCs w:val="30"/>
          <w:highlight w:val="none"/>
        </w:rPr>
        <w:t>根据绩效评价任务进行前期准备，结合项目分工职责，组建评价成员，明确项目负责人，工作组成员主要分为两组，一组是熟悉资金使用情况的财务绩效评价组员，另一组是熟悉财政的第三方绩效评价组员，全过程参与绩效评价工作，建立良好的沟通协调机制。</w:t>
      </w:r>
    </w:p>
    <w:p>
      <w:pPr>
        <w:spacing w:line="579" w:lineRule="exact"/>
        <w:ind w:firstLine="630" w:firstLineChars="200"/>
        <w:rPr>
          <w:rFonts w:hAnsi="仿宋"/>
          <w:szCs w:val="30"/>
          <w:highlight w:val="none"/>
        </w:rPr>
      </w:pPr>
      <w:r>
        <w:rPr>
          <w:rFonts w:hint="eastAsia" w:hAnsi="仿宋"/>
          <w:szCs w:val="30"/>
          <w:highlight w:val="none"/>
          <w:lang w:val="en-US" w:eastAsia="zh-CN"/>
        </w:rPr>
        <w:t>2.</w:t>
      </w:r>
      <w:r>
        <w:rPr>
          <w:rFonts w:hint="eastAsia" w:hAnsi="仿宋"/>
          <w:szCs w:val="30"/>
          <w:highlight w:val="none"/>
        </w:rPr>
        <w:t>制定绩效评价实施方案</w:t>
      </w:r>
    </w:p>
    <w:p>
      <w:pPr>
        <w:spacing w:line="579" w:lineRule="exact"/>
        <w:ind w:firstLine="630" w:firstLineChars="200"/>
        <w:rPr>
          <w:rFonts w:hAnsi="仿宋"/>
          <w:szCs w:val="30"/>
          <w:highlight w:val="none"/>
        </w:rPr>
      </w:pPr>
      <w:r>
        <w:rPr>
          <w:rFonts w:hint="eastAsia" w:hAnsi="仿宋"/>
          <w:szCs w:val="30"/>
          <w:highlight w:val="none"/>
        </w:rPr>
        <w:t>按项目支出调研资料清单收集资料，了解项目基础资料，主要包括预算及资金使用情况；项目实施内容；项目绩效目标设立情况；组织管理情况等。然后，按照财政部门有关规定要求制订评价实施方案，明确工作计划安排。</w:t>
      </w:r>
    </w:p>
    <w:p>
      <w:pPr>
        <w:spacing w:line="579" w:lineRule="exact"/>
        <w:ind w:firstLine="630" w:firstLineChars="200"/>
        <w:rPr>
          <w:rFonts w:hAnsi="仿宋"/>
          <w:szCs w:val="30"/>
          <w:highlight w:val="none"/>
        </w:rPr>
      </w:pPr>
      <w:r>
        <w:rPr>
          <w:rFonts w:hint="eastAsia" w:hAnsi="仿宋"/>
          <w:szCs w:val="30"/>
          <w:highlight w:val="none"/>
        </w:rPr>
        <w:t>3</w:t>
      </w:r>
      <w:r>
        <w:rPr>
          <w:rFonts w:hint="eastAsia" w:hAnsi="仿宋"/>
          <w:szCs w:val="30"/>
          <w:highlight w:val="none"/>
          <w:lang w:val="en-US" w:eastAsia="zh-CN"/>
        </w:rPr>
        <w:t>.</w:t>
      </w:r>
      <w:r>
        <w:rPr>
          <w:rFonts w:hint="eastAsia" w:hAnsi="仿宋"/>
          <w:szCs w:val="30"/>
          <w:highlight w:val="none"/>
        </w:rPr>
        <w:t>确定评价指标体系、抽样方案和调查问卷</w:t>
      </w:r>
    </w:p>
    <w:p>
      <w:pPr>
        <w:spacing w:line="579" w:lineRule="exact"/>
        <w:ind w:firstLine="630" w:firstLineChars="200"/>
        <w:rPr>
          <w:rFonts w:hAnsi="仿宋"/>
          <w:szCs w:val="30"/>
          <w:highlight w:val="none"/>
        </w:rPr>
      </w:pPr>
      <w:r>
        <w:rPr>
          <w:rFonts w:hint="eastAsia" w:hAnsi="仿宋"/>
          <w:szCs w:val="30"/>
          <w:highlight w:val="none"/>
        </w:rPr>
        <w:t>完成评价指标体系、评分标准、抽样方案、调查问卷等附件的设置工作，设计绩效评价指标体系、基础数据表及满意度调查问卷，明确指标权重和评分标准，完善并确定评价指标体系；采取案卷研究、资料收集与数据填报、座谈会、问卷调查等方式，现场逐一收集绩效评价基础数据和证据资料，并现场分析，核实资料的真实性、合理性。</w:t>
      </w:r>
    </w:p>
    <w:p>
      <w:pPr>
        <w:spacing w:line="579" w:lineRule="exact"/>
        <w:ind w:firstLine="630" w:firstLineChars="200"/>
        <w:rPr>
          <w:rFonts w:hAnsi="仿宋"/>
          <w:szCs w:val="30"/>
          <w:highlight w:val="none"/>
        </w:rPr>
      </w:pPr>
      <w:r>
        <w:rPr>
          <w:rFonts w:hint="eastAsia" w:hAnsi="仿宋"/>
          <w:szCs w:val="30"/>
          <w:highlight w:val="none"/>
          <w:lang w:val="en-US" w:eastAsia="zh-CN"/>
        </w:rPr>
        <w:t>4.</w:t>
      </w:r>
      <w:r>
        <w:rPr>
          <w:rFonts w:hint="eastAsia" w:hAnsi="仿宋"/>
          <w:szCs w:val="30"/>
          <w:highlight w:val="none"/>
        </w:rPr>
        <w:t>进行综合评价分析</w:t>
      </w:r>
    </w:p>
    <w:p>
      <w:pPr>
        <w:spacing w:line="579" w:lineRule="exact"/>
        <w:ind w:firstLine="630" w:firstLineChars="200"/>
        <w:rPr>
          <w:rFonts w:hAnsi="仿宋"/>
          <w:szCs w:val="30"/>
          <w:highlight w:val="none"/>
        </w:rPr>
      </w:pPr>
      <w:r>
        <w:rPr>
          <w:rFonts w:hint="eastAsia" w:hAnsi="仿宋"/>
          <w:szCs w:val="30"/>
          <w:highlight w:val="none"/>
        </w:rPr>
        <w:t>根据所收集的基础资料，结合现场核实的有关情况，整理出绩效评价所需的基本资料和数据。按照评价实施方案确定的评价指标、评价标准和评价方法，根据评价基础数据，对评价对象的绩效情况进行全面的定量、定性分析、量化评分和综合评价，形成评价对象绩效评价结论。</w:t>
      </w:r>
    </w:p>
    <w:p>
      <w:pPr>
        <w:spacing w:line="579" w:lineRule="exact"/>
        <w:ind w:firstLine="630" w:firstLineChars="200"/>
        <w:rPr>
          <w:rFonts w:hAnsi="仿宋"/>
          <w:szCs w:val="30"/>
          <w:highlight w:val="none"/>
        </w:rPr>
      </w:pPr>
      <w:r>
        <w:rPr>
          <w:rFonts w:hint="eastAsia" w:hAnsi="仿宋"/>
          <w:szCs w:val="30"/>
          <w:highlight w:val="none"/>
          <w:lang w:val="en-US" w:eastAsia="zh-CN"/>
        </w:rPr>
        <w:t>5.</w:t>
      </w:r>
      <w:r>
        <w:rPr>
          <w:rFonts w:hint="eastAsia" w:hAnsi="仿宋"/>
          <w:szCs w:val="30"/>
          <w:highlight w:val="none"/>
        </w:rPr>
        <w:t>撰写评价报告</w:t>
      </w:r>
    </w:p>
    <w:p>
      <w:pPr>
        <w:spacing w:line="579" w:lineRule="exact"/>
        <w:ind w:firstLine="630" w:firstLineChars="200"/>
        <w:outlineLvl w:val="1"/>
        <w:rPr>
          <w:rFonts w:hint="eastAsia" w:ascii="黑体" w:hAnsi="黑体" w:eastAsia="黑体" w:cs="黑体"/>
          <w:szCs w:val="30"/>
          <w:highlight w:val="none"/>
        </w:rPr>
      </w:pPr>
      <w:bookmarkStart w:id="47" w:name="_Toc574"/>
      <w:bookmarkStart w:id="48" w:name="_Toc1093"/>
      <w:bookmarkStart w:id="49" w:name="_Toc1796"/>
      <w:r>
        <w:rPr>
          <w:rFonts w:hint="eastAsia" w:hAnsi="仿宋"/>
          <w:szCs w:val="30"/>
          <w:highlight w:val="none"/>
        </w:rPr>
        <w:t>根据专项资金相关绩效资料、评价综合评分和评价结论，撰写绩效评价报告，客观揭示项目实施存在问题及原因，并结合部门实际提出具有操作性的建议，出具并提交正式绩效评价报告。</w:t>
      </w:r>
      <w:bookmarkEnd w:id="47"/>
      <w:bookmarkEnd w:id="48"/>
      <w:bookmarkEnd w:id="49"/>
    </w:p>
    <w:p>
      <w:pPr>
        <w:numPr>
          <w:ilvl w:val="0"/>
          <w:numId w:val="0"/>
        </w:numPr>
        <w:spacing w:line="579" w:lineRule="exact"/>
        <w:ind w:firstLine="630" w:firstLineChars="200"/>
        <w:outlineLvl w:val="1"/>
        <w:rPr>
          <w:rFonts w:hint="default" w:ascii="黑体" w:hAnsi="黑体" w:eastAsia="黑体" w:cs="黑体"/>
          <w:szCs w:val="30"/>
          <w:highlight w:val="none"/>
          <w:lang w:val="en-US" w:eastAsia="zh-CN"/>
        </w:rPr>
      </w:pPr>
      <w:bookmarkStart w:id="50" w:name="_Toc30042"/>
      <w:r>
        <w:rPr>
          <w:rFonts w:hint="eastAsia" w:ascii="楷体" w:hAnsi="楷体" w:eastAsia="楷体" w:cs="楷体"/>
          <w:szCs w:val="30"/>
          <w:highlight w:val="none"/>
          <w:lang w:val="en-US" w:eastAsia="zh-CN"/>
        </w:rPr>
        <w:t>（三）绩效评价方法</w:t>
      </w:r>
      <w:bookmarkEnd w:id="45"/>
      <w:bookmarkEnd w:id="50"/>
    </w:p>
    <w:p>
      <w:pPr>
        <w:spacing w:line="579" w:lineRule="exact"/>
        <w:ind w:firstLine="630" w:firstLineChars="200"/>
        <w:rPr>
          <w:rFonts w:hAnsi="仿宋"/>
          <w:szCs w:val="30"/>
          <w:highlight w:val="none"/>
        </w:rPr>
      </w:pPr>
      <w:r>
        <w:rPr>
          <w:rFonts w:hint="eastAsia" w:hAnsi="仿宋"/>
          <w:szCs w:val="30"/>
          <w:highlight w:val="none"/>
        </w:rPr>
        <w:t xml:space="preserve">本次绩效评价采用定量与定性相结合、审阅自评相结合，对收集的相关基础资料、各种技术经济数据，在归集、整理、分析的基础上，结合项目特点确定评价方法，主要的评价方法有： </w:t>
      </w:r>
    </w:p>
    <w:p>
      <w:pPr>
        <w:spacing w:line="579" w:lineRule="exact"/>
        <w:ind w:firstLine="630" w:firstLineChars="200"/>
        <w:rPr>
          <w:rFonts w:hAnsi="仿宋"/>
          <w:szCs w:val="30"/>
          <w:highlight w:val="none"/>
        </w:rPr>
      </w:pPr>
      <w:r>
        <w:rPr>
          <w:rFonts w:hint="eastAsia" w:hAnsi="仿宋"/>
          <w:szCs w:val="30"/>
          <w:highlight w:val="none"/>
          <w:lang w:val="en-US" w:eastAsia="zh-CN"/>
        </w:rPr>
        <w:t>1.</w:t>
      </w:r>
      <w:r>
        <w:rPr>
          <w:rFonts w:hint="eastAsia" w:hAnsi="仿宋"/>
          <w:szCs w:val="30"/>
          <w:highlight w:val="none"/>
        </w:rPr>
        <w:t>综合比较法：对项目实际情况，采取不同维度的比较方法。对于实施目的明确，实施计划清晰的项目内容，将当期实施情况与预先计划或目标进行对比分析；对于成本易于计算而效益不易计量的项目支出内容，采用比较多个方案成本高低的方法评价资金投入的经济性；对于历史数据完整充分的项目支出内容，分析其历史上的价格变化及效益波动情况。</w:t>
      </w:r>
    </w:p>
    <w:p>
      <w:pPr>
        <w:spacing w:line="579" w:lineRule="exact"/>
        <w:ind w:firstLine="630" w:firstLineChars="200"/>
        <w:rPr>
          <w:rFonts w:hint="eastAsia" w:hAnsi="仿宋"/>
          <w:szCs w:val="30"/>
          <w:highlight w:val="none"/>
        </w:rPr>
      </w:pPr>
      <w:r>
        <w:rPr>
          <w:rFonts w:hint="eastAsia" w:hAnsi="仿宋"/>
          <w:szCs w:val="30"/>
          <w:highlight w:val="none"/>
          <w:lang w:val="en-US" w:eastAsia="zh-CN"/>
        </w:rPr>
        <w:t>2.</w:t>
      </w:r>
      <w:r>
        <w:rPr>
          <w:rFonts w:hint="eastAsia" w:hAnsi="仿宋"/>
          <w:szCs w:val="30"/>
          <w:highlight w:val="none"/>
        </w:rPr>
        <w:t>资料查阅和政策解读：首先通过全面查阅被评价单位提交的项目相关资料，主要包括项目预算安排、项目管理制度文件、项目资金使用相关凭证、项目实施完成相关统计数据，工作总结、贯彻执行的有关政策文件，项目实施档案资料等。</w:t>
      </w:r>
    </w:p>
    <w:p>
      <w:pPr>
        <w:spacing w:line="579" w:lineRule="exact"/>
        <w:ind w:firstLine="630" w:firstLineChars="200"/>
        <w:rPr>
          <w:rFonts w:hAnsi="仿宋"/>
          <w:szCs w:val="30"/>
          <w:highlight w:val="none"/>
        </w:rPr>
      </w:pPr>
      <w:r>
        <w:rPr>
          <w:rFonts w:hint="eastAsia" w:hAnsi="仿宋"/>
          <w:szCs w:val="30"/>
          <w:highlight w:val="none"/>
          <w:lang w:val="en-US" w:eastAsia="zh-CN"/>
        </w:rPr>
        <w:t>3.</w:t>
      </w:r>
      <w:r>
        <w:rPr>
          <w:rFonts w:hint="eastAsia" w:hAnsi="仿宋"/>
          <w:szCs w:val="30"/>
          <w:highlight w:val="none"/>
        </w:rPr>
        <w:t>因素分析法：将影响投入和产生的各项因素罗列出来进行分析，并将投入产出比进行计算据以评价的一种方法，如该项目中实施进度缓慢影响因素较多，评价中仅对客观、主观、外环境和内环境等进行因素分析及评价。</w:t>
      </w:r>
    </w:p>
    <w:p>
      <w:pPr>
        <w:spacing w:line="579" w:lineRule="exact"/>
        <w:ind w:firstLine="630" w:firstLineChars="200"/>
        <w:rPr>
          <w:rFonts w:hAnsi="仿宋"/>
          <w:szCs w:val="30"/>
          <w:highlight w:val="none"/>
        </w:rPr>
      </w:pPr>
      <w:r>
        <w:rPr>
          <w:rFonts w:hint="eastAsia" w:hAnsi="仿宋"/>
          <w:szCs w:val="30"/>
          <w:highlight w:val="none"/>
          <w:lang w:val="en-US" w:eastAsia="zh-CN"/>
        </w:rPr>
        <w:t>4.</w:t>
      </w:r>
      <w:r>
        <w:rPr>
          <w:rFonts w:hint="eastAsia" w:hAnsi="仿宋"/>
          <w:szCs w:val="30"/>
          <w:highlight w:val="none"/>
        </w:rPr>
        <w:t>公众评判法：对于无法用指标计量其效益的情形，通过选择项目相关方进行综合评价，如社会公众、项目受益方、社会监督方等，进行访谈、问卷或抽样调查以评判其效益，社会公众的认同度高低为其评价标准。</w:t>
      </w:r>
    </w:p>
    <w:p>
      <w:pPr>
        <w:spacing w:line="579" w:lineRule="exact"/>
        <w:ind w:firstLine="630" w:firstLineChars="200"/>
        <w:outlineLvl w:val="1"/>
        <w:rPr>
          <w:rFonts w:hint="default" w:ascii="楷体" w:hAnsi="楷体" w:eastAsia="楷体"/>
          <w:szCs w:val="30"/>
          <w:highlight w:val="none"/>
          <w:lang w:val="en-US" w:eastAsia="zh-CN"/>
        </w:rPr>
      </w:pPr>
      <w:bookmarkStart w:id="51" w:name="_Toc2464"/>
      <w:bookmarkStart w:id="52" w:name="_Toc1392"/>
      <w:r>
        <w:rPr>
          <w:rFonts w:hint="eastAsia" w:ascii="楷体" w:hAnsi="楷体" w:eastAsia="楷体"/>
          <w:szCs w:val="30"/>
          <w:highlight w:val="none"/>
          <w:lang w:eastAsia="zh-CN"/>
        </w:rPr>
        <w:t>（</w:t>
      </w:r>
      <w:r>
        <w:rPr>
          <w:rFonts w:hint="eastAsia" w:ascii="楷体" w:hAnsi="楷体" w:eastAsia="楷体"/>
          <w:szCs w:val="30"/>
          <w:highlight w:val="none"/>
          <w:lang w:val="en-US" w:eastAsia="zh-CN"/>
        </w:rPr>
        <w:t>四</w:t>
      </w:r>
      <w:r>
        <w:rPr>
          <w:rFonts w:hint="eastAsia" w:ascii="楷体" w:hAnsi="楷体" w:eastAsia="楷体"/>
          <w:szCs w:val="30"/>
          <w:highlight w:val="none"/>
          <w:lang w:eastAsia="zh-CN"/>
        </w:rPr>
        <w:t>）</w:t>
      </w:r>
      <w:r>
        <w:rPr>
          <w:rFonts w:hint="eastAsia" w:ascii="楷体" w:hAnsi="楷体" w:eastAsia="楷体"/>
          <w:szCs w:val="30"/>
          <w:highlight w:val="none"/>
          <w:lang w:val="en-US" w:eastAsia="zh-CN"/>
        </w:rPr>
        <w:t>绩效评价指标体系（设计思路）</w:t>
      </w:r>
      <w:bookmarkEnd w:id="51"/>
      <w:bookmarkEnd w:id="52"/>
    </w:p>
    <w:p>
      <w:pPr>
        <w:spacing w:line="579" w:lineRule="exact"/>
        <w:ind w:firstLine="630" w:firstLineChars="200"/>
        <w:rPr>
          <w:rFonts w:hint="eastAsia" w:hAnsi="仿宋" w:eastAsia="仿宋"/>
          <w:szCs w:val="30"/>
          <w:highlight w:val="none"/>
          <w:lang w:eastAsia="zh-CN"/>
        </w:rPr>
      </w:pPr>
      <w:r>
        <w:rPr>
          <w:rFonts w:hint="eastAsia" w:hAnsi="仿宋"/>
          <w:szCs w:val="30"/>
          <w:highlight w:val="none"/>
        </w:rPr>
        <w:t>1.绩效评价</w:t>
      </w:r>
      <w:r>
        <w:rPr>
          <w:rFonts w:hint="eastAsia" w:hAnsi="仿宋"/>
          <w:szCs w:val="30"/>
          <w:highlight w:val="none"/>
          <w:lang w:val="en-US" w:eastAsia="zh-CN"/>
        </w:rPr>
        <w:t>原则及设计思路</w:t>
      </w:r>
    </w:p>
    <w:p>
      <w:pPr>
        <w:spacing w:line="579" w:lineRule="exact"/>
        <w:ind w:firstLine="630" w:firstLineChars="200"/>
        <w:rPr>
          <w:rFonts w:hAnsi="仿宋"/>
          <w:szCs w:val="30"/>
          <w:highlight w:val="none"/>
        </w:rPr>
      </w:pPr>
      <w:r>
        <w:rPr>
          <w:rFonts w:hint="eastAsia" w:hAnsi="仿宋"/>
          <w:szCs w:val="30"/>
          <w:highlight w:val="none"/>
        </w:rPr>
        <w:t>（1）坚持以3E原则，即“经济性、效率性和有效性”作为绩效评价的基本原则。将“以较少的资源投入，较短的时间取得较大的产出”为原则，真实反映和衡量不同资金使用受益单位（部门）管理和使用财政资金的能力。</w:t>
      </w:r>
    </w:p>
    <w:p>
      <w:pPr>
        <w:spacing w:line="579" w:lineRule="exact"/>
        <w:ind w:firstLine="630" w:firstLineChars="200"/>
        <w:rPr>
          <w:rFonts w:hAnsi="仿宋"/>
          <w:szCs w:val="30"/>
          <w:highlight w:val="none"/>
        </w:rPr>
      </w:pPr>
      <w:r>
        <w:rPr>
          <w:rFonts w:hint="eastAsia" w:hAnsi="仿宋"/>
          <w:szCs w:val="30"/>
          <w:highlight w:val="none"/>
        </w:rPr>
        <w:t>（2）坚持从客观实际出发，共性和个性相结合的原则，实事求是，构建科学完善的绩效指标评价体系，既然统一的评价指标、评价标准、评价程序和方法，又兼顾不同评价对象的特殊性，具体问题具体分析，建议与之相适应的准则。</w:t>
      </w:r>
    </w:p>
    <w:p>
      <w:pPr>
        <w:spacing w:line="579" w:lineRule="exact"/>
        <w:ind w:firstLine="630" w:firstLineChars="200"/>
        <w:rPr>
          <w:rFonts w:hAnsi="仿宋"/>
          <w:szCs w:val="30"/>
          <w:highlight w:val="none"/>
        </w:rPr>
      </w:pPr>
      <w:r>
        <w:rPr>
          <w:rFonts w:hint="eastAsia" w:hAnsi="仿宋"/>
          <w:szCs w:val="30"/>
          <w:highlight w:val="none"/>
        </w:rPr>
        <w:t>（3）坚持科学规范性原则，定量分析和定性分析相结合，评价理论和方法具有可操作性。在评价工作中要把定量分析放在首位，定性分析尽量要以定量分析为依据。难以两个的支出执行结果要深入调查做定性分析，通过对项目支出的全面、综合因素分析，结合相关专家意见，与定量分析共同评价支出效果，合理、准确地反映支出实际绩效。</w:t>
      </w:r>
    </w:p>
    <w:p>
      <w:pPr>
        <w:spacing w:line="579" w:lineRule="exact"/>
        <w:ind w:firstLine="630" w:firstLineChars="200"/>
        <w:rPr>
          <w:rFonts w:hAnsi="仿宋"/>
          <w:szCs w:val="30"/>
          <w:highlight w:val="none"/>
        </w:rPr>
      </w:pPr>
      <w:r>
        <w:rPr>
          <w:rFonts w:hint="eastAsia" w:hAnsi="仿宋"/>
          <w:szCs w:val="30"/>
          <w:highlight w:val="none"/>
        </w:rPr>
        <w:t>2.</w:t>
      </w:r>
      <w:r>
        <w:rPr>
          <w:rFonts w:hint="eastAsia"/>
          <w:highlight w:val="none"/>
        </w:rPr>
        <w:t>绩效</w:t>
      </w:r>
      <w:r>
        <w:rPr>
          <w:rFonts w:hint="eastAsia" w:hAnsi="仿宋"/>
          <w:szCs w:val="30"/>
          <w:highlight w:val="none"/>
        </w:rPr>
        <w:t>评价指标体系</w:t>
      </w:r>
    </w:p>
    <w:p>
      <w:pPr>
        <w:spacing w:line="579" w:lineRule="exact"/>
        <w:ind w:firstLine="630" w:firstLineChars="200"/>
        <w:rPr>
          <w:rFonts w:hAnsi="仿宋"/>
          <w:szCs w:val="30"/>
          <w:highlight w:val="none"/>
        </w:rPr>
      </w:pPr>
      <w:r>
        <w:rPr>
          <w:rFonts w:hint="eastAsia" w:hAnsi="仿宋"/>
          <w:szCs w:val="30"/>
          <w:highlight w:val="none"/>
        </w:rPr>
        <w:t>绩效评价指标体系是本次评价工作的核心，为建立科学合理的指标体系，我</w:t>
      </w:r>
      <w:r>
        <w:rPr>
          <w:rFonts w:hint="eastAsia" w:hAnsi="仿宋"/>
          <w:szCs w:val="30"/>
          <w:highlight w:val="none"/>
          <w:lang w:val="en-US" w:eastAsia="zh-CN"/>
        </w:rPr>
        <w:t>公司评价组</w:t>
      </w:r>
      <w:r>
        <w:rPr>
          <w:rFonts w:hint="eastAsia" w:hAnsi="仿宋"/>
          <w:szCs w:val="30"/>
          <w:highlight w:val="none"/>
        </w:rPr>
        <w:t>紧紧围绕工作目标，参考项目绩效自评指标体系，结合</w:t>
      </w:r>
      <w:r>
        <w:rPr>
          <w:rFonts w:hint="eastAsia" w:hAnsi="仿宋"/>
          <w:szCs w:val="30"/>
          <w:highlight w:val="none"/>
          <w:lang w:val="en-US" w:eastAsia="zh-CN"/>
        </w:rPr>
        <w:t>项目</w:t>
      </w:r>
      <w:r>
        <w:rPr>
          <w:rFonts w:hint="eastAsia" w:hAnsi="仿宋"/>
          <w:szCs w:val="30"/>
          <w:highlight w:val="none"/>
        </w:rPr>
        <w:t>特点制定绩效评价指标体系。</w:t>
      </w:r>
    </w:p>
    <w:p>
      <w:pPr>
        <w:spacing w:line="579" w:lineRule="exact"/>
        <w:ind w:firstLine="630" w:firstLineChars="200"/>
        <w:rPr>
          <w:rFonts w:hint="eastAsia" w:hAnsi="仿宋"/>
          <w:szCs w:val="30"/>
          <w:highlight w:val="none"/>
        </w:rPr>
      </w:pPr>
      <w:r>
        <w:rPr>
          <w:rFonts w:hint="eastAsia" w:hAnsi="仿宋"/>
          <w:szCs w:val="30"/>
          <w:highlight w:val="none"/>
        </w:rPr>
        <w:t>本项目评价指标拟设置4个一级指标（投入、过程、产出、效果）；</w:t>
      </w:r>
      <w:r>
        <w:rPr>
          <w:rFonts w:hint="eastAsia" w:hAnsi="仿宋"/>
          <w:szCs w:val="30"/>
          <w:highlight w:val="none"/>
          <w:lang w:val="en-US" w:eastAsia="zh-CN"/>
        </w:rPr>
        <w:t>10</w:t>
      </w:r>
      <w:r>
        <w:rPr>
          <w:rFonts w:hint="eastAsia" w:hAnsi="仿宋"/>
          <w:szCs w:val="30"/>
          <w:highlight w:val="none"/>
        </w:rPr>
        <w:t>个二级指标（项目立项、资金投入、资金管理、</w:t>
      </w:r>
      <w:r>
        <w:rPr>
          <w:rFonts w:hint="eastAsia" w:hAnsi="仿宋"/>
          <w:szCs w:val="30"/>
          <w:highlight w:val="none"/>
          <w:lang w:val="en-US" w:eastAsia="zh-CN"/>
        </w:rPr>
        <w:t>项目</w:t>
      </w:r>
      <w:r>
        <w:rPr>
          <w:rFonts w:hint="eastAsia" w:hAnsi="仿宋"/>
          <w:szCs w:val="30"/>
          <w:highlight w:val="none"/>
        </w:rPr>
        <w:t>管理、产出数量、产出质量、社会效益、可持续效益指标</w:t>
      </w:r>
      <w:r>
        <w:rPr>
          <w:rFonts w:hint="eastAsia" w:hAnsi="仿宋"/>
          <w:szCs w:val="30"/>
          <w:highlight w:val="none"/>
          <w:lang w:eastAsia="zh-CN"/>
        </w:rPr>
        <w:t>、</w:t>
      </w:r>
      <w:r>
        <w:rPr>
          <w:rFonts w:hint="eastAsia" w:hAnsi="仿宋"/>
          <w:szCs w:val="30"/>
          <w:highlight w:val="none"/>
        </w:rPr>
        <w:t>满意度指标）；</w:t>
      </w:r>
      <w:r>
        <w:rPr>
          <w:rFonts w:hint="eastAsia" w:hAnsi="仿宋"/>
          <w:szCs w:val="30"/>
          <w:highlight w:val="none"/>
          <w:lang w:val="en-US" w:eastAsia="zh-CN"/>
        </w:rPr>
        <w:t>17</w:t>
      </w:r>
      <w:r>
        <w:rPr>
          <w:rFonts w:hint="eastAsia" w:hAnsi="仿宋"/>
          <w:szCs w:val="30"/>
          <w:highlight w:val="none"/>
        </w:rPr>
        <w:t>个三级指标。</w:t>
      </w:r>
    </w:p>
    <w:p>
      <w:pPr>
        <w:spacing w:line="579" w:lineRule="exact"/>
        <w:ind w:firstLine="630" w:firstLineChars="200"/>
        <w:rPr>
          <w:rFonts w:hAnsi="仿宋"/>
          <w:szCs w:val="30"/>
          <w:highlight w:val="none"/>
        </w:rPr>
      </w:pPr>
      <w:r>
        <w:rPr>
          <w:rFonts w:hint="eastAsia" w:hAnsi="仿宋"/>
          <w:szCs w:val="30"/>
          <w:highlight w:val="none"/>
          <w:lang w:val="en-US" w:eastAsia="zh-CN"/>
        </w:rPr>
        <w:t>3</w:t>
      </w:r>
      <w:r>
        <w:rPr>
          <w:rFonts w:hint="eastAsia" w:hAnsi="仿宋"/>
          <w:szCs w:val="30"/>
          <w:highlight w:val="none"/>
        </w:rPr>
        <w:t>.</w:t>
      </w:r>
      <w:r>
        <w:rPr>
          <w:rFonts w:hint="eastAsia"/>
          <w:highlight w:val="none"/>
        </w:rPr>
        <w:t>绩效</w:t>
      </w:r>
      <w:r>
        <w:rPr>
          <w:rFonts w:hint="eastAsia" w:hAnsi="仿宋"/>
          <w:szCs w:val="30"/>
          <w:highlight w:val="none"/>
        </w:rPr>
        <w:t>评价标准</w:t>
      </w:r>
    </w:p>
    <w:p>
      <w:pPr>
        <w:spacing w:line="579" w:lineRule="exact"/>
        <w:ind w:firstLine="630" w:firstLineChars="200"/>
        <w:outlineLvl w:val="1"/>
        <w:rPr>
          <w:rFonts w:hint="eastAsia" w:ascii="楷体" w:hAnsi="楷体" w:eastAsia="楷体"/>
          <w:szCs w:val="30"/>
          <w:highlight w:val="none"/>
        </w:rPr>
      </w:pPr>
      <w:bookmarkStart w:id="53" w:name="_Toc18580"/>
      <w:bookmarkStart w:id="54" w:name="_Toc9497"/>
      <w:bookmarkStart w:id="55" w:name="_Toc22626"/>
      <w:r>
        <w:rPr>
          <w:rFonts w:hint="eastAsia" w:hAnsi="仿宋"/>
          <w:color w:val="000000" w:themeColor="text1"/>
          <w:szCs w:val="30"/>
          <w:highlight w:val="none"/>
          <w14:textFill>
            <w14:solidFill>
              <w14:schemeClr w14:val="tx1"/>
            </w14:solidFill>
          </w14:textFill>
        </w:rPr>
        <w:t>本次评价采用百分制，各级指标依据其指标权重确定分值，评价人员根据评价情况对各级指标进行打分，最终得分由各级评价指标得分加总得到。根据最终得分情况将评价标准分为四个等级：</w:t>
      </w:r>
      <w:r>
        <w:rPr>
          <w:rFonts w:hint="eastAsia" w:eastAsia="仿宋_GB2312"/>
          <w:spacing w:val="6"/>
          <w:szCs w:val="30"/>
          <w:highlight w:val="none"/>
        </w:rPr>
        <w:t>≥90分为“优”；9</w:t>
      </w:r>
      <w:r>
        <w:rPr>
          <w:rFonts w:eastAsia="仿宋_GB2312"/>
          <w:spacing w:val="6"/>
          <w:szCs w:val="30"/>
          <w:highlight w:val="none"/>
        </w:rPr>
        <w:t>0</w:t>
      </w:r>
      <w:r>
        <w:rPr>
          <w:rFonts w:hint="eastAsia" w:eastAsia="仿宋_GB2312"/>
          <w:spacing w:val="6"/>
          <w:szCs w:val="30"/>
          <w:highlight w:val="none"/>
        </w:rPr>
        <w:t>分＞得分≥80分为“良”；80分＞得分≥6</w:t>
      </w:r>
      <w:r>
        <w:rPr>
          <w:rFonts w:eastAsia="仿宋_GB2312"/>
          <w:spacing w:val="6"/>
          <w:szCs w:val="30"/>
          <w:highlight w:val="none"/>
        </w:rPr>
        <w:t>0</w:t>
      </w:r>
      <w:r>
        <w:rPr>
          <w:rFonts w:hint="eastAsia" w:eastAsia="仿宋_GB2312"/>
          <w:spacing w:val="6"/>
          <w:szCs w:val="30"/>
          <w:highlight w:val="none"/>
        </w:rPr>
        <w:t>分为“中”；得分＜60分为“差”</w:t>
      </w:r>
      <w:r>
        <w:rPr>
          <w:rFonts w:hAnsi="仿宋"/>
          <w:color w:val="000000" w:themeColor="text1"/>
          <w:szCs w:val="30"/>
          <w:highlight w:val="none"/>
          <w14:textFill>
            <w14:solidFill>
              <w14:schemeClr w14:val="tx1"/>
            </w14:solidFill>
          </w14:textFill>
        </w:rPr>
        <w:t>。</w:t>
      </w:r>
      <w:bookmarkEnd w:id="53"/>
      <w:bookmarkEnd w:id="54"/>
      <w:bookmarkEnd w:id="55"/>
    </w:p>
    <w:p>
      <w:pPr>
        <w:spacing w:line="579" w:lineRule="exact"/>
        <w:ind w:firstLine="630" w:firstLineChars="200"/>
        <w:outlineLvl w:val="1"/>
        <w:rPr>
          <w:rFonts w:hAnsi="仿宋"/>
          <w:szCs w:val="30"/>
          <w:highlight w:val="none"/>
        </w:rPr>
      </w:pPr>
      <w:bookmarkStart w:id="56" w:name="_Toc14544"/>
      <w:bookmarkStart w:id="57" w:name="_Toc22429"/>
      <w:r>
        <w:rPr>
          <w:rFonts w:hint="eastAsia" w:ascii="黑体" w:hAnsi="黑体" w:eastAsia="黑体" w:cs="黑体"/>
          <w:szCs w:val="30"/>
          <w:highlight w:val="none"/>
          <w:lang w:eastAsia="zh-CN"/>
        </w:rPr>
        <w:t>（</w:t>
      </w:r>
      <w:r>
        <w:rPr>
          <w:rFonts w:hint="eastAsia" w:ascii="黑体" w:hAnsi="黑体" w:eastAsia="黑体" w:cs="黑体"/>
          <w:szCs w:val="30"/>
          <w:highlight w:val="none"/>
          <w:lang w:val="en-US" w:eastAsia="zh-CN"/>
        </w:rPr>
        <w:t>五</w:t>
      </w:r>
      <w:r>
        <w:rPr>
          <w:rFonts w:hint="eastAsia" w:ascii="黑体" w:hAnsi="黑体" w:eastAsia="黑体" w:cs="黑体"/>
          <w:szCs w:val="30"/>
          <w:highlight w:val="none"/>
          <w:lang w:eastAsia="zh-CN"/>
        </w:rPr>
        <w:t>）</w:t>
      </w:r>
      <w:r>
        <w:rPr>
          <w:rFonts w:hint="eastAsia" w:ascii="黑体" w:hAnsi="黑体" w:eastAsia="黑体" w:cs="黑体"/>
          <w:szCs w:val="30"/>
          <w:highlight w:val="none"/>
          <w:lang w:val="en-US" w:eastAsia="zh-CN"/>
        </w:rPr>
        <w:t>绩效评价抽样情况</w:t>
      </w:r>
      <w:bookmarkEnd w:id="56"/>
      <w:bookmarkEnd w:id="57"/>
    </w:p>
    <w:p>
      <w:pPr>
        <w:spacing w:line="579" w:lineRule="exact"/>
        <w:ind w:firstLine="630" w:firstLineChars="200"/>
        <w:outlineLvl w:val="1"/>
        <w:rPr>
          <w:rFonts w:hint="eastAsia" w:hAnsi="仿宋"/>
          <w:szCs w:val="30"/>
          <w:highlight w:val="none"/>
        </w:rPr>
      </w:pPr>
      <w:bookmarkStart w:id="58" w:name="_Toc5702"/>
      <w:bookmarkStart w:id="59" w:name="_Toc7605"/>
      <w:bookmarkStart w:id="60" w:name="_Toc11431"/>
      <w:r>
        <w:rPr>
          <w:rFonts w:hint="eastAsia" w:hAnsi="仿宋"/>
          <w:szCs w:val="30"/>
          <w:highlight w:val="none"/>
        </w:rPr>
        <w:t>本次绩效评价累计发放</w:t>
      </w:r>
      <w:r>
        <w:rPr>
          <w:rFonts w:hint="eastAsia" w:hAnsi="仿宋"/>
          <w:szCs w:val="30"/>
          <w:highlight w:val="none"/>
          <w:lang w:val="en-US" w:eastAsia="zh-CN"/>
        </w:rPr>
        <w:t>2000</w:t>
      </w:r>
      <w:r>
        <w:rPr>
          <w:rFonts w:hint="eastAsia" w:hAnsi="仿宋"/>
          <w:szCs w:val="30"/>
          <w:highlight w:val="none"/>
        </w:rPr>
        <w:t>份问卷调查表，回收</w:t>
      </w:r>
      <w:r>
        <w:rPr>
          <w:rFonts w:hint="eastAsia" w:hAnsi="仿宋"/>
          <w:szCs w:val="30"/>
          <w:highlight w:val="none"/>
          <w:lang w:val="en-US" w:eastAsia="zh-CN"/>
        </w:rPr>
        <w:t>1500</w:t>
      </w:r>
      <w:r>
        <w:rPr>
          <w:rFonts w:hint="eastAsia" w:hAnsi="仿宋"/>
          <w:szCs w:val="30"/>
          <w:highlight w:val="none"/>
        </w:rPr>
        <w:t>份有效问卷。</w:t>
      </w:r>
      <w:r>
        <w:rPr>
          <w:rFonts w:hint="eastAsia" w:hAnsi="仿宋"/>
          <w:szCs w:val="30"/>
          <w:highlight w:val="none"/>
          <w:lang w:val="en-US" w:eastAsia="zh-CN"/>
        </w:rPr>
        <w:t>“新冠专项资金”项目受益对象，即人民群众，为问卷调查的对象，根据“新冠专项资金”项目开展情况，本次问卷主要从</w:t>
      </w:r>
      <w:r>
        <w:rPr>
          <w:rFonts w:hint="eastAsia" w:hAnsi="仿宋"/>
          <w:szCs w:val="30"/>
          <w:highlight w:val="none"/>
        </w:rPr>
        <w:t>项目受益群体对本项目开展方式、模式</w:t>
      </w:r>
      <w:r>
        <w:rPr>
          <w:rFonts w:hint="eastAsia" w:hAnsi="仿宋"/>
          <w:szCs w:val="30"/>
          <w:highlight w:val="none"/>
          <w:lang w:eastAsia="zh-CN"/>
        </w:rPr>
        <w:t>、</w:t>
      </w:r>
      <w:r>
        <w:rPr>
          <w:rFonts w:hint="eastAsia" w:hAnsi="仿宋"/>
          <w:szCs w:val="30"/>
          <w:highlight w:val="none"/>
          <w:lang w:val="en-US" w:eastAsia="zh-CN"/>
        </w:rPr>
        <w:t>筛查审核</w:t>
      </w:r>
      <w:r>
        <w:rPr>
          <w:rFonts w:hint="eastAsia" w:hAnsi="仿宋"/>
          <w:szCs w:val="30"/>
          <w:highlight w:val="none"/>
        </w:rPr>
        <w:t>等事项的满意度</w:t>
      </w:r>
      <w:r>
        <w:rPr>
          <w:rFonts w:hint="eastAsia" w:hAnsi="仿宋"/>
          <w:szCs w:val="30"/>
          <w:highlight w:val="none"/>
          <w:lang w:val="en-US" w:eastAsia="zh-CN"/>
        </w:rPr>
        <w:t>为切入点，进行满意度调查。</w:t>
      </w:r>
      <w:r>
        <w:rPr>
          <w:rFonts w:hint="eastAsia" w:hAnsi="仿宋"/>
          <w:szCs w:val="30"/>
          <w:highlight w:val="none"/>
        </w:rPr>
        <w:t>根据问卷结果显示</w:t>
      </w:r>
      <w:r>
        <w:rPr>
          <w:rFonts w:hint="eastAsia" w:hAnsi="仿宋"/>
          <w:szCs w:val="30"/>
          <w:highlight w:val="none"/>
          <w:lang w:eastAsia="zh-CN"/>
        </w:rPr>
        <w:t>“</w:t>
      </w:r>
      <w:r>
        <w:rPr>
          <w:rFonts w:hint="eastAsia" w:hAnsi="仿宋"/>
          <w:szCs w:val="30"/>
          <w:highlight w:val="none"/>
          <w:lang w:val="en-US" w:eastAsia="zh-CN"/>
        </w:rPr>
        <w:t>新冠专项资金</w:t>
      </w:r>
      <w:r>
        <w:rPr>
          <w:rFonts w:hint="eastAsia" w:hAnsi="仿宋"/>
          <w:szCs w:val="30"/>
          <w:highlight w:val="none"/>
          <w:lang w:eastAsia="zh-CN"/>
        </w:rPr>
        <w:t>”</w:t>
      </w:r>
      <w:r>
        <w:rPr>
          <w:rFonts w:hint="eastAsia" w:hAnsi="仿宋"/>
          <w:szCs w:val="30"/>
          <w:highlight w:val="none"/>
        </w:rPr>
        <w:t>项目的满意程度为</w:t>
      </w:r>
      <w:r>
        <w:rPr>
          <w:rFonts w:hint="eastAsia" w:hAnsi="仿宋"/>
          <w:szCs w:val="30"/>
          <w:highlight w:val="none"/>
          <w:lang w:val="en-US" w:eastAsia="zh-CN"/>
        </w:rPr>
        <w:t>75</w:t>
      </w:r>
      <w:r>
        <w:rPr>
          <w:rFonts w:hint="eastAsia" w:hAnsi="仿宋"/>
          <w:szCs w:val="30"/>
          <w:highlight w:val="none"/>
        </w:rPr>
        <w:t>%。受益群体对项目政策知晓情况以及对</w:t>
      </w:r>
      <w:r>
        <w:rPr>
          <w:rFonts w:hint="eastAsia" w:hAnsi="仿宋"/>
          <w:szCs w:val="30"/>
          <w:highlight w:val="none"/>
          <w:lang w:val="en-US" w:eastAsia="zh-CN"/>
        </w:rPr>
        <w:t>新冠专项资金</w:t>
      </w:r>
      <w:r>
        <w:rPr>
          <w:rFonts w:hint="eastAsia" w:hAnsi="仿宋"/>
          <w:szCs w:val="30"/>
          <w:highlight w:val="none"/>
        </w:rPr>
        <w:t>项目开展方式、模式满意度</w:t>
      </w:r>
      <w:r>
        <w:rPr>
          <w:rFonts w:hint="eastAsia" w:hAnsi="仿宋"/>
          <w:szCs w:val="30"/>
          <w:highlight w:val="none"/>
          <w:lang w:val="en-US" w:eastAsia="zh-CN"/>
        </w:rPr>
        <w:t>较好</w:t>
      </w:r>
      <w:r>
        <w:rPr>
          <w:rFonts w:hint="eastAsia" w:hAnsi="仿宋"/>
          <w:szCs w:val="30"/>
          <w:highlight w:val="none"/>
        </w:rPr>
        <w:t>。详见附件3。</w:t>
      </w:r>
      <w:bookmarkEnd w:id="58"/>
      <w:bookmarkEnd w:id="59"/>
      <w:bookmarkEnd w:id="60"/>
    </w:p>
    <w:p>
      <w:pPr>
        <w:spacing w:line="579" w:lineRule="exact"/>
        <w:ind w:firstLine="630" w:firstLineChars="200"/>
        <w:outlineLvl w:val="0"/>
        <w:rPr>
          <w:rFonts w:hint="eastAsia" w:ascii="黑体" w:hAnsi="黑体" w:eastAsia="黑体" w:cs="黑体"/>
          <w:szCs w:val="30"/>
          <w:highlight w:val="none"/>
          <w:lang w:val="en-US" w:eastAsia="zh-CN"/>
        </w:rPr>
      </w:pPr>
      <w:bookmarkStart w:id="61" w:name="_Toc27790"/>
      <w:bookmarkStart w:id="62" w:name="_Toc17545"/>
      <w:r>
        <w:rPr>
          <w:rFonts w:hint="eastAsia" w:ascii="黑体" w:hAnsi="黑体" w:eastAsia="黑体" w:cs="黑体"/>
          <w:szCs w:val="30"/>
          <w:highlight w:val="none"/>
          <w:lang w:val="en-US" w:eastAsia="zh-CN"/>
        </w:rPr>
        <w:t>四、绩效评价结论</w:t>
      </w:r>
      <w:bookmarkEnd w:id="61"/>
      <w:bookmarkEnd w:id="62"/>
    </w:p>
    <w:p>
      <w:pPr>
        <w:spacing w:line="579" w:lineRule="exact"/>
        <w:ind w:firstLine="630" w:firstLineChars="200"/>
        <w:outlineLvl w:val="1"/>
        <w:rPr>
          <w:rFonts w:hint="default" w:ascii="黑体" w:hAnsi="黑体" w:eastAsia="黑体" w:cs="黑体"/>
          <w:szCs w:val="30"/>
          <w:highlight w:val="none"/>
          <w:lang w:val="en-US" w:eastAsia="zh-CN"/>
        </w:rPr>
      </w:pPr>
      <w:bookmarkStart w:id="63" w:name="_Toc15848"/>
      <w:bookmarkStart w:id="64" w:name="_Toc19023"/>
      <w:r>
        <w:rPr>
          <w:rFonts w:hint="eastAsia" w:ascii="楷体" w:hAnsi="楷体" w:eastAsia="楷体" w:cs="楷体"/>
          <w:szCs w:val="30"/>
          <w:highlight w:val="none"/>
          <w:lang w:eastAsia="zh-CN"/>
        </w:rPr>
        <w:t>（</w:t>
      </w:r>
      <w:r>
        <w:rPr>
          <w:rFonts w:hint="eastAsia" w:ascii="楷体" w:hAnsi="楷体" w:eastAsia="楷体" w:cs="楷体"/>
          <w:szCs w:val="30"/>
          <w:highlight w:val="none"/>
          <w:lang w:val="en-US" w:eastAsia="zh-CN"/>
        </w:rPr>
        <w:t>一</w:t>
      </w:r>
      <w:r>
        <w:rPr>
          <w:rFonts w:hint="eastAsia" w:ascii="楷体" w:hAnsi="楷体" w:eastAsia="楷体" w:cs="楷体"/>
          <w:szCs w:val="30"/>
          <w:highlight w:val="none"/>
          <w:lang w:eastAsia="zh-CN"/>
        </w:rPr>
        <w:t>）</w:t>
      </w:r>
      <w:r>
        <w:rPr>
          <w:rFonts w:hint="eastAsia" w:ascii="楷体" w:hAnsi="楷体" w:eastAsia="楷体" w:cs="楷体"/>
          <w:szCs w:val="30"/>
          <w:highlight w:val="none"/>
          <w:lang w:val="en-US" w:eastAsia="zh-CN"/>
        </w:rPr>
        <w:t>绩效评价综合结论</w:t>
      </w:r>
      <w:bookmarkEnd w:id="63"/>
      <w:bookmarkEnd w:id="64"/>
    </w:p>
    <w:bookmarkEnd w:id="15"/>
    <w:bookmarkEnd w:id="16"/>
    <w:p>
      <w:pPr>
        <w:spacing w:line="579" w:lineRule="exact"/>
        <w:ind w:firstLine="630" w:firstLineChars="200"/>
        <w:rPr>
          <w:rFonts w:hAnsi="仿宋"/>
          <w:color w:val="000000" w:themeColor="text1"/>
          <w:szCs w:val="30"/>
          <w:highlight w:val="none"/>
          <w14:textFill>
            <w14:solidFill>
              <w14:schemeClr w14:val="tx1"/>
            </w14:solidFill>
          </w14:textFill>
        </w:rPr>
      </w:pPr>
      <w:bookmarkStart w:id="65" w:name="_Hlk525314439"/>
      <w:bookmarkStart w:id="66" w:name="_Toc29029"/>
      <w:bookmarkStart w:id="67" w:name="_Toc7977_WPSOffice_Level1"/>
      <w:r>
        <w:rPr>
          <w:rFonts w:hint="eastAsia" w:hAnsi="仿宋"/>
          <w:color w:val="000000" w:themeColor="text1"/>
          <w:szCs w:val="30"/>
          <w:highlight w:val="none"/>
          <w:lang w:eastAsia="zh-CN"/>
          <w14:textFill>
            <w14:solidFill>
              <w14:schemeClr w14:val="tx1"/>
            </w14:solidFill>
          </w14:textFill>
        </w:rPr>
        <w:t>“</w:t>
      </w:r>
      <w:r>
        <w:rPr>
          <w:rFonts w:hint="eastAsia" w:hAnsi="仿宋"/>
          <w:szCs w:val="30"/>
          <w:highlight w:val="none"/>
          <w:lang w:val="en-US" w:eastAsia="zh-CN"/>
        </w:rPr>
        <w:t>新冠专项资金</w:t>
      </w:r>
      <w:r>
        <w:rPr>
          <w:rFonts w:hint="eastAsia" w:hAnsi="仿宋"/>
          <w:color w:val="000000" w:themeColor="text1"/>
          <w:szCs w:val="30"/>
          <w:highlight w:val="none"/>
          <w:lang w:eastAsia="zh-CN"/>
          <w14:textFill>
            <w14:solidFill>
              <w14:schemeClr w14:val="tx1"/>
            </w14:solidFill>
          </w14:textFill>
        </w:rPr>
        <w:t>”</w:t>
      </w:r>
      <w:r>
        <w:rPr>
          <w:rFonts w:hint="eastAsia" w:hAnsi="仿宋"/>
          <w:color w:val="000000" w:themeColor="text1"/>
          <w:szCs w:val="30"/>
          <w:highlight w:val="none"/>
          <w14:textFill>
            <w14:solidFill>
              <w14:schemeClr w14:val="tx1"/>
            </w14:solidFill>
          </w14:textFill>
        </w:rPr>
        <w:t>项目绩效评价得分</w:t>
      </w:r>
      <w:r>
        <w:rPr>
          <w:rFonts w:hint="eastAsia" w:hAnsi="仿宋"/>
          <w:color w:val="000000" w:themeColor="text1"/>
          <w:szCs w:val="30"/>
          <w:highlight w:val="none"/>
          <w:lang w:val="en-US" w:eastAsia="zh-CN"/>
          <w14:textFill>
            <w14:solidFill>
              <w14:schemeClr w14:val="tx1"/>
            </w14:solidFill>
          </w14:textFill>
        </w:rPr>
        <w:t>94.44</w:t>
      </w:r>
      <w:r>
        <w:rPr>
          <w:rFonts w:hint="eastAsia" w:hAnsi="仿宋"/>
          <w:color w:val="000000" w:themeColor="text1"/>
          <w:szCs w:val="30"/>
          <w:highlight w:val="none"/>
          <w14:textFill>
            <w14:solidFill>
              <w14:schemeClr w14:val="tx1"/>
            </w14:solidFill>
          </w14:textFill>
        </w:rPr>
        <w:t>分，评价等级为“</w:t>
      </w:r>
      <w:r>
        <w:rPr>
          <w:rFonts w:hint="eastAsia" w:hAnsi="仿宋"/>
          <w:color w:val="000000" w:themeColor="text1"/>
          <w:szCs w:val="30"/>
          <w:highlight w:val="none"/>
          <w:lang w:val="en-US" w:eastAsia="zh-CN"/>
          <w14:textFill>
            <w14:solidFill>
              <w14:schemeClr w14:val="tx1"/>
            </w14:solidFill>
          </w14:textFill>
        </w:rPr>
        <w:t>优</w:t>
      </w:r>
      <w:r>
        <w:rPr>
          <w:rFonts w:hint="eastAsia" w:hAnsi="仿宋"/>
          <w:color w:val="000000" w:themeColor="text1"/>
          <w:szCs w:val="30"/>
          <w:highlight w:val="none"/>
          <w14:textFill>
            <w14:solidFill>
              <w14:schemeClr w14:val="tx1"/>
            </w14:solidFill>
          </w14:textFill>
        </w:rPr>
        <w:t>”。一级指标具体得分情况详见下表：</w:t>
      </w:r>
    </w:p>
    <w:p>
      <w:pPr>
        <w:jc w:val="center"/>
        <w:rPr>
          <w:rFonts w:ascii="黑体" w:hAnsi="黑体" w:eastAsia="黑体" w:cs="宋体"/>
          <w:bCs/>
          <w:sz w:val="24"/>
          <w:szCs w:val="24"/>
          <w:highlight w:val="none"/>
        </w:rPr>
      </w:pPr>
      <w:r>
        <w:rPr>
          <w:rFonts w:hint="eastAsia" w:ascii="黑体" w:hAnsi="黑体" w:eastAsia="黑体" w:cs="宋体"/>
          <w:bCs/>
          <w:sz w:val="24"/>
          <w:szCs w:val="24"/>
          <w:highlight w:val="none"/>
        </w:rPr>
        <w:t>表2：绩效评价得分情况表</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212" w:type="dxa"/>
            <w:tcBorders>
              <w:top w:val="single" w:color="auto" w:sz="4" w:space="0"/>
            </w:tcBorders>
            <w:vAlign w:val="center"/>
          </w:tcPr>
          <w:p>
            <w:pPr>
              <w:snapToGrid w:val="0"/>
              <w:spacing w:line="240" w:lineRule="exact"/>
              <w:jc w:val="center"/>
              <w:rPr>
                <w:rFonts w:hAnsi="仿宋" w:cs="宋体"/>
                <w:b/>
                <w:bCs/>
                <w:spacing w:val="6"/>
                <w:sz w:val="21"/>
                <w:highlight w:val="none"/>
              </w:rPr>
            </w:pPr>
            <w:r>
              <w:rPr>
                <w:rFonts w:hint="eastAsia" w:hAnsi="仿宋" w:cs="宋体"/>
                <w:b/>
                <w:bCs/>
                <w:spacing w:val="6"/>
                <w:sz w:val="21"/>
                <w:highlight w:val="none"/>
              </w:rPr>
              <w:t>一级指标</w:t>
            </w:r>
          </w:p>
        </w:tc>
        <w:tc>
          <w:tcPr>
            <w:tcW w:w="2211" w:type="dxa"/>
            <w:tcBorders>
              <w:top w:val="single" w:color="auto" w:sz="4" w:space="0"/>
            </w:tcBorders>
            <w:vAlign w:val="center"/>
          </w:tcPr>
          <w:p>
            <w:pPr>
              <w:snapToGrid w:val="0"/>
              <w:spacing w:line="240" w:lineRule="exact"/>
              <w:jc w:val="center"/>
              <w:rPr>
                <w:rFonts w:hAnsi="仿宋" w:cs="宋体"/>
                <w:b/>
                <w:bCs/>
                <w:spacing w:val="6"/>
                <w:sz w:val="21"/>
                <w:highlight w:val="none"/>
              </w:rPr>
            </w:pPr>
            <w:r>
              <w:rPr>
                <w:rFonts w:hint="eastAsia" w:hAnsi="仿宋" w:cs="宋体"/>
                <w:b/>
                <w:bCs/>
                <w:spacing w:val="6"/>
                <w:sz w:val="21"/>
                <w:highlight w:val="none"/>
              </w:rPr>
              <w:t>指标分值</w:t>
            </w:r>
          </w:p>
        </w:tc>
        <w:tc>
          <w:tcPr>
            <w:tcW w:w="2211" w:type="dxa"/>
            <w:tcBorders>
              <w:top w:val="single" w:color="auto" w:sz="4" w:space="0"/>
            </w:tcBorders>
            <w:vAlign w:val="center"/>
          </w:tcPr>
          <w:p>
            <w:pPr>
              <w:snapToGrid w:val="0"/>
              <w:spacing w:line="240" w:lineRule="exact"/>
              <w:jc w:val="center"/>
              <w:rPr>
                <w:rFonts w:hAnsi="仿宋" w:cs="宋体"/>
                <w:b/>
                <w:bCs/>
                <w:spacing w:val="6"/>
                <w:sz w:val="21"/>
                <w:highlight w:val="none"/>
              </w:rPr>
            </w:pPr>
            <w:r>
              <w:rPr>
                <w:rFonts w:hint="eastAsia" w:hAnsi="仿宋" w:cs="宋体"/>
                <w:b/>
                <w:bCs/>
                <w:spacing w:val="6"/>
                <w:sz w:val="21"/>
                <w:highlight w:val="none"/>
              </w:rPr>
              <w:t>评价得分</w:t>
            </w:r>
          </w:p>
        </w:tc>
        <w:tc>
          <w:tcPr>
            <w:tcW w:w="2211" w:type="dxa"/>
            <w:tcBorders>
              <w:top w:val="single" w:color="auto" w:sz="4" w:space="0"/>
            </w:tcBorders>
            <w:vAlign w:val="center"/>
          </w:tcPr>
          <w:p>
            <w:pPr>
              <w:snapToGrid w:val="0"/>
              <w:spacing w:line="240" w:lineRule="exact"/>
              <w:jc w:val="center"/>
              <w:rPr>
                <w:rFonts w:hAnsi="仿宋" w:cs="宋体"/>
                <w:b/>
                <w:bCs/>
                <w:spacing w:val="6"/>
                <w:sz w:val="21"/>
                <w:highlight w:val="none"/>
              </w:rPr>
            </w:pPr>
            <w:r>
              <w:rPr>
                <w:rFonts w:hint="eastAsia" w:hAnsi="仿宋" w:cs="宋体"/>
                <w:b/>
                <w:bCs/>
                <w:spacing w:val="6"/>
                <w:sz w:val="21"/>
                <w:highlight w:val="none"/>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240" w:lineRule="exact"/>
              <w:jc w:val="center"/>
              <w:rPr>
                <w:rFonts w:hAnsi="仿宋" w:cs="宋体"/>
                <w:bCs/>
                <w:spacing w:val="6"/>
                <w:sz w:val="21"/>
                <w:highlight w:val="none"/>
              </w:rPr>
            </w:pPr>
            <w:r>
              <w:rPr>
                <w:rFonts w:hint="eastAsia" w:hAnsi="仿宋" w:cs="宋体"/>
                <w:bCs/>
                <w:spacing w:val="6"/>
                <w:sz w:val="21"/>
                <w:highlight w:val="none"/>
              </w:rPr>
              <w:t>决策</w:t>
            </w:r>
          </w:p>
        </w:tc>
        <w:tc>
          <w:tcPr>
            <w:tcW w:w="2211" w:type="dxa"/>
            <w:vAlign w:val="center"/>
          </w:tcPr>
          <w:p>
            <w:pPr>
              <w:snapToGrid w:val="0"/>
              <w:spacing w:line="240" w:lineRule="exact"/>
              <w:jc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15</w:t>
            </w:r>
          </w:p>
        </w:tc>
        <w:tc>
          <w:tcPr>
            <w:tcW w:w="2211" w:type="dxa"/>
            <w:vAlign w:val="center"/>
          </w:tcPr>
          <w:p>
            <w:pPr>
              <w:snapToGrid w:val="0"/>
              <w:spacing w:line="240" w:lineRule="exact"/>
              <w:jc w:val="center"/>
              <w:rPr>
                <w:rFonts w:hint="default" w:hAnsi="仿宋" w:eastAsia="仿宋" w:cs="宋体"/>
                <w:bCs/>
                <w:spacing w:val="6"/>
                <w:sz w:val="21"/>
                <w:highlight w:val="none"/>
                <w:lang w:val="en-US" w:eastAsia="zh-CN"/>
              </w:rPr>
            </w:pPr>
            <w:r>
              <w:rPr>
                <w:rFonts w:hint="eastAsia" w:hAnsi="仿宋"/>
                <w:sz w:val="21"/>
                <w:highlight w:val="none"/>
                <w:lang w:val="en-US" w:eastAsia="zh-CN"/>
              </w:rPr>
              <w:t>15</w:t>
            </w:r>
          </w:p>
        </w:tc>
        <w:tc>
          <w:tcPr>
            <w:tcW w:w="2211" w:type="dxa"/>
            <w:vAlign w:val="center"/>
          </w:tcPr>
          <w:p>
            <w:pPr>
              <w:snapToGrid w:val="0"/>
              <w:spacing w:line="240" w:lineRule="exact"/>
              <w:jc w:val="center"/>
              <w:rPr>
                <w:rFonts w:hAnsi="仿宋" w:cs="宋体"/>
                <w:bCs/>
                <w:spacing w:val="6"/>
                <w:sz w:val="21"/>
                <w:highlight w:val="none"/>
              </w:rPr>
            </w:pPr>
            <w:r>
              <w:rPr>
                <w:rFonts w:hint="eastAsia" w:hAnsi="仿宋"/>
                <w:sz w:val="21"/>
                <w:highlight w:val="none"/>
                <w:lang w:val="en-US" w:eastAsia="zh-CN"/>
              </w:rPr>
              <w:t>100</w:t>
            </w:r>
            <w:r>
              <w:rPr>
                <w:rFonts w:hint="eastAsia" w:hAnsi="仿宋"/>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240" w:lineRule="exact"/>
              <w:jc w:val="center"/>
              <w:rPr>
                <w:rFonts w:hAnsi="仿宋" w:cs="宋体"/>
                <w:bCs/>
                <w:spacing w:val="6"/>
                <w:sz w:val="21"/>
                <w:highlight w:val="none"/>
              </w:rPr>
            </w:pPr>
            <w:r>
              <w:rPr>
                <w:rFonts w:hAnsi="仿宋" w:cs="宋体"/>
                <w:bCs/>
                <w:spacing w:val="6"/>
                <w:sz w:val="21"/>
                <w:highlight w:val="none"/>
              </w:rPr>
              <w:t>过程</w:t>
            </w:r>
          </w:p>
        </w:tc>
        <w:tc>
          <w:tcPr>
            <w:tcW w:w="2211" w:type="dxa"/>
            <w:vAlign w:val="center"/>
          </w:tcPr>
          <w:p>
            <w:pPr>
              <w:snapToGrid w:val="0"/>
              <w:spacing w:line="240" w:lineRule="exact"/>
              <w:jc w:val="center"/>
              <w:rPr>
                <w:rFonts w:hAnsi="仿宋" w:cs="宋体"/>
                <w:bCs/>
                <w:spacing w:val="6"/>
                <w:sz w:val="21"/>
                <w:highlight w:val="none"/>
              </w:rPr>
            </w:pPr>
            <w:r>
              <w:rPr>
                <w:rFonts w:hint="eastAsia" w:hAnsi="仿宋" w:cs="宋体"/>
                <w:bCs/>
                <w:spacing w:val="6"/>
                <w:sz w:val="21"/>
                <w:highlight w:val="none"/>
              </w:rPr>
              <w:t>25</w:t>
            </w:r>
          </w:p>
        </w:tc>
        <w:tc>
          <w:tcPr>
            <w:tcW w:w="2211" w:type="dxa"/>
            <w:vAlign w:val="center"/>
          </w:tcPr>
          <w:p>
            <w:pPr>
              <w:snapToGrid w:val="0"/>
              <w:spacing w:line="240" w:lineRule="exact"/>
              <w:jc w:val="center"/>
              <w:rPr>
                <w:rFonts w:hint="default" w:hAnsi="仿宋" w:eastAsia="仿宋" w:cs="宋体"/>
                <w:bCs/>
                <w:spacing w:val="6"/>
                <w:sz w:val="21"/>
                <w:highlight w:val="none"/>
                <w:lang w:val="en-US" w:eastAsia="zh-CN"/>
              </w:rPr>
            </w:pPr>
            <w:r>
              <w:rPr>
                <w:rFonts w:hint="eastAsia" w:hAnsi="仿宋"/>
                <w:sz w:val="21"/>
                <w:highlight w:val="none"/>
                <w:lang w:val="en-US" w:eastAsia="zh-CN"/>
              </w:rPr>
              <w:t>22.44</w:t>
            </w:r>
          </w:p>
        </w:tc>
        <w:tc>
          <w:tcPr>
            <w:tcW w:w="2211" w:type="dxa"/>
            <w:vAlign w:val="center"/>
          </w:tcPr>
          <w:p>
            <w:pPr>
              <w:snapToGrid w:val="0"/>
              <w:spacing w:line="240" w:lineRule="exact"/>
              <w:jc w:val="center"/>
              <w:rPr>
                <w:rFonts w:hAnsi="仿宋" w:cs="宋体"/>
                <w:bCs/>
                <w:spacing w:val="6"/>
                <w:sz w:val="21"/>
                <w:highlight w:val="none"/>
              </w:rPr>
            </w:pPr>
            <w:r>
              <w:rPr>
                <w:rFonts w:hint="eastAsia" w:hAnsi="仿宋"/>
                <w:sz w:val="21"/>
                <w:highlight w:val="none"/>
                <w:lang w:val="en-US" w:eastAsia="zh-CN"/>
              </w:rPr>
              <w:t>89.76</w:t>
            </w:r>
            <w:r>
              <w:rPr>
                <w:rFonts w:hint="eastAsia" w:hAnsi="仿宋"/>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240" w:lineRule="exact"/>
              <w:jc w:val="center"/>
              <w:rPr>
                <w:rFonts w:hAnsi="仿宋" w:cs="宋体"/>
                <w:bCs/>
                <w:spacing w:val="6"/>
                <w:sz w:val="21"/>
                <w:highlight w:val="none"/>
              </w:rPr>
            </w:pPr>
            <w:r>
              <w:rPr>
                <w:rFonts w:hAnsi="仿宋" w:cs="宋体"/>
                <w:bCs/>
                <w:spacing w:val="6"/>
                <w:sz w:val="21"/>
                <w:highlight w:val="none"/>
              </w:rPr>
              <w:t>产出</w:t>
            </w:r>
          </w:p>
        </w:tc>
        <w:tc>
          <w:tcPr>
            <w:tcW w:w="2211" w:type="dxa"/>
            <w:vAlign w:val="center"/>
          </w:tcPr>
          <w:p>
            <w:pPr>
              <w:snapToGrid w:val="0"/>
              <w:spacing w:line="240" w:lineRule="exact"/>
              <w:jc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w:t>
            </w:r>
          </w:p>
        </w:tc>
        <w:tc>
          <w:tcPr>
            <w:tcW w:w="2211" w:type="dxa"/>
            <w:vAlign w:val="center"/>
          </w:tcPr>
          <w:p>
            <w:pPr>
              <w:snapToGrid w:val="0"/>
              <w:spacing w:line="240" w:lineRule="exact"/>
              <w:jc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w:t>
            </w:r>
          </w:p>
        </w:tc>
        <w:tc>
          <w:tcPr>
            <w:tcW w:w="2211" w:type="dxa"/>
            <w:vAlign w:val="center"/>
          </w:tcPr>
          <w:p>
            <w:pPr>
              <w:snapToGrid w:val="0"/>
              <w:spacing w:line="240" w:lineRule="exact"/>
              <w:jc w:val="center"/>
              <w:rPr>
                <w:rFonts w:hAnsi="仿宋" w:cs="宋体"/>
                <w:bCs/>
                <w:spacing w:val="6"/>
                <w:sz w:val="21"/>
                <w:highlight w:val="none"/>
              </w:rPr>
            </w:pPr>
            <w:r>
              <w:rPr>
                <w:rFonts w:hint="eastAsia" w:hAnsi="仿宋"/>
                <w:sz w:val="21"/>
                <w:highlight w:val="none"/>
                <w:lang w:val="en-US" w:eastAsia="zh-CN"/>
              </w:rPr>
              <w:t>100</w:t>
            </w:r>
            <w:r>
              <w:rPr>
                <w:rFonts w:hint="eastAsia" w:hAnsi="仿宋"/>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240" w:lineRule="exact"/>
              <w:jc w:val="center"/>
              <w:rPr>
                <w:rFonts w:hAnsi="仿宋" w:cs="宋体"/>
                <w:bCs/>
                <w:spacing w:val="6"/>
                <w:sz w:val="21"/>
                <w:highlight w:val="none"/>
              </w:rPr>
            </w:pPr>
            <w:r>
              <w:rPr>
                <w:rFonts w:hAnsi="仿宋" w:cs="宋体"/>
                <w:bCs/>
                <w:spacing w:val="6"/>
                <w:sz w:val="21"/>
                <w:highlight w:val="none"/>
              </w:rPr>
              <w:t>效果</w:t>
            </w:r>
          </w:p>
        </w:tc>
        <w:tc>
          <w:tcPr>
            <w:tcW w:w="2211" w:type="dxa"/>
            <w:vAlign w:val="center"/>
          </w:tcPr>
          <w:p>
            <w:pPr>
              <w:snapToGrid w:val="0"/>
              <w:spacing w:line="240" w:lineRule="exact"/>
              <w:jc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w:t>
            </w:r>
          </w:p>
        </w:tc>
        <w:tc>
          <w:tcPr>
            <w:tcW w:w="2211" w:type="dxa"/>
            <w:vAlign w:val="center"/>
          </w:tcPr>
          <w:p>
            <w:pPr>
              <w:snapToGrid w:val="0"/>
              <w:spacing w:line="240" w:lineRule="exact"/>
              <w:jc w:val="center"/>
              <w:rPr>
                <w:rFonts w:hint="default" w:hAnsi="仿宋" w:eastAsia="仿宋" w:cs="宋体"/>
                <w:bCs/>
                <w:spacing w:val="6"/>
                <w:sz w:val="21"/>
                <w:highlight w:val="none"/>
                <w:lang w:val="en-US" w:eastAsia="zh-CN"/>
              </w:rPr>
            </w:pPr>
            <w:r>
              <w:rPr>
                <w:rFonts w:hint="eastAsia" w:hAnsi="仿宋"/>
                <w:sz w:val="21"/>
                <w:highlight w:val="none"/>
                <w:lang w:val="en-US" w:eastAsia="zh-CN"/>
              </w:rPr>
              <w:t>27</w:t>
            </w:r>
          </w:p>
        </w:tc>
        <w:tc>
          <w:tcPr>
            <w:tcW w:w="2211" w:type="dxa"/>
            <w:vAlign w:val="center"/>
          </w:tcPr>
          <w:p>
            <w:pPr>
              <w:snapToGrid w:val="0"/>
              <w:spacing w:line="240" w:lineRule="exact"/>
              <w:jc w:val="center"/>
              <w:rPr>
                <w:rFonts w:hAnsi="仿宋" w:cs="宋体"/>
                <w:bCs/>
                <w:spacing w:val="6"/>
                <w:sz w:val="21"/>
                <w:highlight w:val="none"/>
              </w:rPr>
            </w:pPr>
            <w:r>
              <w:rPr>
                <w:rFonts w:hint="eastAsia" w:hAnsi="仿宋"/>
                <w:sz w:val="21"/>
                <w:highlight w:val="none"/>
                <w:lang w:val="en-US" w:eastAsia="zh-CN"/>
              </w:rPr>
              <w:t>90</w:t>
            </w:r>
            <w:r>
              <w:rPr>
                <w:rFonts w:hint="eastAsia" w:hAnsi="仿宋"/>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240" w:lineRule="exact"/>
              <w:jc w:val="center"/>
              <w:rPr>
                <w:rFonts w:hAnsi="仿宋" w:cs="宋体"/>
                <w:b/>
                <w:bCs/>
                <w:spacing w:val="6"/>
                <w:sz w:val="21"/>
                <w:highlight w:val="none"/>
              </w:rPr>
            </w:pPr>
            <w:r>
              <w:rPr>
                <w:rFonts w:hAnsi="仿宋" w:cs="宋体"/>
                <w:b/>
                <w:bCs/>
                <w:spacing w:val="6"/>
                <w:sz w:val="21"/>
                <w:highlight w:val="none"/>
              </w:rPr>
              <w:t>合</w:t>
            </w:r>
            <w:r>
              <w:rPr>
                <w:rFonts w:hint="eastAsia" w:hAnsi="仿宋" w:cs="宋体"/>
                <w:b/>
                <w:bCs/>
                <w:spacing w:val="6"/>
                <w:sz w:val="21"/>
                <w:highlight w:val="none"/>
              </w:rPr>
              <w:t xml:space="preserve"> </w:t>
            </w:r>
            <w:r>
              <w:rPr>
                <w:rFonts w:hAnsi="仿宋" w:cs="宋体"/>
                <w:b/>
                <w:bCs/>
                <w:spacing w:val="6"/>
                <w:sz w:val="21"/>
                <w:highlight w:val="none"/>
              </w:rPr>
              <w:t>计</w:t>
            </w:r>
          </w:p>
        </w:tc>
        <w:tc>
          <w:tcPr>
            <w:tcW w:w="2211" w:type="dxa"/>
            <w:vAlign w:val="center"/>
          </w:tcPr>
          <w:p>
            <w:pPr>
              <w:snapToGrid w:val="0"/>
              <w:spacing w:line="240" w:lineRule="exact"/>
              <w:jc w:val="center"/>
              <w:rPr>
                <w:rFonts w:hAnsi="仿宋" w:cs="宋体"/>
                <w:b/>
                <w:bCs/>
                <w:spacing w:val="6"/>
                <w:sz w:val="21"/>
                <w:highlight w:val="none"/>
              </w:rPr>
            </w:pPr>
            <w:r>
              <w:rPr>
                <w:rFonts w:hint="eastAsia" w:hAnsi="仿宋" w:cs="宋体"/>
                <w:b/>
                <w:bCs/>
                <w:spacing w:val="6"/>
                <w:sz w:val="21"/>
                <w:highlight w:val="none"/>
              </w:rPr>
              <w:t>1</w:t>
            </w:r>
            <w:r>
              <w:rPr>
                <w:rFonts w:hAnsi="仿宋" w:cs="宋体"/>
                <w:b/>
                <w:bCs/>
                <w:spacing w:val="6"/>
                <w:sz w:val="21"/>
                <w:highlight w:val="none"/>
              </w:rPr>
              <w:t>00</w:t>
            </w:r>
          </w:p>
        </w:tc>
        <w:tc>
          <w:tcPr>
            <w:tcW w:w="2211" w:type="dxa"/>
            <w:vAlign w:val="center"/>
          </w:tcPr>
          <w:p>
            <w:pPr>
              <w:snapToGrid w:val="0"/>
              <w:spacing w:line="240" w:lineRule="exact"/>
              <w:jc w:val="center"/>
              <w:rPr>
                <w:rFonts w:hint="default" w:hAnsi="仿宋" w:cs="宋体"/>
                <w:b/>
                <w:bCs/>
                <w:spacing w:val="6"/>
                <w:sz w:val="21"/>
                <w:highlight w:val="none"/>
                <w:lang w:val="en-US"/>
              </w:rPr>
            </w:pPr>
            <w:r>
              <w:rPr>
                <w:rFonts w:hint="eastAsia" w:hAnsi="仿宋"/>
                <w:b/>
                <w:bCs/>
                <w:sz w:val="21"/>
                <w:highlight w:val="none"/>
                <w:lang w:val="en-US" w:eastAsia="zh-CN"/>
              </w:rPr>
              <w:t>94.44</w:t>
            </w:r>
          </w:p>
        </w:tc>
        <w:tc>
          <w:tcPr>
            <w:tcW w:w="2211" w:type="dxa"/>
            <w:vAlign w:val="center"/>
          </w:tcPr>
          <w:p>
            <w:pPr>
              <w:snapToGrid w:val="0"/>
              <w:spacing w:line="240" w:lineRule="exact"/>
              <w:jc w:val="center"/>
              <w:rPr>
                <w:rFonts w:hAnsi="仿宋" w:cs="宋体"/>
                <w:b/>
                <w:bCs/>
                <w:spacing w:val="6"/>
                <w:sz w:val="21"/>
                <w:highlight w:val="none"/>
              </w:rPr>
            </w:pPr>
            <w:r>
              <w:rPr>
                <w:rFonts w:hint="eastAsia" w:hAnsi="仿宋"/>
                <w:b/>
                <w:bCs/>
                <w:sz w:val="21"/>
                <w:highlight w:val="none"/>
                <w:lang w:val="en-US" w:eastAsia="zh-CN"/>
              </w:rPr>
              <w:t>94.44</w:t>
            </w:r>
            <w:r>
              <w:rPr>
                <w:rFonts w:hint="eastAsia" w:hAnsi="仿宋"/>
                <w:b/>
                <w:bCs/>
                <w:sz w:val="21"/>
                <w:highlight w:val="none"/>
              </w:rPr>
              <w:t>%</w:t>
            </w:r>
          </w:p>
        </w:tc>
      </w:tr>
    </w:tbl>
    <w:p>
      <w:pPr>
        <w:spacing w:line="579" w:lineRule="exact"/>
        <w:ind w:firstLine="630" w:firstLineChars="200"/>
        <w:rPr>
          <w:rFonts w:hint="eastAsia" w:hAnsi="仿宋"/>
          <w:szCs w:val="30"/>
          <w:highlight w:val="none"/>
        </w:rPr>
      </w:pPr>
      <w:r>
        <w:rPr>
          <w:rFonts w:hint="eastAsia" w:hAnsi="仿宋"/>
          <w:szCs w:val="30"/>
          <w:highlight w:val="none"/>
        </w:rPr>
        <w:t>综合评价结论</w:t>
      </w:r>
      <w:r>
        <w:rPr>
          <w:rFonts w:hAnsi="仿宋"/>
          <w:szCs w:val="30"/>
          <w:highlight w:val="none"/>
        </w:rPr>
        <w:t>:</w:t>
      </w:r>
      <w:r>
        <w:rPr>
          <w:rFonts w:hint="eastAsia" w:hAnsi="仿宋"/>
          <w:szCs w:val="30"/>
          <w:highlight w:val="none"/>
        </w:rPr>
        <w:t>项目实施制度和资金管理制度较健全，职责分工明确，“</w:t>
      </w:r>
      <w:r>
        <w:rPr>
          <w:rFonts w:hint="eastAsia" w:hAnsi="仿宋"/>
          <w:szCs w:val="30"/>
          <w:highlight w:val="none"/>
          <w:lang w:val="en-US" w:eastAsia="zh-CN"/>
        </w:rPr>
        <w:t>新冠专项资金</w:t>
      </w:r>
      <w:r>
        <w:rPr>
          <w:rFonts w:hint="eastAsia" w:hAnsi="仿宋"/>
          <w:szCs w:val="30"/>
          <w:highlight w:val="none"/>
        </w:rPr>
        <w:t xml:space="preserve">”工作程序规范。 </w:t>
      </w:r>
    </w:p>
    <w:p>
      <w:pPr>
        <w:spacing w:line="579" w:lineRule="exact"/>
        <w:ind w:firstLine="630" w:firstLineChars="200"/>
        <w:rPr>
          <w:rFonts w:hint="eastAsia" w:hAnsi="仿宋"/>
          <w:color w:val="000000" w:themeColor="text1"/>
          <w:szCs w:val="30"/>
          <w:highlight w:val="none"/>
          <w:lang w:val="en-US" w:eastAsia="zh-CN"/>
          <w14:textFill>
            <w14:solidFill>
              <w14:schemeClr w14:val="tx1"/>
            </w14:solidFill>
          </w14:textFill>
        </w:rPr>
      </w:pPr>
      <w:r>
        <w:rPr>
          <w:rFonts w:hint="eastAsia" w:hAnsi="仿宋"/>
          <w:szCs w:val="30"/>
          <w:highlight w:val="none"/>
        </w:rPr>
        <w:t>但</w:t>
      </w:r>
      <w:r>
        <w:rPr>
          <w:rFonts w:hint="eastAsia" w:hAnsi="仿宋"/>
          <w:szCs w:val="30"/>
          <w:highlight w:val="none"/>
          <w:lang w:val="en-US" w:eastAsia="zh-CN"/>
        </w:rPr>
        <w:t>仍</w:t>
      </w:r>
      <w:r>
        <w:rPr>
          <w:rFonts w:hint="eastAsia" w:hAnsi="仿宋"/>
          <w:color w:val="000000" w:themeColor="text1"/>
          <w:szCs w:val="30"/>
          <w:highlight w:val="none"/>
          <w14:textFill>
            <w14:solidFill>
              <w14:schemeClr w14:val="tx1"/>
            </w14:solidFill>
          </w14:textFill>
        </w:rPr>
        <w:t>存在</w:t>
      </w:r>
      <w:r>
        <w:rPr>
          <w:rFonts w:hint="eastAsia" w:hAnsi="仿宋"/>
          <w:color w:val="000000" w:themeColor="text1"/>
          <w:szCs w:val="30"/>
          <w:highlight w:val="none"/>
          <w:lang w:val="en-US" w:eastAsia="zh-CN"/>
          <w14:textFill>
            <w14:solidFill>
              <w14:schemeClr w14:val="tx1"/>
            </w14:solidFill>
          </w14:textFill>
        </w:rPr>
        <w:t>未</w:t>
      </w:r>
      <w:r>
        <w:rPr>
          <w:rFonts w:hint="eastAsia" w:hAnsi="仿宋"/>
          <w:color w:val="000000" w:themeColor="text1"/>
          <w:szCs w:val="30"/>
          <w:highlight w:val="none"/>
          <w14:textFill>
            <w14:solidFill>
              <w14:schemeClr w14:val="tx1"/>
            </w14:solidFill>
          </w14:textFill>
        </w:rPr>
        <w:t>设定专项资金绩效目标</w:t>
      </w:r>
      <w:r>
        <w:rPr>
          <w:rFonts w:hint="eastAsia" w:hAnsi="仿宋"/>
          <w:color w:val="000000" w:themeColor="text1"/>
          <w:szCs w:val="30"/>
          <w:highlight w:val="none"/>
          <w:lang w:eastAsia="zh-CN"/>
          <w14:textFill>
            <w14:solidFill>
              <w14:schemeClr w14:val="tx1"/>
            </w14:solidFill>
          </w14:textFill>
        </w:rPr>
        <w:t>、设计的绩效指标值</w:t>
      </w:r>
      <w:r>
        <w:rPr>
          <w:rFonts w:hint="eastAsia" w:hAnsi="仿宋"/>
          <w:color w:val="000000" w:themeColor="text1"/>
          <w:szCs w:val="30"/>
          <w:highlight w:val="none"/>
          <w:lang w:val="en-US" w:eastAsia="zh-CN"/>
          <w14:textFill>
            <w14:solidFill>
              <w14:schemeClr w14:val="tx1"/>
            </w14:solidFill>
          </w14:textFill>
        </w:rPr>
        <w:t>不</w:t>
      </w:r>
      <w:r>
        <w:rPr>
          <w:rFonts w:hint="eastAsia" w:hAnsi="仿宋"/>
          <w:color w:val="000000" w:themeColor="text1"/>
          <w:szCs w:val="30"/>
          <w:highlight w:val="none"/>
          <w:lang w:eastAsia="zh-CN"/>
          <w14:textFill>
            <w14:solidFill>
              <w14:schemeClr w14:val="tx1"/>
            </w14:solidFill>
          </w14:textFill>
        </w:rPr>
        <w:t>清晰，</w:t>
      </w:r>
      <w:r>
        <w:rPr>
          <w:rFonts w:hint="eastAsia" w:hAnsi="仿宋"/>
          <w:color w:val="000000" w:themeColor="text1"/>
          <w:szCs w:val="30"/>
          <w:highlight w:val="none"/>
          <w:lang w:val="en-US" w:eastAsia="zh-CN"/>
          <w14:textFill>
            <w14:solidFill>
              <w14:schemeClr w14:val="tx1"/>
            </w14:solidFill>
          </w14:textFill>
        </w:rPr>
        <w:t>不</w:t>
      </w:r>
      <w:r>
        <w:rPr>
          <w:rFonts w:hint="eastAsia" w:hAnsi="仿宋"/>
          <w:color w:val="000000" w:themeColor="text1"/>
          <w:szCs w:val="30"/>
          <w:highlight w:val="none"/>
          <w:lang w:eastAsia="zh-CN"/>
          <w14:textFill>
            <w14:solidFill>
              <w14:schemeClr w14:val="tx1"/>
            </w14:solidFill>
          </w14:textFill>
        </w:rPr>
        <w:t>可考核，</w:t>
      </w:r>
      <w:r>
        <w:rPr>
          <w:rFonts w:hint="eastAsia" w:hAnsi="仿宋"/>
          <w:color w:val="000000" w:themeColor="text1"/>
          <w:szCs w:val="30"/>
          <w:highlight w:val="none"/>
          <w:lang w:val="en-US" w:eastAsia="zh-CN"/>
          <w14:textFill>
            <w14:solidFill>
              <w14:schemeClr w14:val="tx1"/>
            </w14:solidFill>
          </w14:textFill>
        </w:rPr>
        <w:t>不</w:t>
      </w:r>
      <w:r>
        <w:rPr>
          <w:rFonts w:hint="eastAsia" w:hAnsi="仿宋"/>
          <w:color w:val="000000" w:themeColor="text1"/>
          <w:szCs w:val="30"/>
          <w:highlight w:val="none"/>
          <w:lang w:eastAsia="zh-CN"/>
          <w14:textFill>
            <w14:solidFill>
              <w14:schemeClr w14:val="tx1"/>
            </w14:solidFill>
          </w14:textFill>
        </w:rPr>
        <w:t>可衡量，存在“指标字义不清晰”、“考核无数据来源”、“考核依据无操作性”、</w:t>
      </w:r>
      <w:r>
        <w:rPr>
          <w:rFonts w:hint="eastAsia" w:hAnsi="仿宋"/>
          <w:color w:val="000000" w:themeColor="text1"/>
          <w:szCs w:val="30"/>
          <w:highlight w:val="none"/>
          <w:lang w:val="en-US" w:eastAsia="zh-CN"/>
          <w14:textFill>
            <w14:solidFill>
              <w14:schemeClr w14:val="tx1"/>
            </w14:solidFill>
          </w14:textFill>
        </w:rPr>
        <w:t>资金存在结余、社会群众满意度不高等情况。</w:t>
      </w:r>
      <w:bookmarkEnd w:id="65"/>
    </w:p>
    <w:p>
      <w:pPr>
        <w:spacing w:line="579" w:lineRule="exact"/>
        <w:ind w:firstLine="630" w:firstLineChars="200"/>
        <w:outlineLvl w:val="1"/>
        <w:rPr>
          <w:rFonts w:ascii="楷体" w:hAnsi="楷体" w:eastAsia="楷体"/>
          <w:szCs w:val="30"/>
          <w:highlight w:val="none"/>
        </w:rPr>
      </w:pPr>
      <w:bookmarkStart w:id="68" w:name="_Toc30200"/>
      <w:bookmarkStart w:id="69" w:name="_Toc11447"/>
      <w:bookmarkStart w:id="70" w:name="_Toc22895"/>
      <w:bookmarkStart w:id="71" w:name="_Toc18250884"/>
      <w:r>
        <w:rPr>
          <w:rFonts w:hint="eastAsia" w:ascii="楷体" w:hAnsi="楷体" w:eastAsia="楷体"/>
          <w:szCs w:val="30"/>
          <w:highlight w:val="none"/>
        </w:rPr>
        <w:t>（二）绩效目标实现情况</w:t>
      </w:r>
      <w:bookmarkEnd w:id="68"/>
      <w:bookmarkEnd w:id="69"/>
      <w:bookmarkEnd w:id="70"/>
      <w:bookmarkEnd w:id="71"/>
    </w:p>
    <w:p>
      <w:pPr>
        <w:widowControl/>
        <w:spacing w:line="579" w:lineRule="exact"/>
        <w:ind w:firstLine="630" w:firstLineChars="200"/>
        <w:rPr>
          <w:rFonts w:hAnsi="仿宋"/>
          <w:szCs w:val="30"/>
          <w:highlight w:val="none"/>
        </w:rPr>
      </w:pPr>
      <w:bookmarkStart w:id="72" w:name="_Hlk525314457"/>
      <w:r>
        <w:rPr>
          <w:rFonts w:hint="eastAsia" w:hAnsi="仿宋"/>
          <w:kern w:val="2"/>
          <w:szCs w:val="30"/>
          <w:highlight w:val="none"/>
        </w:rPr>
        <w:t>根据</w:t>
      </w:r>
      <w:r>
        <w:rPr>
          <w:rFonts w:hint="eastAsia" w:hAnsi="仿宋"/>
          <w:kern w:val="2"/>
          <w:szCs w:val="30"/>
          <w:highlight w:val="none"/>
          <w:lang w:val="en-US" w:eastAsia="zh-CN"/>
        </w:rPr>
        <w:t>绩效</w:t>
      </w:r>
      <w:r>
        <w:rPr>
          <w:rFonts w:hint="eastAsia" w:hAnsi="仿宋"/>
          <w:kern w:val="2"/>
          <w:szCs w:val="30"/>
          <w:highlight w:val="none"/>
        </w:rPr>
        <w:t>评价情况，</w:t>
      </w:r>
      <w:r>
        <w:rPr>
          <w:rFonts w:hint="eastAsia" w:hAnsi="仿宋"/>
          <w:kern w:val="2"/>
          <w:szCs w:val="30"/>
          <w:highlight w:val="none"/>
          <w:lang w:val="en-US" w:eastAsia="zh-CN"/>
        </w:rPr>
        <w:t>截止评价日，</w:t>
      </w:r>
      <w:r>
        <w:rPr>
          <w:rFonts w:hint="eastAsia" w:hAnsi="仿宋"/>
          <w:kern w:val="2"/>
          <w:szCs w:val="30"/>
          <w:highlight w:val="none"/>
          <w:lang w:eastAsia="zh-CN"/>
        </w:rPr>
        <w:t>“</w:t>
      </w:r>
      <w:r>
        <w:rPr>
          <w:rFonts w:hint="eastAsia" w:hAnsi="仿宋"/>
          <w:szCs w:val="30"/>
          <w:highlight w:val="none"/>
          <w:lang w:val="en-US" w:eastAsia="zh-CN"/>
        </w:rPr>
        <w:t>新冠专项资金</w:t>
      </w:r>
      <w:r>
        <w:rPr>
          <w:rFonts w:hint="eastAsia" w:hAnsi="仿宋"/>
          <w:kern w:val="2"/>
          <w:szCs w:val="30"/>
          <w:highlight w:val="none"/>
          <w:lang w:eastAsia="zh-CN"/>
        </w:rPr>
        <w:t>”</w:t>
      </w:r>
      <w:r>
        <w:rPr>
          <w:rFonts w:hint="eastAsia" w:hAnsi="仿宋"/>
          <w:kern w:val="2"/>
          <w:szCs w:val="30"/>
          <w:highlight w:val="none"/>
          <w:lang w:val="en-US" w:eastAsia="zh-CN"/>
        </w:rPr>
        <w:t>项目相关</w:t>
      </w:r>
      <w:r>
        <w:rPr>
          <w:rFonts w:hint="eastAsia" w:hAnsi="仿宋"/>
          <w:kern w:val="2"/>
          <w:szCs w:val="30"/>
          <w:highlight w:val="none"/>
        </w:rPr>
        <w:t>绩效目标</w:t>
      </w:r>
      <w:r>
        <w:rPr>
          <w:rFonts w:hint="eastAsia" w:hAnsi="仿宋"/>
          <w:kern w:val="2"/>
          <w:szCs w:val="30"/>
          <w:highlight w:val="none"/>
          <w:lang w:val="en-US" w:eastAsia="zh-CN"/>
        </w:rPr>
        <w:t>全面完成</w:t>
      </w:r>
      <w:r>
        <w:rPr>
          <w:rFonts w:hint="eastAsia" w:hAnsi="仿宋"/>
          <w:kern w:val="2"/>
          <w:szCs w:val="30"/>
          <w:highlight w:val="none"/>
        </w:rPr>
        <w:t>，</w:t>
      </w:r>
      <w:r>
        <w:rPr>
          <w:rFonts w:hint="eastAsia" w:hAnsi="仿宋"/>
          <w:kern w:val="2"/>
          <w:szCs w:val="30"/>
          <w:highlight w:val="none"/>
          <w:lang w:val="en-US" w:eastAsia="zh-CN"/>
        </w:rPr>
        <w:t>9</w:t>
      </w:r>
      <w:r>
        <w:rPr>
          <w:rFonts w:hint="eastAsia" w:hAnsi="仿宋"/>
          <w:kern w:val="2"/>
          <w:szCs w:val="30"/>
          <w:highlight w:val="none"/>
        </w:rPr>
        <w:t>项具体绩效指标中仅有</w:t>
      </w:r>
      <w:r>
        <w:rPr>
          <w:rFonts w:hint="eastAsia" w:hAnsi="仿宋"/>
          <w:kern w:val="2"/>
          <w:szCs w:val="30"/>
          <w:highlight w:val="none"/>
          <w:lang w:val="en-US" w:eastAsia="zh-CN"/>
        </w:rPr>
        <w:t>1</w:t>
      </w:r>
      <w:r>
        <w:rPr>
          <w:rFonts w:hint="eastAsia" w:hAnsi="仿宋"/>
          <w:kern w:val="2"/>
          <w:szCs w:val="30"/>
          <w:highlight w:val="none"/>
        </w:rPr>
        <w:t>项指标</w:t>
      </w:r>
      <w:r>
        <w:rPr>
          <w:rFonts w:hint="eastAsia" w:hAnsi="仿宋"/>
          <w:kern w:val="2"/>
          <w:szCs w:val="30"/>
          <w:highlight w:val="none"/>
          <w:lang w:val="en-US" w:eastAsia="zh-CN"/>
        </w:rPr>
        <w:t>未</w:t>
      </w:r>
      <w:r>
        <w:rPr>
          <w:rFonts w:hint="eastAsia" w:hAnsi="仿宋"/>
          <w:kern w:val="2"/>
          <w:szCs w:val="30"/>
          <w:highlight w:val="none"/>
        </w:rPr>
        <w:t>实现预期目标，其余</w:t>
      </w:r>
      <w:r>
        <w:rPr>
          <w:rFonts w:hint="eastAsia" w:hAnsi="仿宋"/>
          <w:kern w:val="2"/>
          <w:szCs w:val="30"/>
          <w:highlight w:val="none"/>
          <w:lang w:val="en-US" w:eastAsia="zh-CN"/>
        </w:rPr>
        <w:t>8</w:t>
      </w:r>
      <w:r>
        <w:rPr>
          <w:rFonts w:hint="eastAsia" w:hAnsi="仿宋"/>
          <w:kern w:val="2"/>
          <w:szCs w:val="30"/>
          <w:highlight w:val="none"/>
        </w:rPr>
        <w:t>项指标均完全实现预期目标。具体完成情况详见表</w:t>
      </w:r>
      <w:r>
        <w:rPr>
          <w:rFonts w:hint="eastAsia" w:hAnsi="仿宋"/>
          <w:kern w:val="2"/>
          <w:szCs w:val="30"/>
          <w:highlight w:val="none"/>
          <w:lang w:val="en-US" w:eastAsia="zh-CN"/>
        </w:rPr>
        <w:t>2</w:t>
      </w:r>
      <w:r>
        <w:rPr>
          <w:rFonts w:hint="eastAsia" w:hAnsi="仿宋"/>
          <w:szCs w:val="30"/>
          <w:highlight w:val="none"/>
        </w:rPr>
        <w:t>。</w:t>
      </w:r>
    </w:p>
    <w:p>
      <w:pPr>
        <w:jc w:val="center"/>
        <w:rPr>
          <w:rFonts w:hint="eastAsia" w:ascii="黑体" w:hAnsi="黑体" w:eastAsia="黑体" w:cs="宋体"/>
          <w:bCs/>
          <w:sz w:val="24"/>
          <w:szCs w:val="24"/>
          <w:highlight w:val="none"/>
        </w:rPr>
      </w:pPr>
    </w:p>
    <w:p>
      <w:pPr>
        <w:jc w:val="center"/>
        <w:rPr>
          <w:rFonts w:ascii="黑体" w:hAnsi="黑体" w:eastAsia="黑体"/>
          <w:szCs w:val="30"/>
          <w:highlight w:val="none"/>
        </w:rPr>
      </w:pPr>
      <w:r>
        <w:rPr>
          <w:rFonts w:hint="eastAsia" w:ascii="黑体" w:hAnsi="黑体" w:eastAsia="黑体" w:cs="宋体"/>
          <w:bCs/>
          <w:sz w:val="24"/>
          <w:szCs w:val="24"/>
          <w:highlight w:val="none"/>
        </w:rPr>
        <w:t>表</w:t>
      </w:r>
      <w:r>
        <w:rPr>
          <w:rFonts w:hint="eastAsia" w:ascii="黑体" w:hAnsi="黑体" w:eastAsia="黑体" w:cs="宋体"/>
          <w:bCs/>
          <w:sz w:val="24"/>
          <w:szCs w:val="24"/>
          <w:highlight w:val="none"/>
          <w:lang w:val="en-US" w:eastAsia="zh-CN"/>
        </w:rPr>
        <w:t>2</w:t>
      </w:r>
      <w:r>
        <w:rPr>
          <w:rFonts w:hint="eastAsia" w:ascii="黑体" w:hAnsi="黑体" w:eastAsia="黑体" w:cs="宋体"/>
          <w:bCs/>
          <w:sz w:val="24"/>
          <w:szCs w:val="24"/>
          <w:highlight w:val="none"/>
        </w:rPr>
        <w:t>：绩效</w:t>
      </w:r>
      <w:r>
        <w:rPr>
          <w:rFonts w:hint="eastAsia" w:ascii="黑体" w:hAnsi="黑体" w:eastAsia="黑体" w:cs="宋体"/>
          <w:bCs/>
          <w:sz w:val="24"/>
          <w:szCs w:val="24"/>
          <w:highlight w:val="none"/>
          <w:lang w:val="en-US" w:eastAsia="zh-CN"/>
        </w:rPr>
        <w:t>目标</w:t>
      </w:r>
      <w:r>
        <w:rPr>
          <w:rFonts w:hint="eastAsia" w:ascii="黑体" w:hAnsi="黑体" w:eastAsia="黑体" w:cs="宋体"/>
          <w:bCs/>
          <w:sz w:val="24"/>
          <w:szCs w:val="24"/>
          <w:highlight w:val="none"/>
        </w:rPr>
        <w:t>完成情况表</w:t>
      </w:r>
    </w:p>
    <w:tbl>
      <w:tblPr>
        <w:tblStyle w:val="17"/>
        <w:tblpPr w:leftFromText="180" w:rightFromText="180" w:vertAnchor="text" w:tblpXSpec="center" w:tblpY="1"/>
        <w:tblOverlap w:val="never"/>
        <w:tblW w:w="8332" w:type="dxa"/>
        <w:tblInd w:w="-1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09"/>
        <w:gridCol w:w="2407"/>
        <w:gridCol w:w="2513"/>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trPr>
        <w:tc>
          <w:tcPr>
            <w:tcW w:w="809" w:type="dxa"/>
            <w:tcBorders>
              <w:top w:val="single" w:color="auto" w:sz="4" w:space="0"/>
            </w:tcBorders>
            <w:vAlign w:val="center"/>
          </w:tcPr>
          <w:p>
            <w:pPr>
              <w:snapToGrid w:val="0"/>
              <w:jc w:val="center"/>
              <w:rPr>
                <w:rFonts w:hint="eastAsia" w:hAnsi="仿宋" w:eastAsia="仿宋" w:cs="宋体"/>
                <w:b/>
                <w:bCs/>
                <w:spacing w:val="6"/>
                <w:sz w:val="21"/>
                <w:highlight w:val="none"/>
                <w:lang w:val="en-US" w:eastAsia="zh-CN"/>
              </w:rPr>
            </w:pPr>
            <w:r>
              <w:rPr>
                <w:rFonts w:hint="eastAsia" w:hAnsi="仿宋" w:cs="宋体"/>
                <w:b/>
                <w:bCs/>
                <w:spacing w:val="6"/>
                <w:sz w:val="21"/>
                <w:highlight w:val="none"/>
                <w:lang w:val="en-US" w:eastAsia="zh-CN"/>
              </w:rPr>
              <w:t>序号</w:t>
            </w:r>
          </w:p>
        </w:tc>
        <w:tc>
          <w:tcPr>
            <w:tcW w:w="2407" w:type="dxa"/>
            <w:tcBorders>
              <w:top w:val="single" w:color="auto" w:sz="4" w:space="0"/>
            </w:tcBorders>
            <w:vAlign w:val="center"/>
          </w:tcPr>
          <w:p>
            <w:pPr>
              <w:snapToGrid w:val="0"/>
              <w:jc w:val="center"/>
              <w:rPr>
                <w:rFonts w:hint="eastAsia" w:hAnsi="仿宋" w:eastAsia="仿宋" w:cs="宋体"/>
                <w:b/>
                <w:bCs/>
                <w:spacing w:val="6"/>
                <w:sz w:val="21"/>
                <w:highlight w:val="none"/>
                <w:lang w:val="en-US" w:eastAsia="zh-CN"/>
              </w:rPr>
            </w:pPr>
            <w:r>
              <w:rPr>
                <w:rFonts w:hint="eastAsia" w:hAnsi="仿宋" w:cs="宋体"/>
                <w:b/>
                <w:bCs/>
                <w:spacing w:val="6"/>
                <w:sz w:val="21"/>
                <w:highlight w:val="none"/>
                <w:lang w:val="en-US" w:eastAsia="zh-CN"/>
              </w:rPr>
              <w:t>绩效指标名称</w:t>
            </w:r>
          </w:p>
        </w:tc>
        <w:tc>
          <w:tcPr>
            <w:tcW w:w="2513" w:type="dxa"/>
            <w:tcBorders>
              <w:top w:val="single" w:color="auto" w:sz="4" w:space="0"/>
            </w:tcBorders>
            <w:vAlign w:val="center"/>
          </w:tcPr>
          <w:p>
            <w:pPr>
              <w:snapToGrid w:val="0"/>
              <w:jc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预期目标</w:t>
            </w:r>
          </w:p>
        </w:tc>
        <w:tc>
          <w:tcPr>
            <w:tcW w:w="2603" w:type="dxa"/>
            <w:tcBorders>
              <w:top w:val="single" w:color="auto" w:sz="4" w:space="0"/>
            </w:tcBorders>
            <w:vAlign w:val="center"/>
          </w:tcPr>
          <w:p>
            <w:pPr>
              <w:snapToGrid w:val="0"/>
              <w:jc w:val="center"/>
              <w:rPr>
                <w:rFonts w:hAnsi="仿宋" w:cs="宋体"/>
                <w:b/>
                <w:bCs/>
                <w:spacing w:val="6"/>
                <w:sz w:val="21"/>
                <w:highlight w:val="none"/>
              </w:rPr>
            </w:pPr>
            <w:r>
              <w:rPr>
                <w:rFonts w:hint="eastAsia" w:hAnsi="仿宋" w:cs="宋体"/>
                <w:b/>
                <w:bCs/>
                <w:spacing w:val="6"/>
                <w:sz w:val="21"/>
                <w:highlight w:val="none"/>
                <w:lang w:val="en-US" w:eastAsia="zh-CN"/>
              </w:rPr>
              <w:t>目标</w:t>
            </w:r>
            <w:r>
              <w:rPr>
                <w:rFonts w:hint="eastAsia" w:hAnsi="仿宋" w:cs="宋体"/>
                <w:b/>
                <w:bCs/>
                <w:spacing w:val="6"/>
                <w:sz w:val="21"/>
                <w:highlight w:val="none"/>
              </w:rPr>
              <w:t>实现情况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09" w:type="dxa"/>
            <w:vAlign w:val="center"/>
          </w:tcPr>
          <w:p>
            <w:pPr>
              <w:snapToGrid w:val="0"/>
              <w:jc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1</w:t>
            </w:r>
          </w:p>
        </w:tc>
        <w:tc>
          <w:tcPr>
            <w:tcW w:w="2407" w:type="dxa"/>
            <w:vAlign w:val="center"/>
          </w:tcPr>
          <w:p>
            <w:pPr>
              <w:snapToGrid w:val="0"/>
              <w:rPr>
                <w:rFonts w:hAnsi="仿宋" w:cs="宋体"/>
                <w:bCs/>
                <w:spacing w:val="6"/>
                <w:sz w:val="21"/>
                <w:highlight w:val="none"/>
              </w:rPr>
            </w:pPr>
            <w:r>
              <w:rPr>
                <w:rFonts w:hint="eastAsia" w:hAnsi="仿宋" w:cs="宋体"/>
                <w:bCs/>
                <w:spacing w:val="6"/>
                <w:sz w:val="21"/>
                <w:highlight w:val="none"/>
              </w:rPr>
              <w:t>新冠病毒预防培训工作</w:t>
            </w:r>
          </w:p>
        </w:tc>
        <w:tc>
          <w:tcPr>
            <w:tcW w:w="2513" w:type="dxa"/>
            <w:vAlign w:val="center"/>
          </w:tcPr>
          <w:p>
            <w:pPr>
              <w:snapToGrid w:val="0"/>
              <w:jc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对疫情防控人员、辖区内公民进行宣传培训</w:t>
            </w:r>
          </w:p>
        </w:tc>
        <w:tc>
          <w:tcPr>
            <w:tcW w:w="2603" w:type="dxa"/>
            <w:vAlign w:val="center"/>
          </w:tcPr>
          <w:p>
            <w:pPr>
              <w:snapToGrid w:val="0"/>
              <w:jc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已对疫情防控人员、辖区内公民进行宣传培训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09" w:type="dxa"/>
            <w:vAlign w:val="center"/>
          </w:tcPr>
          <w:p>
            <w:pPr>
              <w:snapToGrid w:val="0"/>
              <w:jc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2</w:t>
            </w:r>
          </w:p>
        </w:tc>
        <w:tc>
          <w:tcPr>
            <w:tcW w:w="2407" w:type="dxa"/>
            <w:vAlign w:val="center"/>
          </w:tcPr>
          <w:p>
            <w:pPr>
              <w:snapToGrid w:val="0"/>
              <w:rPr>
                <w:rFonts w:hAnsi="仿宋" w:cs="宋体"/>
                <w:bCs/>
                <w:spacing w:val="6"/>
                <w:sz w:val="21"/>
                <w:highlight w:val="none"/>
              </w:rPr>
            </w:pPr>
            <w:r>
              <w:rPr>
                <w:rFonts w:hint="eastAsia" w:hAnsi="仿宋" w:cs="宋体"/>
                <w:bCs/>
                <w:spacing w:val="6"/>
                <w:sz w:val="21"/>
                <w:highlight w:val="none"/>
              </w:rPr>
              <w:t>宣传完成率</w:t>
            </w:r>
          </w:p>
        </w:tc>
        <w:tc>
          <w:tcPr>
            <w:tcW w:w="2513" w:type="dxa"/>
            <w:vAlign w:val="center"/>
          </w:tcPr>
          <w:p>
            <w:pPr>
              <w:snapToGrid w:val="0"/>
              <w:jc w:val="center"/>
              <w:rPr>
                <w:rFonts w:hAnsi="仿宋" w:cs="宋体"/>
                <w:bCs/>
                <w:spacing w:val="6"/>
                <w:sz w:val="21"/>
                <w:highlight w:val="none"/>
              </w:rPr>
            </w:pPr>
            <w:r>
              <w:rPr>
                <w:rFonts w:hint="eastAsia" w:hAnsi="仿宋" w:cs="宋体"/>
                <w:bCs/>
                <w:spacing w:val="6"/>
                <w:sz w:val="21"/>
                <w:highlight w:val="none"/>
              </w:rPr>
              <w:t>≥</w:t>
            </w:r>
            <w:r>
              <w:rPr>
                <w:rFonts w:hint="eastAsia" w:hAnsi="仿宋" w:cs="宋体"/>
                <w:bCs/>
                <w:spacing w:val="6"/>
                <w:sz w:val="21"/>
                <w:highlight w:val="none"/>
                <w:lang w:val="en-US" w:eastAsia="zh-CN"/>
              </w:rPr>
              <w:t>100</w:t>
            </w:r>
            <w:r>
              <w:rPr>
                <w:rFonts w:hint="eastAsia" w:hAnsi="仿宋" w:cs="宋体"/>
                <w:bCs/>
                <w:spacing w:val="6"/>
                <w:sz w:val="21"/>
                <w:highlight w:val="none"/>
              </w:rPr>
              <w:t>%</w:t>
            </w:r>
          </w:p>
        </w:tc>
        <w:tc>
          <w:tcPr>
            <w:tcW w:w="2603" w:type="dxa"/>
            <w:vAlign w:val="center"/>
          </w:tcPr>
          <w:p>
            <w:pPr>
              <w:snapToGrid w:val="0"/>
              <w:jc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09" w:type="dxa"/>
            <w:vAlign w:val="center"/>
          </w:tcPr>
          <w:p>
            <w:pPr>
              <w:snapToGrid w:val="0"/>
              <w:jc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3</w:t>
            </w:r>
          </w:p>
        </w:tc>
        <w:tc>
          <w:tcPr>
            <w:tcW w:w="2407" w:type="dxa"/>
            <w:vAlign w:val="center"/>
          </w:tcPr>
          <w:p>
            <w:pPr>
              <w:snapToGrid w:val="0"/>
              <w:rPr>
                <w:rFonts w:hAnsi="仿宋" w:cs="宋体"/>
                <w:bCs/>
                <w:spacing w:val="6"/>
                <w:sz w:val="21"/>
                <w:highlight w:val="none"/>
              </w:rPr>
            </w:pPr>
            <w:r>
              <w:rPr>
                <w:rFonts w:hint="eastAsia" w:hAnsi="仿宋" w:cs="宋体"/>
                <w:bCs/>
                <w:spacing w:val="6"/>
                <w:sz w:val="21"/>
                <w:highlight w:val="none"/>
              </w:rPr>
              <w:t>成立新冠防治专家组</w:t>
            </w:r>
          </w:p>
        </w:tc>
        <w:tc>
          <w:tcPr>
            <w:tcW w:w="2513" w:type="dxa"/>
            <w:vAlign w:val="center"/>
          </w:tcPr>
          <w:p>
            <w:pPr>
              <w:snapToGrid w:val="0"/>
              <w:jc w:val="center"/>
              <w:rPr>
                <w:rFonts w:hAnsi="仿宋" w:cs="宋体"/>
                <w:bCs/>
                <w:spacing w:val="6"/>
                <w:sz w:val="21"/>
                <w:highlight w:val="none"/>
              </w:rPr>
            </w:pPr>
            <w:r>
              <w:rPr>
                <w:rFonts w:hint="eastAsia" w:hAnsi="仿宋" w:cs="宋体"/>
                <w:bCs/>
                <w:spacing w:val="6"/>
                <w:sz w:val="21"/>
                <w:highlight w:val="none"/>
              </w:rPr>
              <w:t>成立区级新型冠状病毒感染的肺炎防治专家组</w:t>
            </w:r>
          </w:p>
        </w:tc>
        <w:tc>
          <w:tcPr>
            <w:tcW w:w="2603" w:type="dxa"/>
            <w:vAlign w:val="center"/>
          </w:tcPr>
          <w:p>
            <w:pPr>
              <w:snapToGrid w:val="0"/>
              <w:jc w:val="center"/>
              <w:rPr>
                <w:rFonts w:hint="default" w:hAnsi="仿宋" w:cs="宋体"/>
                <w:bCs/>
                <w:spacing w:val="6"/>
                <w:sz w:val="21"/>
                <w:highlight w:val="none"/>
                <w:lang w:val="en-US"/>
              </w:rPr>
            </w:pPr>
            <w:r>
              <w:rPr>
                <w:rFonts w:hint="eastAsia" w:hAnsi="仿宋" w:cs="宋体"/>
                <w:bCs/>
                <w:spacing w:val="6"/>
                <w:sz w:val="21"/>
                <w:highlight w:val="none"/>
                <w:lang w:val="en-US" w:eastAsia="zh-CN"/>
              </w:rPr>
              <w:t>已成立区级新型冠状病毒感染的肺炎防治专家组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09" w:type="dxa"/>
            <w:vAlign w:val="center"/>
          </w:tcPr>
          <w:p>
            <w:pPr>
              <w:snapToGrid w:val="0"/>
              <w:jc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4</w:t>
            </w:r>
          </w:p>
        </w:tc>
        <w:tc>
          <w:tcPr>
            <w:tcW w:w="2407" w:type="dxa"/>
            <w:vAlign w:val="center"/>
          </w:tcPr>
          <w:p>
            <w:pPr>
              <w:snapToGrid w:val="0"/>
              <w:rPr>
                <w:rFonts w:hAnsi="仿宋" w:cs="宋体"/>
                <w:bCs/>
                <w:spacing w:val="6"/>
                <w:sz w:val="21"/>
                <w:highlight w:val="none"/>
              </w:rPr>
            </w:pPr>
            <w:r>
              <w:rPr>
                <w:rFonts w:hint="eastAsia" w:hAnsi="仿宋" w:cs="宋体"/>
                <w:bCs/>
                <w:spacing w:val="6"/>
                <w:sz w:val="21"/>
                <w:highlight w:val="none"/>
              </w:rPr>
              <w:t>消杀有效性</w:t>
            </w:r>
          </w:p>
        </w:tc>
        <w:tc>
          <w:tcPr>
            <w:tcW w:w="2513" w:type="dxa"/>
            <w:vAlign w:val="center"/>
          </w:tcPr>
          <w:p>
            <w:pPr>
              <w:snapToGrid w:val="0"/>
              <w:jc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对医院内物品进行全面消毒</w:t>
            </w:r>
          </w:p>
        </w:tc>
        <w:tc>
          <w:tcPr>
            <w:tcW w:w="2603" w:type="dxa"/>
            <w:vAlign w:val="center"/>
          </w:tcPr>
          <w:p>
            <w:pPr>
              <w:snapToGrid w:val="0"/>
              <w:jc w:val="center"/>
              <w:rPr>
                <w:rFonts w:hint="default" w:hAnsi="仿宋" w:cs="宋体"/>
                <w:bCs/>
                <w:spacing w:val="6"/>
                <w:sz w:val="21"/>
                <w:highlight w:val="none"/>
                <w:lang w:val="en-US"/>
              </w:rPr>
            </w:pPr>
            <w:r>
              <w:rPr>
                <w:rFonts w:hint="eastAsia" w:hAnsi="仿宋" w:cs="宋体"/>
                <w:bCs/>
                <w:spacing w:val="6"/>
                <w:sz w:val="21"/>
                <w:highlight w:val="none"/>
                <w:lang w:val="en-US" w:eastAsia="zh-CN"/>
              </w:rPr>
              <w:t>已进行全面消毒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09" w:type="dxa"/>
            <w:vAlign w:val="center"/>
          </w:tcPr>
          <w:p>
            <w:pPr>
              <w:snapToGrid w:val="0"/>
              <w:jc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5</w:t>
            </w:r>
          </w:p>
        </w:tc>
        <w:tc>
          <w:tcPr>
            <w:tcW w:w="2407" w:type="dxa"/>
            <w:vAlign w:val="center"/>
          </w:tcPr>
          <w:p>
            <w:pPr>
              <w:snapToGrid w:val="0"/>
              <w:rPr>
                <w:rFonts w:hAnsi="仿宋" w:cs="宋体"/>
                <w:bCs/>
                <w:spacing w:val="6"/>
                <w:sz w:val="21"/>
                <w:highlight w:val="none"/>
              </w:rPr>
            </w:pPr>
            <w:r>
              <w:rPr>
                <w:rFonts w:hint="eastAsia" w:hAnsi="仿宋" w:cs="宋体"/>
                <w:bCs/>
                <w:spacing w:val="6"/>
                <w:sz w:val="21"/>
                <w:highlight w:val="none"/>
              </w:rPr>
              <w:t>新冠疫情覆盖区域减少</w:t>
            </w:r>
          </w:p>
        </w:tc>
        <w:tc>
          <w:tcPr>
            <w:tcW w:w="2513" w:type="dxa"/>
            <w:vAlign w:val="center"/>
          </w:tcPr>
          <w:p>
            <w:pPr>
              <w:snapToGrid w:val="0"/>
              <w:jc w:val="center"/>
              <w:rPr>
                <w:rFonts w:hAnsi="仿宋" w:cs="宋体"/>
                <w:bCs/>
                <w:spacing w:val="6"/>
                <w:sz w:val="21"/>
                <w:highlight w:val="none"/>
              </w:rPr>
            </w:pPr>
            <w:r>
              <w:rPr>
                <w:rFonts w:hint="eastAsia" w:hAnsi="仿宋" w:cs="宋体"/>
                <w:bCs/>
                <w:spacing w:val="6"/>
                <w:sz w:val="21"/>
                <w:highlight w:val="none"/>
              </w:rPr>
              <w:t>街道、社区呈下降趋势</w:t>
            </w:r>
          </w:p>
        </w:tc>
        <w:tc>
          <w:tcPr>
            <w:tcW w:w="2603" w:type="dxa"/>
            <w:vAlign w:val="center"/>
          </w:tcPr>
          <w:p>
            <w:pPr>
              <w:snapToGrid w:val="0"/>
              <w:jc w:val="center"/>
              <w:rPr>
                <w:rFonts w:hint="default" w:hAnsi="仿宋" w:cs="宋体"/>
                <w:bCs/>
                <w:spacing w:val="6"/>
                <w:sz w:val="21"/>
                <w:highlight w:val="none"/>
                <w:lang w:val="en-US"/>
              </w:rPr>
            </w:pPr>
            <w:r>
              <w:rPr>
                <w:rFonts w:hint="eastAsia" w:hAnsi="仿宋" w:cs="宋体"/>
                <w:bCs/>
                <w:spacing w:val="6"/>
                <w:sz w:val="21"/>
                <w:highlight w:val="none"/>
              </w:rPr>
              <w:t>街道、社区呈下降趋势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09" w:type="dxa"/>
            <w:vAlign w:val="center"/>
          </w:tcPr>
          <w:p>
            <w:pPr>
              <w:snapToGrid w:val="0"/>
              <w:jc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6</w:t>
            </w:r>
          </w:p>
        </w:tc>
        <w:tc>
          <w:tcPr>
            <w:tcW w:w="2407" w:type="dxa"/>
            <w:vAlign w:val="center"/>
          </w:tcPr>
          <w:p>
            <w:pPr>
              <w:snapToGrid w:val="0"/>
              <w:rPr>
                <w:rFonts w:hAnsi="仿宋" w:cs="宋体"/>
                <w:bCs/>
                <w:spacing w:val="6"/>
                <w:sz w:val="21"/>
                <w:highlight w:val="none"/>
              </w:rPr>
            </w:pPr>
            <w:r>
              <w:rPr>
                <w:rFonts w:hint="eastAsia" w:hAnsi="仿宋" w:cs="宋体"/>
                <w:bCs/>
                <w:spacing w:val="6"/>
                <w:sz w:val="21"/>
                <w:highlight w:val="none"/>
              </w:rPr>
              <w:t>新冠患者减少</w:t>
            </w:r>
          </w:p>
        </w:tc>
        <w:tc>
          <w:tcPr>
            <w:tcW w:w="2513" w:type="dxa"/>
            <w:vAlign w:val="center"/>
          </w:tcPr>
          <w:p>
            <w:pPr>
              <w:snapToGrid w:val="0"/>
              <w:jc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新冠疫情患者减少数＞0</w:t>
            </w:r>
          </w:p>
        </w:tc>
        <w:tc>
          <w:tcPr>
            <w:tcW w:w="2603" w:type="dxa"/>
            <w:vAlign w:val="center"/>
          </w:tcPr>
          <w:p>
            <w:pPr>
              <w:snapToGrid w:val="0"/>
              <w:jc w:val="center"/>
              <w:rPr>
                <w:rFonts w:hint="default" w:hAnsi="仿宋" w:cs="宋体"/>
                <w:bCs/>
                <w:spacing w:val="6"/>
                <w:sz w:val="21"/>
                <w:highlight w:val="none"/>
                <w:lang w:val="en-US"/>
              </w:rPr>
            </w:pPr>
            <w:r>
              <w:rPr>
                <w:rFonts w:hint="eastAsia" w:hAnsi="仿宋" w:cs="宋体"/>
                <w:bCs/>
                <w:spacing w:val="6"/>
                <w:sz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09" w:type="dxa"/>
            <w:vAlign w:val="center"/>
          </w:tcPr>
          <w:p>
            <w:pPr>
              <w:snapToGrid w:val="0"/>
              <w:jc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7</w:t>
            </w:r>
          </w:p>
        </w:tc>
        <w:tc>
          <w:tcPr>
            <w:tcW w:w="2407" w:type="dxa"/>
            <w:vAlign w:val="center"/>
          </w:tcPr>
          <w:p>
            <w:pPr>
              <w:snapToGrid w:val="0"/>
              <w:rPr>
                <w:rFonts w:hAnsi="仿宋" w:cs="宋体"/>
                <w:bCs/>
                <w:spacing w:val="6"/>
                <w:sz w:val="21"/>
                <w:highlight w:val="none"/>
              </w:rPr>
            </w:pPr>
            <w:r>
              <w:rPr>
                <w:rFonts w:hint="eastAsia" w:hAnsi="仿宋" w:cs="宋体"/>
                <w:bCs/>
                <w:spacing w:val="6"/>
                <w:sz w:val="21"/>
                <w:highlight w:val="none"/>
              </w:rPr>
              <w:t>医护人员防护用品穿戴率</w:t>
            </w:r>
          </w:p>
        </w:tc>
        <w:tc>
          <w:tcPr>
            <w:tcW w:w="2513" w:type="dxa"/>
            <w:vAlign w:val="center"/>
          </w:tcPr>
          <w:p>
            <w:pPr>
              <w:snapToGrid w:val="0"/>
              <w:jc w:val="center"/>
              <w:rPr>
                <w:rFonts w:hAnsi="仿宋" w:cs="宋体"/>
                <w:bCs/>
                <w:spacing w:val="6"/>
                <w:sz w:val="21"/>
                <w:highlight w:val="none"/>
              </w:rPr>
            </w:pPr>
            <w:r>
              <w:rPr>
                <w:rFonts w:hint="eastAsia" w:hAnsi="仿宋" w:cs="宋体"/>
                <w:bCs/>
                <w:spacing w:val="6"/>
                <w:sz w:val="21"/>
                <w:highlight w:val="none"/>
              </w:rPr>
              <w:t>医护人员防护用品穿戴率呈上升趋势</w:t>
            </w:r>
          </w:p>
        </w:tc>
        <w:tc>
          <w:tcPr>
            <w:tcW w:w="2603" w:type="dxa"/>
            <w:vAlign w:val="center"/>
          </w:tcPr>
          <w:p>
            <w:pPr>
              <w:snapToGrid w:val="0"/>
              <w:jc w:val="center"/>
              <w:rPr>
                <w:rFonts w:hint="default" w:hAnsi="仿宋" w:eastAsia="仿宋" w:cs="宋体"/>
                <w:bCs/>
                <w:spacing w:val="6"/>
                <w:sz w:val="21"/>
                <w:highlight w:val="none"/>
                <w:lang w:val="en-US" w:eastAsia="zh-CN"/>
              </w:rPr>
            </w:pPr>
            <w:r>
              <w:rPr>
                <w:rFonts w:hint="eastAsia" w:hAnsi="仿宋" w:cs="宋体"/>
                <w:bCs/>
                <w:spacing w:val="6"/>
                <w:sz w:val="21"/>
                <w:highlight w:val="none"/>
              </w:rPr>
              <w:t>呈上升趋势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09" w:type="dxa"/>
            <w:vAlign w:val="center"/>
          </w:tcPr>
          <w:p>
            <w:pPr>
              <w:snapToGrid w:val="0"/>
              <w:jc w:val="center"/>
              <w:rPr>
                <w:rFonts w:hint="default" w:hAnsi="仿宋" w:cs="宋体"/>
                <w:bCs/>
                <w:spacing w:val="6"/>
                <w:sz w:val="21"/>
                <w:highlight w:val="none"/>
                <w:lang w:val="en-US" w:eastAsia="zh-CN"/>
              </w:rPr>
            </w:pPr>
            <w:r>
              <w:rPr>
                <w:rFonts w:hint="eastAsia" w:hAnsi="仿宋" w:cs="宋体"/>
                <w:bCs/>
                <w:spacing w:val="6"/>
                <w:sz w:val="21"/>
                <w:highlight w:val="none"/>
                <w:lang w:val="en-US" w:eastAsia="zh-CN"/>
              </w:rPr>
              <w:t>8</w:t>
            </w:r>
          </w:p>
        </w:tc>
        <w:tc>
          <w:tcPr>
            <w:tcW w:w="2407" w:type="dxa"/>
            <w:vAlign w:val="center"/>
          </w:tcPr>
          <w:p>
            <w:pPr>
              <w:snapToGrid w:val="0"/>
              <w:rPr>
                <w:rFonts w:hint="eastAsia" w:hAnsi="仿宋" w:cs="宋体"/>
                <w:bCs/>
                <w:spacing w:val="6"/>
                <w:sz w:val="21"/>
                <w:highlight w:val="none"/>
              </w:rPr>
            </w:pPr>
            <w:r>
              <w:rPr>
                <w:rFonts w:hint="eastAsia" w:hAnsi="仿宋" w:cs="宋体"/>
                <w:bCs/>
                <w:spacing w:val="6"/>
                <w:sz w:val="21"/>
                <w:highlight w:val="none"/>
              </w:rPr>
              <w:t>防护、救治用品储存量</w:t>
            </w:r>
          </w:p>
        </w:tc>
        <w:tc>
          <w:tcPr>
            <w:tcW w:w="2513" w:type="dxa"/>
            <w:vAlign w:val="center"/>
          </w:tcPr>
          <w:p>
            <w:pPr>
              <w:snapToGrid w:val="0"/>
              <w:jc w:val="center"/>
              <w:rPr>
                <w:rFonts w:hint="eastAsia" w:hAnsi="仿宋" w:cs="宋体"/>
                <w:bCs/>
                <w:spacing w:val="6"/>
                <w:sz w:val="21"/>
                <w:highlight w:val="none"/>
              </w:rPr>
            </w:pPr>
            <w:r>
              <w:rPr>
                <w:rFonts w:hint="eastAsia" w:hAnsi="仿宋" w:cs="宋体"/>
                <w:bCs/>
                <w:spacing w:val="6"/>
                <w:sz w:val="21"/>
                <w:highlight w:val="none"/>
              </w:rPr>
              <w:t>救治、防护新冠疫情用品储存量呈上升趋势</w:t>
            </w:r>
          </w:p>
        </w:tc>
        <w:tc>
          <w:tcPr>
            <w:tcW w:w="2603" w:type="dxa"/>
            <w:vAlign w:val="center"/>
          </w:tcPr>
          <w:p>
            <w:pPr>
              <w:snapToGrid w:val="0"/>
              <w:jc w:val="center"/>
              <w:rPr>
                <w:rFonts w:hint="eastAsia" w:hAnsi="仿宋" w:cs="宋体"/>
                <w:bCs/>
                <w:spacing w:val="6"/>
                <w:sz w:val="21"/>
                <w:highlight w:val="none"/>
              </w:rPr>
            </w:pPr>
            <w:r>
              <w:rPr>
                <w:rFonts w:hint="eastAsia" w:hAnsi="仿宋" w:cs="宋体"/>
                <w:bCs/>
                <w:spacing w:val="6"/>
                <w:sz w:val="21"/>
                <w:highlight w:val="none"/>
              </w:rPr>
              <w:t>呈上升趋势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09" w:type="dxa"/>
            <w:vAlign w:val="center"/>
          </w:tcPr>
          <w:p>
            <w:pPr>
              <w:snapToGrid w:val="0"/>
              <w:jc w:val="center"/>
              <w:rPr>
                <w:rFonts w:hint="default" w:hAnsi="仿宋" w:cs="宋体"/>
                <w:bCs/>
                <w:spacing w:val="6"/>
                <w:sz w:val="21"/>
                <w:highlight w:val="none"/>
                <w:lang w:val="en-US" w:eastAsia="zh-CN"/>
              </w:rPr>
            </w:pPr>
            <w:r>
              <w:rPr>
                <w:rFonts w:hint="eastAsia" w:hAnsi="仿宋" w:cs="宋体"/>
                <w:bCs/>
                <w:spacing w:val="6"/>
                <w:sz w:val="21"/>
                <w:highlight w:val="none"/>
                <w:lang w:val="en-US" w:eastAsia="zh-CN"/>
              </w:rPr>
              <w:t>9</w:t>
            </w:r>
          </w:p>
        </w:tc>
        <w:tc>
          <w:tcPr>
            <w:tcW w:w="2407" w:type="dxa"/>
            <w:vAlign w:val="center"/>
          </w:tcPr>
          <w:p>
            <w:pPr>
              <w:snapToGrid w:val="0"/>
              <w:rPr>
                <w:rFonts w:hint="eastAsia" w:hAnsi="仿宋" w:cs="宋体"/>
                <w:bCs/>
                <w:spacing w:val="6"/>
                <w:sz w:val="21"/>
                <w:highlight w:val="none"/>
              </w:rPr>
            </w:pPr>
            <w:r>
              <w:rPr>
                <w:rFonts w:hint="eastAsia" w:hAnsi="仿宋" w:cs="宋体"/>
                <w:bCs/>
                <w:spacing w:val="6"/>
                <w:sz w:val="21"/>
                <w:highlight w:val="none"/>
              </w:rPr>
              <w:t>社会群众满意度</w:t>
            </w:r>
          </w:p>
        </w:tc>
        <w:tc>
          <w:tcPr>
            <w:tcW w:w="2513" w:type="dxa"/>
            <w:vAlign w:val="center"/>
          </w:tcPr>
          <w:p>
            <w:pPr>
              <w:snapToGrid w:val="0"/>
              <w:jc w:val="center"/>
              <w:rPr>
                <w:rFonts w:hint="eastAsia" w:hAnsi="仿宋" w:cs="宋体"/>
                <w:b w:val="0"/>
                <w:bCs/>
                <w:spacing w:val="6"/>
                <w:sz w:val="21"/>
                <w:highlight w:val="none"/>
              </w:rPr>
            </w:pPr>
            <w:r>
              <w:rPr>
                <w:rFonts w:hint="eastAsia" w:hAnsi="仿宋" w:cs="宋体"/>
                <w:b w:val="0"/>
                <w:bCs/>
                <w:spacing w:val="6"/>
                <w:sz w:val="21"/>
                <w:highlight w:val="none"/>
              </w:rPr>
              <w:t>＞80%</w:t>
            </w:r>
          </w:p>
        </w:tc>
        <w:tc>
          <w:tcPr>
            <w:tcW w:w="2603" w:type="dxa"/>
            <w:vAlign w:val="center"/>
          </w:tcPr>
          <w:p>
            <w:pPr>
              <w:snapToGrid w:val="0"/>
              <w:jc w:val="center"/>
              <w:rPr>
                <w:rFonts w:hint="default" w:hAnsi="仿宋" w:cs="宋体"/>
                <w:b w:val="0"/>
                <w:bCs/>
                <w:spacing w:val="6"/>
                <w:sz w:val="21"/>
                <w:highlight w:val="none"/>
                <w:lang w:val="en-US"/>
              </w:rPr>
            </w:pPr>
            <w:r>
              <w:rPr>
                <w:rFonts w:hint="eastAsia" w:hAnsi="仿宋" w:cs="宋体"/>
                <w:b w:val="0"/>
                <w:bCs/>
                <w:spacing w:val="6"/>
                <w:sz w:val="21"/>
                <w:highlight w:val="none"/>
                <w:lang w:val="en-US" w:eastAsia="zh-CN"/>
              </w:rPr>
              <w:t>75%</w:t>
            </w:r>
          </w:p>
        </w:tc>
      </w:tr>
      <w:bookmarkEnd w:id="72"/>
    </w:tbl>
    <w:p>
      <w:pPr>
        <w:spacing w:line="579" w:lineRule="exact"/>
        <w:ind w:firstLine="632"/>
        <w:outlineLvl w:val="0"/>
        <w:rPr>
          <w:rFonts w:ascii="楷体" w:hAnsi="楷体" w:eastAsia="楷体"/>
          <w:szCs w:val="30"/>
          <w:highlight w:val="none"/>
        </w:rPr>
      </w:pPr>
      <w:bookmarkStart w:id="73" w:name="_Toc28844"/>
      <w:bookmarkStart w:id="74" w:name="_Toc22884"/>
      <w:bookmarkStart w:id="75" w:name="_Toc32209_WPSOffice_Level2"/>
      <w:bookmarkStart w:id="76" w:name="_Toc18250887"/>
      <w:bookmarkStart w:id="77" w:name="_Toc23243_WPSOffice_Level2"/>
      <w:r>
        <w:rPr>
          <w:rFonts w:hint="eastAsia" w:ascii="黑体" w:hAnsi="黑体" w:eastAsia="黑体" w:cs="黑体"/>
          <w:szCs w:val="30"/>
          <w:highlight w:val="none"/>
          <w:lang w:val="en-US" w:eastAsia="zh-CN"/>
        </w:rPr>
        <w:t>五</w:t>
      </w:r>
      <w:r>
        <w:rPr>
          <w:rFonts w:hint="eastAsia" w:ascii="黑体" w:hAnsi="黑体" w:eastAsia="黑体" w:cs="黑体"/>
          <w:szCs w:val="30"/>
          <w:highlight w:val="none"/>
        </w:rPr>
        <w:t>、绩效评价</w:t>
      </w:r>
      <w:r>
        <w:rPr>
          <w:rFonts w:hint="eastAsia" w:ascii="黑体" w:hAnsi="黑体" w:eastAsia="黑体" w:cs="黑体"/>
          <w:szCs w:val="30"/>
          <w:highlight w:val="none"/>
          <w:lang w:val="en-US" w:eastAsia="zh-CN"/>
        </w:rPr>
        <w:t>情况</w:t>
      </w:r>
      <w:r>
        <w:rPr>
          <w:rFonts w:hint="eastAsia" w:ascii="黑体" w:hAnsi="黑体" w:eastAsia="黑体" w:cs="黑体"/>
          <w:szCs w:val="30"/>
          <w:highlight w:val="none"/>
        </w:rPr>
        <w:t>分析</w:t>
      </w:r>
      <w:bookmarkEnd w:id="73"/>
      <w:bookmarkEnd w:id="74"/>
    </w:p>
    <w:p>
      <w:pPr>
        <w:spacing w:line="579" w:lineRule="exact"/>
        <w:ind w:firstLine="632"/>
        <w:outlineLvl w:val="1"/>
        <w:rPr>
          <w:rFonts w:ascii="楷体" w:hAnsi="楷体" w:eastAsia="楷体"/>
          <w:szCs w:val="30"/>
          <w:highlight w:val="none"/>
        </w:rPr>
      </w:pPr>
      <w:bookmarkStart w:id="78" w:name="_Toc11082"/>
      <w:bookmarkStart w:id="79" w:name="_Toc17152"/>
      <w:r>
        <w:rPr>
          <w:rFonts w:hint="eastAsia" w:ascii="楷体" w:hAnsi="楷体" w:eastAsia="楷体"/>
          <w:szCs w:val="30"/>
          <w:highlight w:val="none"/>
        </w:rPr>
        <w:t>（一）决策情况分析</w:t>
      </w:r>
      <w:bookmarkEnd w:id="75"/>
      <w:bookmarkEnd w:id="76"/>
      <w:bookmarkEnd w:id="77"/>
      <w:bookmarkEnd w:id="78"/>
      <w:bookmarkEnd w:id="79"/>
    </w:p>
    <w:p>
      <w:pPr>
        <w:spacing w:line="579" w:lineRule="exact"/>
        <w:ind w:firstLine="630" w:firstLineChars="200"/>
        <w:rPr>
          <w:rFonts w:hAnsi="仿宋"/>
          <w:szCs w:val="30"/>
          <w:highlight w:val="none"/>
        </w:rPr>
      </w:pPr>
      <w:r>
        <w:rPr>
          <w:rFonts w:hint="eastAsia" w:hAnsi="仿宋"/>
          <w:szCs w:val="30"/>
          <w:highlight w:val="none"/>
        </w:rPr>
        <w:t>此项综合评价满分为</w:t>
      </w:r>
      <w:r>
        <w:rPr>
          <w:rFonts w:hint="eastAsia" w:hAnsi="仿宋"/>
          <w:szCs w:val="30"/>
          <w:highlight w:val="none"/>
          <w:lang w:val="en-US" w:eastAsia="zh-CN"/>
        </w:rPr>
        <w:t>15</w:t>
      </w:r>
      <w:r>
        <w:rPr>
          <w:rFonts w:hint="eastAsia" w:hAnsi="仿宋"/>
          <w:szCs w:val="30"/>
          <w:highlight w:val="none"/>
        </w:rPr>
        <w:t>分，实际得分</w:t>
      </w:r>
      <w:r>
        <w:rPr>
          <w:rFonts w:hint="eastAsia" w:hAnsi="仿宋"/>
          <w:szCs w:val="30"/>
          <w:highlight w:val="none"/>
          <w:lang w:val="en-US" w:eastAsia="zh-CN"/>
        </w:rPr>
        <w:t>15</w:t>
      </w:r>
      <w:r>
        <w:rPr>
          <w:rFonts w:hint="eastAsia" w:hAnsi="仿宋"/>
          <w:szCs w:val="30"/>
          <w:highlight w:val="none"/>
        </w:rPr>
        <w:t>分（占该项满分值的</w:t>
      </w:r>
      <w:r>
        <w:rPr>
          <w:rFonts w:hint="eastAsia" w:hAnsi="仿宋"/>
          <w:szCs w:val="30"/>
          <w:highlight w:val="none"/>
          <w:lang w:val="en-US" w:eastAsia="zh-CN"/>
        </w:rPr>
        <w:t>100%</w:t>
      </w:r>
      <w:r>
        <w:rPr>
          <w:rFonts w:hint="eastAsia" w:hAnsi="仿宋"/>
          <w:szCs w:val="30"/>
          <w:highlight w:val="none"/>
        </w:rPr>
        <w:t>）。</w:t>
      </w:r>
    </w:p>
    <w:p>
      <w:pPr>
        <w:spacing w:line="579" w:lineRule="exact"/>
        <w:ind w:firstLine="630" w:firstLineChars="200"/>
        <w:rPr>
          <w:rFonts w:hAnsi="仿宋"/>
          <w:szCs w:val="30"/>
          <w:highlight w:val="none"/>
        </w:rPr>
      </w:pPr>
      <w:r>
        <w:rPr>
          <w:rFonts w:hint="eastAsia" w:hAnsi="仿宋"/>
          <w:szCs w:val="30"/>
          <w:highlight w:val="none"/>
        </w:rPr>
        <w:t>1</w:t>
      </w:r>
      <w:r>
        <w:rPr>
          <w:rFonts w:hAnsi="仿宋"/>
          <w:szCs w:val="30"/>
          <w:highlight w:val="none"/>
        </w:rPr>
        <w:t>.</w:t>
      </w:r>
      <w:r>
        <w:rPr>
          <w:rFonts w:hint="eastAsia" w:hAnsi="仿宋"/>
          <w:szCs w:val="30"/>
          <w:highlight w:val="none"/>
        </w:rPr>
        <w:t>项目立项</w:t>
      </w:r>
    </w:p>
    <w:p>
      <w:pPr>
        <w:spacing w:line="579" w:lineRule="exact"/>
        <w:ind w:firstLine="630" w:firstLineChars="200"/>
        <w:rPr>
          <w:rFonts w:hint="eastAsia" w:hAnsi="仿宋"/>
          <w:color w:val="000000" w:themeColor="text1"/>
          <w:szCs w:val="30"/>
          <w:highlight w:val="none"/>
          <w14:textFill>
            <w14:solidFill>
              <w14:schemeClr w14:val="tx1"/>
            </w14:solidFill>
          </w14:textFill>
        </w:rPr>
      </w:pPr>
      <w:r>
        <w:rPr>
          <w:rFonts w:hint="eastAsia" w:hAnsi="仿宋"/>
          <w:color w:val="000000" w:themeColor="text1"/>
          <w:szCs w:val="30"/>
          <w:highlight w:val="none"/>
          <w14:textFill>
            <w14:solidFill>
              <w14:schemeClr w14:val="tx1"/>
            </w14:solidFill>
          </w14:textFill>
        </w:rPr>
        <w:t>项目立项指标满分9分，综合评价得分为</w:t>
      </w:r>
      <w:r>
        <w:rPr>
          <w:rFonts w:hint="eastAsia" w:hAnsi="仿宋"/>
          <w:color w:val="000000" w:themeColor="text1"/>
          <w:szCs w:val="30"/>
          <w:highlight w:val="none"/>
          <w:lang w:val="en-US" w:eastAsia="zh-CN"/>
          <w14:textFill>
            <w14:solidFill>
              <w14:schemeClr w14:val="tx1"/>
            </w14:solidFill>
          </w14:textFill>
        </w:rPr>
        <w:t>9</w:t>
      </w:r>
      <w:r>
        <w:rPr>
          <w:rFonts w:hint="eastAsia" w:hAnsi="仿宋"/>
          <w:color w:val="000000" w:themeColor="text1"/>
          <w:szCs w:val="30"/>
          <w:highlight w:val="none"/>
          <w14:textFill>
            <w14:solidFill>
              <w14:schemeClr w14:val="tx1"/>
            </w14:solidFill>
          </w14:textFill>
        </w:rPr>
        <w:t>分，得分率</w:t>
      </w:r>
      <w:r>
        <w:rPr>
          <w:rFonts w:hint="eastAsia" w:hAnsi="仿宋"/>
          <w:color w:val="000000" w:themeColor="text1"/>
          <w:szCs w:val="30"/>
          <w:highlight w:val="none"/>
          <w:lang w:val="en-US" w:eastAsia="zh-CN"/>
          <w14:textFill>
            <w14:solidFill>
              <w14:schemeClr w14:val="tx1"/>
            </w14:solidFill>
          </w14:textFill>
        </w:rPr>
        <w:t>100%从</w:t>
      </w:r>
      <w:r>
        <w:rPr>
          <w:rFonts w:hint="eastAsia" w:hAnsi="仿宋"/>
          <w:color w:val="000000" w:themeColor="text1"/>
          <w:szCs w:val="30"/>
          <w:highlight w:val="none"/>
          <w14:textFill>
            <w14:solidFill>
              <w14:schemeClr w14:val="tx1"/>
            </w14:solidFill>
          </w14:textFill>
        </w:rPr>
        <w:t>新型冠状病毒感染的肺炎应急预案和防治技术方案、防治新型冠状病毒工作协调度</w:t>
      </w:r>
      <w:r>
        <w:rPr>
          <w:rFonts w:hint="eastAsia" w:hAnsi="仿宋"/>
          <w:color w:val="000000" w:themeColor="text1"/>
          <w:szCs w:val="30"/>
          <w:highlight w:val="none"/>
          <w:lang w:val="en-US" w:eastAsia="zh-CN"/>
          <w14:textFill>
            <w14:solidFill>
              <w14:schemeClr w14:val="tx1"/>
            </w14:solidFill>
          </w14:textFill>
        </w:rPr>
        <w:t>两</w:t>
      </w:r>
      <w:r>
        <w:rPr>
          <w:rFonts w:hint="eastAsia" w:hAnsi="仿宋"/>
          <w:color w:val="000000" w:themeColor="text1"/>
          <w:szCs w:val="30"/>
          <w:highlight w:val="none"/>
          <w14:textFill>
            <w14:solidFill>
              <w14:schemeClr w14:val="tx1"/>
            </w14:solidFill>
          </w14:textFill>
        </w:rPr>
        <w:t>方面进行评价。</w:t>
      </w:r>
    </w:p>
    <w:p>
      <w:pPr>
        <w:spacing w:line="579" w:lineRule="exact"/>
        <w:ind w:firstLine="600"/>
        <w:jc w:val="left"/>
        <w:rPr>
          <w:rFonts w:hint="default" w:hAnsi="仿宋"/>
          <w:sz w:val="32"/>
          <w:szCs w:val="32"/>
          <w:highlight w:val="none"/>
          <w:lang w:val="en-US" w:eastAsia="zh-CN"/>
        </w:rPr>
      </w:pPr>
      <w:r>
        <w:rPr>
          <w:rFonts w:hint="eastAsia" w:hAnsi="仿宋"/>
          <w:color w:val="000000" w:themeColor="text1"/>
          <w:szCs w:val="30"/>
          <w:highlight w:val="none"/>
          <w:lang w:val="en-US" w:eastAsia="zh-CN"/>
          <w14:textFill>
            <w14:solidFill>
              <w14:schemeClr w14:val="tx1"/>
            </w14:solidFill>
          </w14:textFill>
        </w:rPr>
        <w:t>红塔区</w:t>
      </w:r>
      <w:r>
        <w:rPr>
          <w:rFonts w:hint="eastAsia" w:hAnsi="仿宋"/>
          <w:color w:val="000000" w:themeColor="text1"/>
          <w:szCs w:val="30"/>
          <w:highlight w:val="none"/>
          <w:lang w:eastAsia="zh-CN"/>
          <w14:textFill>
            <w14:solidFill>
              <w14:schemeClr w14:val="tx1"/>
            </w14:solidFill>
          </w14:textFill>
        </w:rPr>
        <w:t>“</w:t>
      </w:r>
      <w:r>
        <w:rPr>
          <w:rFonts w:hint="eastAsia" w:hAnsi="仿宋"/>
          <w:color w:val="000000" w:themeColor="text1"/>
          <w:szCs w:val="30"/>
          <w:highlight w:val="none"/>
          <w:lang w:val="en-US" w:eastAsia="zh-CN"/>
          <w14:textFill>
            <w14:solidFill>
              <w14:schemeClr w14:val="tx1"/>
            </w14:solidFill>
          </w14:textFill>
        </w:rPr>
        <w:t>新冠专项资金</w:t>
      </w:r>
      <w:r>
        <w:rPr>
          <w:rFonts w:hint="eastAsia" w:hAnsi="仿宋"/>
          <w:color w:val="000000" w:themeColor="text1"/>
          <w:szCs w:val="30"/>
          <w:highlight w:val="none"/>
          <w:lang w:eastAsia="zh-CN"/>
          <w14:textFill>
            <w14:solidFill>
              <w14:schemeClr w14:val="tx1"/>
            </w14:solidFill>
          </w14:textFill>
        </w:rPr>
        <w:t>”</w:t>
      </w:r>
      <w:r>
        <w:rPr>
          <w:rFonts w:hint="eastAsia" w:hAnsi="仿宋"/>
          <w:color w:val="000000" w:themeColor="text1"/>
          <w:szCs w:val="30"/>
          <w:highlight w:val="none"/>
          <w14:textFill>
            <w14:solidFill>
              <w14:schemeClr w14:val="tx1"/>
            </w14:solidFill>
          </w14:textFill>
        </w:rPr>
        <w:t>项目</w:t>
      </w:r>
      <w:r>
        <w:rPr>
          <w:rFonts w:hint="eastAsia" w:hAnsi="仿宋"/>
          <w:color w:val="000000" w:themeColor="text1"/>
          <w:szCs w:val="30"/>
          <w:highlight w:val="none"/>
          <w:lang w:val="en-US" w:eastAsia="zh-CN"/>
          <w14:textFill>
            <w14:solidFill>
              <w14:schemeClr w14:val="tx1"/>
            </w14:solidFill>
          </w14:textFill>
        </w:rPr>
        <w:t>目的是</w:t>
      </w:r>
      <w:r>
        <w:rPr>
          <w:rFonts w:hint="eastAsia" w:hAnsi="仿宋"/>
          <w:sz w:val="32"/>
          <w:szCs w:val="32"/>
          <w:highlight w:val="none"/>
          <w:lang w:val="en-US" w:eastAsia="zh-CN"/>
        </w:rPr>
        <w:t>为科学防范和有效应对全球、全国性的新型冠状病毒感染、传播，加之我区可能发生的新型冠状病毒感染的肺炎疫情输入及区内发现散发病例时的应急处置工作，预防、救治疑似患者和新冠患者，切实保护人民群众身体健康，维护经济发展和社会稳定。</w:t>
      </w:r>
    </w:p>
    <w:p>
      <w:pPr>
        <w:spacing w:line="579" w:lineRule="exact"/>
        <w:ind w:firstLine="630" w:firstLineChars="200"/>
        <w:rPr>
          <w:rFonts w:hAnsi="仿宋"/>
          <w:szCs w:val="30"/>
          <w:highlight w:val="none"/>
        </w:rPr>
      </w:pPr>
      <w:r>
        <w:rPr>
          <w:rFonts w:hint="eastAsia" w:hAnsi="仿宋"/>
          <w:szCs w:val="30"/>
          <w:highlight w:val="none"/>
          <w:lang w:val="en-US" w:eastAsia="zh-CN"/>
        </w:rPr>
        <w:t>2</w:t>
      </w:r>
      <w:r>
        <w:rPr>
          <w:rFonts w:hAnsi="仿宋"/>
          <w:szCs w:val="30"/>
          <w:highlight w:val="none"/>
        </w:rPr>
        <w:t>.</w:t>
      </w:r>
      <w:r>
        <w:rPr>
          <w:rFonts w:hint="eastAsia" w:hAnsi="仿宋"/>
          <w:szCs w:val="30"/>
          <w:highlight w:val="none"/>
        </w:rPr>
        <w:t>资金投入</w:t>
      </w:r>
    </w:p>
    <w:p>
      <w:pPr>
        <w:spacing w:line="579" w:lineRule="exact"/>
        <w:ind w:firstLine="630" w:firstLineChars="200"/>
        <w:rPr>
          <w:rFonts w:hAnsi="仿宋"/>
          <w:kern w:val="0"/>
          <w:szCs w:val="30"/>
          <w:highlight w:val="none"/>
        </w:rPr>
      </w:pPr>
      <w:r>
        <w:rPr>
          <w:rFonts w:hint="eastAsia" w:hAnsi="仿宋"/>
          <w:kern w:val="0"/>
          <w:szCs w:val="30"/>
          <w:highlight w:val="none"/>
        </w:rPr>
        <w:t>资金投入指标满分6分，综合评价得分为6分，得分率100%。针对资金到位率进行评价。</w:t>
      </w:r>
    </w:p>
    <w:p>
      <w:pPr>
        <w:spacing w:line="579" w:lineRule="exact"/>
        <w:ind w:firstLine="630" w:firstLineChars="200"/>
        <w:rPr>
          <w:rFonts w:hint="default" w:hAnsi="仿宋"/>
          <w:kern w:val="0"/>
          <w:szCs w:val="30"/>
          <w:highlight w:val="none"/>
          <w:lang w:val="en-US" w:eastAsia="zh-CN"/>
        </w:rPr>
      </w:pPr>
      <w:bookmarkStart w:id="80" w:name="_Toc26229"/>
      <w:bookmarkStart w:id="81" w:name="_Toc1524_WPSOffice_Level2"/>
      <w:bookmarkStart w:id="82" w:name="_Toc32159_WPSOffice_Level2"/>
      <w:bookmarkStart w:id="83" w:name="_Toc18250888"/>
      <w:r>
        <w:rPr>
          <w:rFonts w:hint="eastAsia" w:hAnsi="仿宋"/>
          <w:kern w:val="0"/>
          <w:szCs w:val="30"/>
          <w:highlight w:val="none"/>
          <w:lang w:val="en-US" w:eastAsia="zh-CN"/>
        </w:rPr>
        <w:t xml:space="preserve">根据红塔区应对新冠肺炎疫情防控工作指挥部疫防资金收付总账发现新冠专项资金2295.25万元已全部到账，其中：财政直拨本级资金合计1873.05万元，财政直拨疾控中心资金合计25万元，财政直拨医共体资金合计297.2万元，区财政直拨红塔分局资金合计100万元。 </w:t>
      </w:r>
    </w:p>
    <w:p>
      <w:pPr>
        <w:spacing w:line="579" w:lineRule="exact"/>
        <w:ind w:firstLine="632"/>
        <w:outlineLvl w:val="1"/>
        <w:rPr>
          <w:rFonts w:ascii="楷体" w:hAnsi="楷体" w:eastAsia="楷体"/>
          <w:szCs w:val="30"/>
          <w:highlight w:val="none"/>
        </w:rPr>
      </w:pPr>
      <w:bookmarkStart w:id="84" w:name="_Toc20444"/>
      <w:r>
        <w:rPr>
          <w:rFonts w:hint="eastAsia" w:ascii="楷体" w:hAnsi="楷体" w:eastAsia="楷体"/>
          <w:szCs w:val="30"/>
          <w:highlight w:val="none"/>
        </w:rPr>
        <w:t>（二）过程情况分析</w:t>
      </w:r>
      <w:bookmarkEnd w:id="80"/>
      <w:bookmarkEnd w:id="81"/>
      <w:bookmarkEnd w:id="82"/>
      <w:bookmarkEnd w:id="83"/>
      <w:bookmarkEnd w:id="84"/>
    </w:p>
    <w:p>
      <w:pPr>
        <w:spacing w:line="579" w:lineRule="exact"/>
        <w:ind w:firstLine="630" w:firstLineChars="200"/>
        <w:rPr>
          <w:rFonts w:hAnsi="仿宋"/>
          <w:szCs w:val="30"/>
          <w:highlight w:val="none"/>
        </w:rPr>
      </w:pPr>
      <w:r>
        <w:rPr>
          <w:rFonts w:hint="eastAsia" w:hAnsi="仿宋"/>
          <w:szCs w:val="30"/>
          <w:highlight w:val="none"/>
        </w:rPr>
        <w:t>此项综合评价满分为</w:t>
      </w:r>
      <w:r>
        <w:rPr>
          <w:rFonts w:hAnsi="仿宋"/>
          <w:szCs w:val="30"/>
          <w:highlight w:val="none"/>
        </w:rPr>
        <w:t>25</w:t>
      </w:r>
      <w:r>
        <w:rPr>
          <w:rFonts w:hint="eastAsia" w:hAnsi="仿宋"/>
          <w:szCs w:val="30"/>
          <w:highlight w:val="none"/>
        </w:rPr>
        <w:t>分，实际得分</w:t>
      </w:r>
      <w:r>
        <w:rPr>
          <w:rFonts w:hint="eastAsia" w:hAnsi="仿宋"/>
          <w:szCs w:val="30"/>
          <w:highlight w:val="none"/>
          <w:lang w:val="en-US" w:eastAsia="zh-CN"/>
        </w:rPr>
        <w:t>22.44</w:t>
      </w:r>
      <w:r>
        <w:rPr>
          <w:rFonts w:hint="eastAsia" w:hAnsi="仿宋"/>
          <w:szCs w:val="30"/>
          <w:highlight w:val="none"/>
        </w:rPr>
        <w:t>分（占该项满分值的</w:t>
      </w:r>
      <w:r>
        <w:rPr>
          <w:rFonts w:hint="eastAsia" w:hAnsi="仿宋"/>
          <w:szCs w:val="30"/>
          <w:highlight w:val="none"/>
          <w:lang w:val="en-US" w:eastAsia="zh-CN"/>
        </w:rPr>
        <w:t>89.76</w:t>
      </w:r>
      <w:r>
        <w:rPr>
          <w:rFonts w:hint="eastAsia" w:hAnsi="仿宋"/>
          <w:szCs w:val="30"/>
          <w:highlight w:val="none"/>
        </w:rPr>
        <w:t>%）。</w:t>
      </w:r>
    </w:p>
    <w:p>
      <w:pPr>
        <w:spacing w:line="579" w:lineRule="exact"/>
        <w:ind w:firstLine="630" w:firstLineChars="200"/>
        <w:rPr>
          <w:rFonts w:hAnsi="仿宋"/>
          <w:szCs w:val="30"/>
          <w:highlight w:val="none"/>
        </w:rPr>
      </w:pPr>
      <w:r>
        <w:rPr>
          <w:rFonts w:hint="eastAsia" w:hAnsi="仿宋"/>
          <w:szCs w:val="30"/>
          <w:highlight w:val="none"/>
        </w:rPr>
        <w:t>1</w:t>
      </w:r>
      <w:r>
        <w:rPr>
          <w:rFonts w:hAnsi="仿宋"/>
          <w:szCs w:val="30"/>
          <w:highlight w:val="none"/>
        </w:rPr>
        <w:t>.</w:t>
      </w:r>
      <w:r>
        <w:rPr>
          <w:rFonts w:hint="eastAsia" w:hAnsi="仿宋"/>
          <w:szCs w:val="30"/>
          <w:highlight w:val="none"/>
        </w:rPr>
        <w:t>资金管理</w:t>
      </w:r>
    </w:p>
    <w:p>
      <w:pPr>
        <w:spacing w:line="579" w:lineRule="exact"/>
        <w:ind w:firstLine="630" w:firstLineChars="200"/>
        <w:rPr>
          <w:rFonts w:hint="eastAsia" w:hAnsi="仿宋"/>
          <w:kern w:val="0"/>
          <w:szCs w:val="30"/>
          <w:highlight w:val="none"/>
        </w:rPr>
      </w:pPr>
      <w:r>
        <w:rPr>
          <w:rFonts w:hint="eastAsia" w:hAnsi="仿宋"/>
          <w:kern w:val="0"/>
          <w:szCs w:val="30"/>
          <w:highlight w:val="none"/>
        </w:rPr>
        <w:t>资金管理指标满分</w:t>
      </w:r>
      <w:r>
        <w:rPr>
          <w:rFonts w:hint="eastAsia" w:hAnsi="仿宋"/>
          <w:kern w:val="0"/>
          <w:szCs w:val="30"/>
          <w:highlight w:val="none"/>
          <w:lang w:val="en-US" w:eastAsia="zh-CN"/>
        </w:rPr>
        <w:t>10</w:t>
      </w:r>
      <w:r>
        <w:rPr>
          <w:rFonts w:hint="eastAsia" w:hAnsi="仿宋"/>
          <w:kern w:val="0"/>
          <w:szCs w:val="30"/>
          <w:highlight w:val="none"/>
        </w:rPr>
        <w:t>分，综合评价得分为</w:t>
      </w:r>
      <w:r>
        <w:rPr>
          <w:rFonts w:hint="eastAsia" w:hAnsi="仿宋"/>
          <w:kern w:val="0"/>
          <w:szCs w:val="30"/>
          <w:highlight w:val="none"/>
          <w:lang w:val="en-US" w:eastAsia="zh-CN"/>
        </w:rPr>
        <w:t>7.44</w:t>
      </w:r>
      <w:r>
        <w:rPr>
          <w:rFonts w:hint="eastAsia" w:hAnsi="仿宋"/>
          <w:kern w:val="0"/>
          <w:szCs w:val="30"/>
          <w:highlight w:val="none"/>
        </w:rPr>
        <w:t>分，得分率</w:t>
      </w:r>
      <w:r>
        <w:rPr>
          <w:rFonts w:hint="eastAsia" w:hAnsi="仿宋"/>
          <w:kern w:val="0"/>
          <w:szCs w:val="30"/>
          <w:highlight w:val="none"/>
          <w:lang w:val="en-US" w:eastAsia="zh-CN"/>
        </w:rPr>
        <w:t>74.4</w:t>
      </w:r>
      <w:r>
        <w:rPr>
          <w:rFonts w:hint="eastAsia" w:hAnsi="仿宋"/>
          <w:kern w:val="0"/>
          <w:szCs w:val="30"/>
          <w:highlight w:val="none"/>
        </w:rPr>
        <w:t>%。从</w:t>
      </w:r>
      <w:r>
        <w:rPr>
          <w:rFonts w:hint="eastAsia" w:hAnsi="仿宋"/>
          <w:kern w:val="0"/>
          <w:szCs w:val="30"/>
          <w:highlight w:val="none"/>
          <w:lang w:val="en-US" w:eastAsia="zh-CN"/>
        </w:rPr>
        <w:t>资金使用率</w:t>
      </w:r>
      <w:r>
        <w:rPr>
          <w:rFonts w:hint="eastAsia" w:hAnsi="仿宋"/>
          <w:kern w:val="0"/>
          <w:szCs w:val="30"/>
          <w:highlight w:val="none"/>
          <w:lang w:eastAsia="zh-CN"/>
        </w:rPr>
        <w:t>、被补助对象资金使用合规性</w:t>
      </w:r>
      <w:r>
        <w:rPr>
          <w:rFonts w:hint="eastAsia" w:hAnsi="仿宋"/>
          <w:kern w:val="0"/>
          <w:szCs w:val="30"/>
          <w:highlight w:val="none"/>
          <w:lang w:val="en-US" w:eastAsia="zh-CN"/>
        </w:rPr>
        <w:t>两</w:t>
      </w:r>
      <w:r>
        <w:rPr>
          <w:rFonts w:hint="eastAsia" w:hAnsi="仿宋"/>
          <w:kern w:val="0"/>
          <w:szCs w:val="30"/>
          <w:highlight w:val="none"/>
        </w:rPr>
        <w:t>方面进行评价。</w:t>
      </w:r>
    </w:p>
    <w:p>
      <w:pPr>
        <w:spacing w:line="579" w:lineRule="exact"/>
        <w:ind w:firstLine="630" w:firstLineChars="200"/>
        <w:rPr>
          <w:rFonts w:hint="default" w:hAnsi="仿宋"/>
          <w:kern w:val="0"/>
          <w:szCs w:val="30"/>
          <w:highlight w:val="none"/>
          <w:lang w:val="en-US" w:eastAsia="zh-CN"/>
        </w:rPr>
      </w:pPr>
      <w:r>
        <w:rPr>
          <w:rFonts w:hint="eastAsia" w:hAnsi="仿宋"/>
          <w:kern w:val="0"/>
          <w:szCs w:val="30"/>
          <w:highlight w:val="none"/>
          <w:lang w:val="en-US" w:eastAsia="zh-CN"/>
        </w:rPr>
        <w:t>被补助对象资金使用</w:t>
      </w:r>
      <w:r>
        <w:rPr>
          <w:rFonts w:hint="default" w:hAnsi="仿宋"/>
          <w:kern w:val="0"/>
          <w:szCs w:val="30"/>
          <w:highlight w:val="none"/>
          <w:lang w:val="en-US" w:eastAsia="zh-CN"/>
        </w:rPr>
        <w:t>符合国家财经法规</w:t>
      </w:r>
      <w:r>
        <w:rPr>
          <w:rFonts w:hint="eastAsia" w:hAnsi="仿宋"/>
          <w:kern w:val="0"/>
          <w:szCs w:val="30"/>
          <w:highlight w:val="none"/>
          <w:lang w:val="en-US" w:eastAsia="zh-CN"/>
        </w:rPr>
        <w:t>、</w:t>
      </w:r>
      <w:r>
        <w:rPr>
          <w:rFonts w:hint="default" w:hAnsi="仿宋"/>
          <w:kern w:val="0"/>
          <w:szCs w:val="30"/>
          <w:highlight w:val="none"/>
          <w:lang w:val="en-US" w:eastAsia="zh-CN"/>
        </w:rPr>
        <w:t>财务管理制度以</w:t>
      </w:r>
      <w:r>
        <w:rPr>
          <w:rFonts w:hint="eastAsia" w:hAnsi="仿宋"/>
          <w:kern w:val="0"/>
          <w:szCs w:val="30"/>
          <w:highlight w:val="none"/>
          <w:lang w:val="en-US" w:eastAsia="zh-CN"/>
        </w:rPr>
        <w:t>、《</w:t>
      </w:r>
      <w:r>
        <w:rPr>
          <w:rFonts w:hint="default" w:hAnsi="仿宋"/>
          <w:kern w:val="0"/>
          <w:szCs w:val="30"/>
          <w:highlight w:val="none"/>
          <w:lang w:val="en-US" w:eastAsia="zh-CN"/>
        </w:rPr>
        <w:t>红塔区新型冠状病毒感染肺炎疫情防控疫防资金管理办法</w:t>
      </w:r>
      <w:r>
        <w:rPr>
          <w:rFonts w:hint="eastAsia" w:hAnsi="仿宋"/>
          <w:kern w:val="0"/>
          <w:szCs w:val="30"/>
          <w:highlight w:val="none"/>
          <w:lang w:val="en-US" w:eastAsia="zh-CN"/>
        </w:rPr>
        <w:t>（试行）》</w:t>
      </w:r>
      <w:r>
        <w:rPr>
          <w:rFonts w:hint="default" w:hAnsi="仿宋"/>
          <w:kern w:val="0"/>
          <w:szCs w:val="30"/>
          <w:highlight w:val="none"/>
          <w:lang w:val="en-US" w:eastAsia="zh-CN"/>
        </w:rPr>
        <w:t>的规定</w:t>
      </w:r>
      <w:r>
        <w:rPr>
          <w:rFonts w:hint="eastAsia" w:hAnsi="仿宋"/>
          <w:kern w:val="0"/>
          <w:szCs w:val="30"/>
          <w:highlight w:val="none"/>
          <w:lang w:val="en-US" w:eastAsia="zh-CN"/>
        </w:rPr>
        <w:t xml:space="preserve">及预算批复或管理办法规定的用途，资金的拨付有完整的审批程序和手续，不存在截留、挤占、挪用、虚列支出等情况。 </w:t>
      </w:r>
    </w:p>
    <w:p>
      <w:pPr>
        <w:spacing w:line="579" w:lineRule="exact"/>
        <w:ind w:firstLine="630" w:firstLineChars="200"/>
        <w:rPr>
          <w:rFonts w:hAnsi="仿宋"/>
          <w:szCs w:val="30"/>
          <w:highlight w:val="none"/>
        </w:rPr>
      </w:pPr>
      <w:r>
        <w:rPr>
          <w:rFonts w:hint="eastAsia" w:hAnsi="仿宋"/>
          <w:szCs w:val="30"/>
          <w:highlight w:val="none"/>
        </w:rPr>
        <w:t>2</w:t>
      </w:r>
      <w:r>
        <w:rPr>
          <w:rFonts w:hAnsi="仿宋"/>
          <w:szCs w:val="30"/>
          <w:highlight w:val="none"/>
        </w:rPr>
        <w:t>.</w:t>
      </w:r>
      <w:r>
        <w:rPr>
          <w:rFonts w:hint="eastAsia" w:hAnsi="仿宋"/>
          <w:szCs w:val="30"/>
          <w:highlight w:val="none"/>
        </w:rPr>
        <w:t>组织管理</w:t>
      </w:r>
    </w:p>
    <w:p>
      <w:pPr>
        <w:spacing w:line="579" w:lineRule="exact"/>
        <w:ind w:firstLine="630" w:firstLineChars="200"/>
        <w:rPr>
          <w:rFonts w:hAnsi="仿宋"/>
          <w:szCs w:val="30"/>
          <w:highlight w:val="none"/>
        </w:rPr>
      </w:pPr>
      <w:r>
        <w:rPr>
          <w:rFonts w:hint="eastAsia" w:hAnsi="仿宋"/>
          <w:szCs w:val="30"/>
          <w:highlight w:val="none"/>
        </w:rPr>
        <w:t>项目管理指标满分</w:t>
      </w:r>
      <w:r>
        <w:rPr>
          <w:rFonts w:hint="eastAsia" w:hAnsi="仿宋"/>
          <w:szCs w:val="30"/>
          <w:highlight w:val="none"/>
          <w:lang w:val="en-US" w:eastAsia="zh-CN"/>
        </w:rPr>
        <w:t>16</w:t>
      </w:r>
      <w:r>
        <w:rPr>
          <w:rFonts w:hint="eastAsia" w:hAnsi="仿宋"/>
          <w:szCs w:val="30"/>
          <w:highlight w:val="none"/>
        </w:rPr>
        <w:t>分，综合评价得分为</w:t>
      </w:r>
      <w:r>
        <w:rPr>
          <w:rFonts w:hint="eastAsia" w:hAnsi="仿宋"/>
          <w:szCs w:val="30"/>
          <w:highlight w:val="none"/>
          <w:lang w:val="en-US" w:eastAsia="zh-CN"/>
        </w:rPr>
        <w:t>16</w:t>
      </w:r>
      <w:r>
        <w:rPr>
          <w:rFonts w:hint="eastAsia" w:hAnsi="仿宋"/>
          <w:szCs w:val="30"/>
          <w:highlight w:val="none"/>
        </w:rPr>
        <w:t>分，得分率</w:t>
      </w:r>
      <w:r>
        <w:rPr>
          <w:rFonts w:hint="eastAsia" w:hAnsi="仿宋"/>
          <w:szCs w:val="30"/>
          <w:highlight w:val="none"/>
          <w:lang w:val="en-US" w:eastAsia="zh-CN"/>
        </w:rPr>
        <w:t>100</w:t>
      </w:r>
      <w:r>
        <w:rPr>
          <w:rFonts w:hint="eastAsia" w:hAnsi="仿宋"/>
          <w:szCs w:val="30"/>
          <w:highlight w:val="none"/>
        </w:rPr>
        <w:t>%。针对</w:t>
      </w:r>
      <w:r>
        <w:rPr>
          <w:rFonts w:hint="eastAsia" w:hAnsi="仿宋"/>
          <w:szCs w:val="30"/>
          <w:highlight w:val="none"/>
          <w:lang w:val="en-US" w:eastAsia="zh-CN"/>
        </w:rPr>
        <w:t>方案制度</w:t>
      </w:r>
      <w:r>
        <w:rPr>
          <w:rFonts w:hint="eastAsia" w:hAnsi="仿宋"/>
          <w:szCs w:val="30"/>
          <w:highlight w:val="none"/>
        </w:rPr>
        <w:t>健全性、</w:t>
      </w:r>
      <w:r>
        <w:rPr>
          <w:rFonts w:hint="eastAsia" w:hAnsi="仿宋"/>
          <w:szCs w:val="30"/>
          <w:highlight w:val="none"/>
          <w:lang w:val="en-US" w:eastAsia="zh-CN"/>
        </w:rPr>
        <w:t>防控机制有效性</w:t>
      </w:r>
      <w:r>
        <w:rPr>
          <w:rFonts w:hint="eastAsia" w:hAnsi="仿宋"/>
          <w:szCs w:val="30"/>
          <w:highlight w:val="none"/>
        </w:rPr>
        <w:t>、监督检查有效性</w:t>
      </w:r>
      <w:r>
        <w:rPr>
          <w:rFonts w:hint="eastAsia" w:hAnsi="仿宋"/>
          <w:szCs w:val="30"/>
          <w:highlight w:val="none"/>
          <w:lang w:eastAsia="zh-CN"/>
        </w:rPr>
        <w:t>、</w:t>
      </w:r>
      <w:r>
        <w:rPr>
          <w:rFonts w:hint="eastAsia" w:hAnsi="仿宋"/>
          <w:szCs w:val="30"/>
          <w:highlight w:val="none"/>
        </w:rPr>
        <w:t>等方面进行评价。</w:t>
      </w:r>
    </w:p>
    <w:p>
      <w:pPr>
        <w:spacing w:line="579" w:lineRule="exact"/>
        <w:ind w:firstLine="630" w:firstLineChars="200"/>
        <w:rPr>
          <w:rFonts w:hint="eastAsia" w:hAnsi="仿宋"/>
          <w:szCs w:val="30"/>
          <w:highlight w:val="none"/>
        </w:rPr>
      </w:pPr>
      <w:r>
        <w:rPr>
          <w:rFonts w:hint="eastAsia" w:hAnsi="仿宋"/>
          <w:szCs w:val="30"/>
          <w:highlight w:val="none"/>
        </w:rPr>
        <w:t>根据</w:t>
      </w:r>
      <w:r>
        <w:rPr>
          <w:rFonts w:hint="default" w:hAnsi="仿宋"/>
          <w:szCs w:val="30"/>
          <w:highlight w:val="none"/>
          <w:lang w:val="en-US" w:eastAsia="zh-CN"/>
        </w:rPr>
        <w:t>《</w:t>
      </w:r>
      <w:r>
        <w:rPr>
          <w:rFonts w:hint="eastAsia" w:hAnsi="仿宋"/>
          <w:szCs w:val="30"/>
          <w:highlight w:val="none"/>
          <w:lang w:val="en-US" w:eastAsia="zh-CN"/>
        </w:rPr>
        <w:t>红塔区新型冠状病毒感染肺炎防控专项工作方案》</w:t>
      </w:r>
      <w:r>
        <w:rPr>
          <w:rFonts w:hint="eastAsia" w:hAnsi="仿宋"/>
          <w:szCs w:val="30"/>
          <w:highlight w:val="none"/>
        </w:rPr>
        <w:t>的要求，</w:t>
      </w:r>
      <w:r>
        <w:rPr>
          <w:rFonts w:hint="eastAsia" w:hAnsi="仿宋"/>
          <w:szCs w:val="30"/>
          <w:highlight w:val="none"/>
          <w:lang w:eastAsia="zh-CN"/>
        </w:rPr>
        <w:t>“</w:t>
      </w:r>
      <w:r>
        <w:rPr>
          <w:rFonts w:hint="eastAsia" w:hAnsi="仿宋"/>
          <w:szCs w:val="30"/>
          <w:highlight w:val="none"/>
          <w:lang w:val="en-US" w:eastAsia="zh-CN"/>
        </w:rPr>
        <w:t>新冠专项资金项目</w:t>
      </w:r>
      <w:r>
        <w:rPr>
          <w:rFonts w:hint="eastAsia" w:hAnsi="仿宋"/>
          <w:szCs w:val="30"/>
          <w:highlight w:val="none"/>
          <w:lang w:eastAsia="zh-CN"/>
        </w:rPr>
        <w:t>”</w:t>
      </w:r>
      <w:r>
        <w:rPr>
          <w:rFonts w:hint="eastAsia" w:hAnsi="仿宋"/>
          <w:szCs w:val="30"/>
          <w:highlight w:val="none"/>
        </w:rPr>
        <w:t>项目主体责任明确，项目组织实施各方分工明确，</w:t>
      </w:r>
      <w:bookmarkStart w:id="85" w:name="_Toc3878_WPSOffice_Level2"/>
      <w:bookmarkStart w:id="86" w:name="_Toc21660_WPSOffice_Level2"/>
      <w:bookmarkStart w:id="87" w:name="_Toc18250889"/>
      <w:r>
        <w:rPr>
          <w:rFonts w:hint="eastAsia" w:hAnsi="仿宋"/>
          <w:szCs w:val="30"/>
          <w:highlight w:val="none"/>
        </w:rPr>
        <w:t>成立</w:t>
      </w:r>
      <w:r>
        <w:rPr>
          <w:rFonts w:hint="eastAsia" w:hAnsi="仿宋"/>
          <w:szCs w:val="30"/>
          <w:highlight w:val="none"/>
          <w:lang w:val="en-US" w:eastAsia="zh-CN"/>
        </w:rPr>
        <w:t>红塔区卫生健康局新型冠状病毒感染肺炎防控</w:t>
      </w:r>
      <w:r>
        <w:rPr>
          <w:rFonts w:hint="eastAsia" w:hAnsi="仿宋"/>
          <w:szCs w:val="30"/>
          <w:highlight w:val="none"/>
        </w:rPr>
        <w:t>领导小组，统</w:t>
      </w:r>
      <w:r>
        <w:rPr>
          <w:rFonts w:hint="eastAsia" w:hAnsi="仿宋"/>
          <w:szCs w:val="30"/>
          <w:highlight w:val="none"/>
          <w:lang w:val="en-US" w:eastAsia="zh-CN"/>
        </w:rPr>
        <w:t>一</w:t>
      </w:r>
      <w:r>
        <w:rPr>
          <w:rFonts w:hint="eastAsia" w:hAnsi="仿宋"/>
          <w:szCs w:val="30"/>
          <w:highlight w:val="none"/>
        </w:rPr>
        <w:t>领导和部署“</w:t>
      </w:r>
      <w:r>
        <w:rPr>
          <w:rFonts w:hint="eastAsia" w:hAnsi="仿宋"/>
          <w:szCs w:val="30"/>
          <w:highlight w:val="none"/>
          <w:lang w:val="en-US" w:eastAsia="zh-CN"/>
        </w:rPr>
        <w:t>新型冠状病毒感染肺炎防控</w:t>
      </w:r>
      <w:r>
        <w:rPr>
          <w:rFonts w:hint="eastAsia" w:hAnsi="仿宋"/>
          <w:szCs w:val="30"/>
          <w:highlight w:val="none"/>
        </w:rPr>
        <w:t>”的实施。</w:t>
      </w:r>
      <w:r>
        <w:rPr>
          <w:rFonts w:hint="eastAsia" w:hAnsi="仿宋"/>
          <w:szCs w:val="30"/>
          <w:highlight w:val="none"/>
          <w:lang w:val="en-US" w:eastAsia="zh-CN"/>
        </w:rPr>
        <w:t>防控</w:t>
      </w:r>
      <w:r>
        <w:rPr>
          <w:rFonts w:hint="eastAsia" w:hAnsi="仿宋"/>
          <w:szCs w:val="30"/>
          <w:highlight w:val="none"/>
        </w:rPr>
        <w:t>办公室设在</w:t>
      </w:r>
      <w:r>
        <w:rPr>
          <w:rFonts w:hint="eastAsia" w:hAnsi="仿宋"/>
          <w:szCs w:val="30"/>
          <w:highlight w:val="none"/>
          <w:lang w:val="en-US" w:eastAsia="zh-CN"/>
        </w:rPr>
        <w:t>区卫生健康局公共卫生股，</w:t>
      </w:r>
      <w:r>
        <w:rPr>
          <w:rFonts w:hint="eastAsia" w:hAnsi="仿宋"/>
          <w:szCs w:val="30"/>
          <w:highlight w:val="none"/>
        </w:rPr>
        <w:t>负责区内新型冠状病毒防控医疗卫生应急救援工作组织、指挥与协调;负责向区政府传染病防控指挥部提出医疗救援和卫生防病工作的重大决策建议。</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制定了相应资金管理办法、项目管理办法、监督检查办法等，项目实施单位严格按照规定的条件开展工作。并安排专人定期进行新型冠状病毒感染的肺炎监测信息收集、汇总、分析和报告工作，对病例及其密切接触者进行追踪调查。根据提供资料发现，项目实施单位痕迹资料保存完整。</w:t>
      </w:r>
    </w:p>
    <w:p>
      <w:pPr>
        <w:spacing w:line="579" w:lineRule="exact"/>
        <w:ind w:firstLine="630" w:firstLineChars="200"/>
        <w:outlineLvl w:val="1"/>
        <w:rPr>
          <w:color w:val="000000"/>
          <w:highlight w:val="none"/>
          <w:lang w:bidi="zh-CN"/>
        </w:rPr>
      </w:pPr>
      <w:bookmarkStart w:id="88" w:name="_Toc9361"/>
      <w:r>
        <w:rPr>
          <w:rFonts w:hint="eastAsia" w:ascii="楷体" w:hAnsi="楷体" w:eastAsia="楷体"/>
          <w:szCs w:val="30"/>
          <w:highlight w:val="none"/>
        </w:rPr>
        <w:t>（三）产出情况分析</w:t>
      </w:r>
      <w:bookmarkEnd w:id="85"/>
      <w:bookmarkEnd w:id="86"/>
      <w:bookmarkEnd w:id="87"/>
      <w:bookmarkEnd w:id="88"/>
    </w:p>
    <w:p>
      <w:pPr>
        <w:spacing w:line="579" w:lineRule="exact"/>
        <w:ind w:firstLine="630" w:firstLineChars="200"/>
        <w:rPr>
          <w:rFonts w:hAnsi="仿宋"/>
          <w:szCs w:val="30"/>
          <w:highlight w:val="none"/>
        </w:rPr>
      </w:pPr>
      <w:r>
        <w:rPr>
          <w:rFonts w:hint="eastAsia" w:hAnsi="仿宋"/>
          <w:szCs w:val="30"/>
          <w:highlight w:val="none"/>
        </w:rPr>
        <w:t>从综合评价得分情况看，此项综合评价满分为</w:t>
      </w:r>
      <w:r>
        <w:rPr>
          <w:rFonts w:hint="eastAsia" w:hAnsi="仿宋"/>
          <w:szCs w:val="30"/>
          <w:highlight w:val="none"/>
          <w:lang w:val="en-US" w:eastAsia="zh-CN"/>
        </w:rPr>
        <w:t>30</w:t>
      </w:r>
      <w:r>
        <w:rPr>
          <w:rFonts w:hint="eastAsia" w:hAnsi="仿宋"/>
          <w:szCs w:val="30"/>
          <w:highlight w:val="none"/>
        </w:rPr>
        <w:t>分，实际得分</w:t>
      </w:r>
      <w:r>
        <w:rPr>
          <w:rFonts w:hint="eastAsia" w:hAnsi="仿宋"/>
          <w:szCs w:val="30"/>
          <w:highlight w:val="none"/>
          <w:lang w:val="en-US" w:eastAsia="zh-CN"/>
        </w:rPr>
        <w:t>30</w:t>
      </w:r>
      <w:r>
        <w:rPr>
          <w:rFonts w:hint="eastAsia" w:hAnsi="仿宋"/>
          <w:szCs w:val="30"/>
          <w:highlight w:val="none"/>
        </w:rPr>
        <w:t>分（占该项满分值的</w:t>
      </w:r>
      <w:r>
        <w:rPr>
          <w:rFonts w:hint="eastAsia" w:hAnsi="仿宋"/>
          <w:szCs w:val="30"/>
          <w:highlight w:val="none"/>
          <w:lang w:val="en-US" w:eastAsia="zh-CN"/>
        </w:rPr>
        <w:t>100</w:t>
      </w:r>
      <w:r>
        <w:rPr>
          <w:rFonts w:hint="eastAsia" w:hAnsi="仿宋"/>
          <w:szCs w:val="30"/>
          <w:highlight w:val="none"/>
        </w:rPr>
        <w:t>%）。</w:t>
      </w:r>
    </w:p>
    <w:p>
      <w:pPr>
        <w:spacing w:line="579" w:lineRule="exact"/>
        <w:ind w:firstLine="630" w:firstLineChars="200"/>
        <w:rPr>
          <w:rFonts w:hAnsi="仿宋"/>
          <w:szCs w:val="30"/>
          <w:highlight w:val="none"/>
        </w:rPr>
      </w:pPr>
      <w:r>
        <w:rPr>
          <w:rFonts w:hint="eastAsia" w:hAnsi="仿宋"/>
          <w:szCs w:val="30"/>
          <w:highlight w:val="none"/>
        </w:rPr>
        <w:t>1</w:t>
      </w:r>
      <w:r>
        <w:rPr>
          <w:rFonts w:hAnsi="仿宋"/>
          <w:szCs w:val="30"/>
          <w:highlight w:val="none"/>
        </w:rPr>
        <w:t>.</w:t>
      </w:r>
      <w:r>
        <w:rPr>
          <w:rFonts w:hint="eastAsia" w:hAnsi="仿宋"/>
          <w:szCs w:val="30"/>
          <w:highlight w:val="none"/>
        </w:rPr>
        <w:t>产出数量</w:t>
      </w:r>
    </w:p>
    <w:p>
      <w:pPr>
        <w:spacing w:line="579" w:lineRule="exact"/>
        <w:ind w:firstLine="630" w:firstLineChars="200"/>
        <w:rPr>
          <w:rFonts w:hAnsi="仿宋"/>
          <w:szCs w:val="30"/>
          <w:highlight w:val="none"/>
        </w:rPr>
      </w:pPr>
      <w:r>
        <w:rPr>
          <w:rFonts w:hint="eastAsia" w:hAnsi="仿宋"/>
          <w:szCs w:val="30"/>
          <w:highlight w:val="none"/>
        </w:rPr>
        <w:t>产出数量指标满分</w:t>
      </w:r>
      <w:r>
        <w:rPr>
          <w:rFonts w:hint="eastAsia" w:hAnsi="仿宋"/>
          <w:szCs w:val="30"/>
          <w:highlight w:val="none"/>
          <w:lang w:val="en-US" w:eastAsia="zh-CN"/>
        </w:rPr>
        <w:t>16</w:t>
      </w:r>
      <w:r>
        <w:rPr>
          <w:rFonts w:hint="eastAsia" w:hAnsi="仿宋"/>
          <w:szCs w:val="30"/>
          <w:highlight w:val="none"/>
        </w:rPr>
        <w:t>分，综合评价得分</w:t>
      </w:r>
      <w:r>
        <w:rPr>
          <w:rFonts w:hint="eastAsia" w:hAnsi="仿宋"/>
          <w:szCs w:val="30"/>
          <w:highlight w:val="none"/>
          <w:lang w:val="en-US" w:eastAsia="zh-CN"/>
        </w:rPr>
        <w:t>16</w:t>
      </w:r>
      <w:r>
        <w:rPr>
          <w:rFonts w:hint="eastAsia" w:hAnsi="仿宋"/>
          <w:szCs w:val="30"/>
          <w:highlight w:val="none"/>
        </w:rPr>
        <w:t>分，得分率</w:t>
      </w:r>
      <w:r>
        <w:rPr>
          <w:rFonts w:hint="eastAsia" w:hAnsi="仿宋"/>
          <w:szCs w:val="30"/>
          <w:highlight w:val="none"/>
          <w:lang w:val="en-US" w:eastAsia="zh-CN"/>
        </w:rPr>
        <w:t>100</w:t>
      </w:r>
      <w:r>
        <w:rPr>
          <w:rFonts w:hint="eastAsia" w:hAnsi="仿宋"/>
          <w:szCs w:val="30"/>
          <w:highlight w:val="none"/>
        </w:rPr>
        <w:t>%。从新冠病毒预防培训工作、宣传完成率等方面进行评价。</w:t>
      </w:r>
    </w:p>
    <w:p>
      <w:pPr>
        <w:spacing w:line="579" w:lineRule="exact"/>
        <w:ind w:firstLine="630" w:firstLineChars="200"/>
        <w:rPr>
          <w:rFonts w:hint="default" w:hAnsi="仿宋" w:eastAsia="仿宋"/>
          <w:szCs w:val="30"/>
          <w:highlight w:val="none"/>
          <w:lang w:val="en-US" w:eastAsia="zh-CN"/>
        </w:rPr>
      </w:pPr>
      <w:r>
        <w:rPr>
          <w:rFonts w:hint="eastAsia" w:hAnsi="仿宋"/>
          <w:szCs w:val="30"/>
          <w:highlight w:val="none"/>
        </w:rPr>
        <w:t>通过收集整理玉溪市红塔区卫生健康局新冠</w:t>
      </w:r>
      <w:r>
        <w:rPr>
          <w:rFonts w:hint="eastAsia" w:hAnsi="仿宋"/>
          <w:szCs w:val="30"/>
          <w:highlight w:val="none"/>
          <w:lang w:val="en-US" w:eastAsia="zh-CN"/>
        </w:rPr>
        <w:t>专项资金</w:t>
      </w:r>
      <w:r>
        <w:rPr>
          <w:rFonts w:hint="eastAsia" w:hAnsi="仿宋"/>
          <w:szCs w:val="30"/>
          <w:highlight w:val="none"/>
        </w:rPr>
        <w:t>项目相关统计报表、资料。</w:t>
      </w:r>
      <w:r>
        <w:rPr>
          <w:rFonts w:hint="eastAsia" w:hAnsi="仿宋"/>
          <w:szCs w:val="30"/>
          <w:highlight w:val="none"/>
          <w:lang w:val="en-US" w:eastAsia="zh-CN"/>
        </w:rPr>
        <w:t>新冠专项资金项目完成了对疫情预防工作人员的预防培训以及对辖区公民的预防宣传。截至评价日已完成对所有街道、所有社区的宣传活动。</w:t>
      </w:r>
    </w:p>
    <w:p>
      <w:pPr>
        <w:spacing w:line="579" w:lineRule="exact"/>
        <w:ind w:firstLine="630" w:firstLineChars="200"/>
        <w:rPr>
          <w:rFonts w:hint="eastAsia" w:hAnsi="仿宋" w:eastAsia="仿宋"/>
          <w:szCs w:val="30"/>
          <w:highlight w:val="none"/>
          <w:lang w:val="en-US" w:eastAsia="zh-CN"/>
        </w:rPr>
      </w:pPr>
      <w:r>
        <w:rPr>
          <w:rFonts w:hint="eastAsia" w:hAnsi="仿宋"/>
          <w:szCs w:val="30"/>
          <w:highlight w:val="none"/>
        </w:rPr>
        <w:t>2</w:t>
      </w:r>
      <w:r>
        <w:rPr>
          <w:rFonts w:hAnsi="仿宋"/>
          <w:szCs w:val="30"/>
          <w:highlight w:val="none"/>
        </w:rPr>
        <w:t>.</w:t>
      </w:r>
      <w:r>
        <w:rPr>
          <w:rFonts w:hint="eastAsia" w:hAnsi="仿宋"/>
          <w:szCs w:val="30"/>
          <w:highlight w:val="none"/>
        </w:rPr>
        <w:t>产出质量</w:t>
      </w:r>
    </w:p>
    <w:p>
      <w:pPr>
        <w:tabs>
          <w:tab w:val="left" w:pos="585"/>
        </w:tabs>
        <w:spacing w:line="579" w:lineRule="exact"/>
        <w:ind w:firstLine="630" w:firstLineChars="200"/>
        <w:rPr>
          <w:rFonts w:hAnsi="仿宋"/>
          <w:szCs w:val="30"/>
          <w:highlight w:val="none"/>
        </w:rPr>
      </w:pPr>
      <w:r>
        <w:rPr>
          <w:rFonts w:hint="eastAsia" w:hAnsi="仿宋"/>
          <w:szCs w:val="30"/>
          <w:highlight w:val="none"/>
        </w:rPr>
        <w:t>产出质量指标满分</w:t>
      </w:r>
      <w:r>
        <w:rPr>
          <w:rFonts w:hint="eastAsia" w:hAnsi="仿宋"/>
          <w:szCs w:val="30"/>
          <w:highlight w:val="none"/>
          <w:lang w:val="en-US" w:eastAsia="zh-CN"/>
        </w:rPr>
        <w:t>14</w:t>
      </w:r>
      <w:r>
        <w:rPr>
          <w:rFonts w:hint="eastAsia" w:hAnsi="仿宋"/>
          <w:szCs w:val="30"/>
          <w:highlight w:val="none"/>
        </w:rPr>
        <w:t>分，综合评价得分</w:t>
      </w:r>
      <w:r>
        <w:rPr>
          <w:rFonts w:hint="eastAsia" w:hAnsi="仿宋"/>
          <w:szCs w:val="30"/>
          <w:highlight w:val="none"/>
          <w:lang w:val="en-US" w:eastAsia="zh-CN"/>
        </w:rPr>
        <w:t>14</w:t>
      </w:r>
      <w:r>
        <w:rPr>
          <w:rFonts w:hint="eastAsia" w:hAnsi="仿宋"/>
          <w:szCs w:val="30"/>
          <w:highlight w:val="none"/>
        </w:rPr>
        <w:t>分，得分率</w:t>
      </w:r>
      <w:r>
        <w:rPr>
          <w:rFonts w:hint="eastAsia" w:hAnsi="仿宋"/>
          <w:szCs w:val="30"/>
          <w:highlight w:val="none"/>
          <w:lang w:val="en-US" w:eastAsia="zh-CN"/>
        </w:rPr>
        <w:t>100</w:t>
      </w:r>
      <w:r>
        <w:rPr>
          <w:rFonts w:hint="eastAsia" w:hAnsi="仿宋"/>
          <w:szCs w:val="30"/>
          <w:highlight w:val="none"/>
        </w:rPr>
        <w:t>%。从成立新冠防治专家组</w:t>
      </w:r>
      <w:r>
        <w:rPr>
          <w:rFonts w:hint="eastAsia" w:hAnsi="仿宋"/>
          <w:szCs w:val="30"/>
          <w:highlight w:val="none"/>
          <w:lang w:eastAsia="zh-CN"/>
        </w:rPr>
        <w:t>、</w:t>
      </w:r>
      <w:r>
        <w:rPr>
          <w:rFonts w:hint="eastAsia" w:hAnsi="仿宋"/>
          <w:szCs w:val="30"/>
          <w:highlight w:val="none"/>
        </w:rPr>
        <w:t>消杀有效性</w:t>
      </w:r>
      <w:r>
        <w:rPr>
          <w:rFonts w:hint="eastAsia" w:hAnsi="仿宋"/>
          <w:szCs w:val="30"/>
          <w:highlight w:val="none"/>
          <w:lang w:val="en-US" w:eastAsia="zh-CN"/>
        </w:rPr>
        <w:t>两</w:t>
      </w:r>
      <w:r>
        <w:rPr>
          <w:rFonts w:hint="eastAsia" w:hAnsi="仿宋"/>
          <w:szCs w:val="30"/>
          <w:highlight w:val="none"/>
        </w:rPr>
        <w:t>方面进行评价；</w:t>
      </w:r>
    </w:p>
    <w:p>
      <w:pPr>
        <w:spacing w:line="579" w:lineRule="exact"/>
        <w:ind w:firstLine="630" w:firstLineChars="200"/>
        <w:rPr>
          <w:rFonts w:hint="eastAsia" w:hAnsi="仿宋"/>
          <w:szCs w:val="30"/>
          <w:highlight w:val="none"/>
          <w:lang w:val="en-US" w:eastAsia="zh-CN"/>
        </w:rPr>
      </w:pPr>
      <w:r>
        <w:rPr>
          <w:rFonts w:hint="eastAsia" w:hAnsi="仿宋"/>
          <w:szCs w:val="30"/>
          <w:highlight w:val="none"/>
        </w:rPr>
        <w:t>根据</w:t>
      </w:r>
      <w:bookmarkStart w:id="89" w:name="_Toc22958_WPSOffice_Level2"/>
      <w:bookmarkStart w:id="90" w:name="_Toc14381_WPSOffice_Level2"/>
      <w:bookmarkStart w:id="91" w:name="_Toc18250890"/>
      <w:r>
        <w:rPr>
          <w:rFonts w:hint="eastAsia" w:hAnsi="仿宋"/>
          <w:szCs w:val="30"/>
          <w:highlight w:val="none"/>
          <w:lang w:val="en-US" w:eastAsia="zh-CN"/>
        </w:rPr>
        <w:t>《红塔区卫生健康局关于成立新型冠状病毒感染的肺炎疫情防控专家组的通知》玉红卫健〔2020〕20号的要求，结合本区实际组建了区级新型冠状病毒感染的肺炎疫情防控专家组。负责按照《红塔区突发公共卫生事件应急预案》启动响应应急预案;负责新型冠状病毒防控工作的组织领导，制定《红塔区新型冠状病毒应急预案》，调配区卫生防疫队及全区卫生防疫力量参与防控工作,负责对新型冠状病毒疫情监测预警、现场处置、病例标本采集、环境的消毒等防疫工作，对基层防控工作进行指导和督查。组织开展卫生执法监督;统计卫生防疫相关信息。</w:t>
      </w:r>
    </w:p>
    <w:p>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根据玉溪市红塔区卫生健康局局新冠疫情项目相关统计报表、资料，相关单位对医院内空气、地面、物体表面进行持续消毒并对使用过的医疗用品、医疗废物及污染衣物等进行集中、安全处理。</w:t>
      </w:r>
    </w:p>
    <w:p>
      <w:pPr>
        <w:spacing w:line="579" w:lineRule="exact"/>
        <w:ind w:firstLine="630" w:firstLineChars="200"/>
        <w:outlineLvl w:val="1"/>
        <w:rPr>
          <w:rFonts w:hAnsi="仿宋"/>
          <w:szCs w:val="30"/>
          <w:highlight w:val="none"/>
        </w:rPr>
      </w:pPr>
      <w:bookmarkStart w:id="92" w:name="_Toc24609"/>
      <w:r>
        <w:rPr>
          <w:rFonts w:hint="eastAsia" w:ascii="楷体" w:hAnsi="楷体" w:eastAsia="楷体"/>
          <w:szCs w:val="30"/>
          <w:highlight w:val="none"/>
        </w:rPr>
        <w:t>（四）效果情况分析</w:t>
      </w:r>
      <w:bookmarkEnd w:id="89"/>
      <w:bookmarkEnd w:id="90"/>
      <w:bookmarkEnd w:id="91"/>
      <w:bookmarkEnd w:id="92"/>
    </w:p>
    <w:p>
      <w:pPr>
        <w:spacing w:line="579" w:lineRule="exact"/>
        <w:ind w:firstLine="630" w:firstLineChars="200"/>
        <w:rPr>
          <w:rFonts w:hint="eastAsia" w:hAnsi="仿宋"/>
          <w:szCs w:val="30"/>
          <w:highlight w:val="none"/>
        </w:rPr>
      </w:pPr>
      <w:r>
        <w:rPr>
          <w:rFonts w:hint="eastAsia" w:hAnsi="仿宋"/>
          <w:szCs w:val="30"/>
          <w:highlight w:val="none"/>
        </w:rPr>
        <w:t>从综合评价得分情况看，此项综合评价满分为</w:t>
      </w:r>
      <w:r>
        <w:rPr>
          <w:rFonts w:hint="eastAsia" w:hAnsi="仿宋"/>
          <w:szCs w:val="30"/>
          <w:highlight w:val="none"/>
          <w:lang w:val="en-US" w:eastAsia="zh-CN"/>
        </w:rPr>
        <w:t>30</w:t>
      </w:r>
      <w:r>
        <w:rPr>
          <w:rFonts w:hint="eastAsia" w:hAnsi="仿宋"/>
          <w:szCs w:val="30"/>
          <w:highlight w:val="none"/>
        </w:rPr>
        <w:t>分，实际得分</w:t>
      </w:r>
      <w:r>
        <w:rPr>
          <w:rFonts w:hint="eastAsia" w:hAnsi="仿宋"/>
          <w:szCs w:val="30"/>
          <w:highlight w:val="none"/>
          <w:lang w:val="en-US" w:eastAsia="zh-CN"/>
        </w:rPr>
        <w:t>27</w:t>
      </w:r>
      <w:r>
        <w:rPr>
          <w:rFonts w:hint="eastAsia" w:hAnsi="仿宋"/>
          <w:szCs w:val="30"/>
          <w:highlight w:val="none"/>
        </w:rPr>
        <w:t>分（占该项满分值的</w:t>
      </w:r>
      <w:r>
        <w:rPr>
          <w:rFonts w:hint="eastAsia" w:hAnsi="仿宋"/>
          <w:szCs w:val="30"/>
          <w:highlight w:val="none"/>
          <w:lang w:val="en-US" w:eastAsia="zh-CN"/>
        </w:rPr>
        <w:t>90</w:t>
      </w:r>
      <w:r>
        <w:rPr>
          <w:rFonts w:hint="eastAsia" w:hAnsi="仿宋"/>
          <w:szCs w:val="30"/>
          <w:highlight w:val="none"/>
        </w:rPr>
        <w:t>%）。</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1.社会效益</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社会效益指标满分15分，综合评价得分15分，得分率100%。从新冠疫情覆盖区域减少、新冠患者减少、医护人员防护用品穿戴率等方面进行评价。</w:t>
      </w:r>
    </w:p>
    <w:p>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根据项目相关统计报表、资料发现，实施新冠疫情防治方案后，发生新冠疫情的社区、街道及新冠肺炎患者呈明显的下降趋势，医护人员的防护用品穿戴率呈上升趋势，通过方案的发布及有效的宣传加深了社会群众对疫情的防控工作的重视程度。</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2.可持续效益影响</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可持续效益影响指标满分5分，综合评价得分5分，得分率100%。对防护、救治用品储存量进行评价。</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根据项目相关统计报表、资料发现，通过新冠疫情防治方案的实施，用于救治、防护作用的新冠疫情用品储存量开始上升。</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3.服务对象满意度</w:t>
      </w:r>
    </w:p>
    <w:p>
      <w:pPr>
        <w:numPr>
          <w:ilvl w:val="0"/>
          <w:numId w:val="0"/>
        </w:numPr>
        <w:rPr>
          <w:rFonts w:hint="eastAsia" w:hAnsi="仿宋"/>
          <w:szCs w:val="30"/>
          <w:highlight w:val="none"/>
          <w:lang w:val="en-US" w:eastAsia="zh-CN"/>
        </w:rPr>
      </w:pPr>
      <w:r>
        <w:rPr>
          <w:rFonts w:hint="eastAsia"/>
          <w:highlight w:val="none"/>
          <w:lang w:val="en-US" w:eastAsia="zh-CN"/>
        </w:rPr>
        <w:t xml:space="preserve">   </w:t>
      </w:r>
      <w:r>
        <w:rPr>
          <w:rFonts w:hint="eastAsia" w:hAnsi="仿宋"/>
          <w:szCs w:val="30"/>
          <w:highlight w:val="none"/>
          <w:lang w:val="en-US" w:eastAsia="zh-CN"/>
        </w:rPr>
        <w:t xml:space="preserve"> 满意度指标满分10分，综合评价得分7分，得分率70%。对社会群众的满意度进行评价。</w:t>
      </w:r>
    </w:p>
    <w:p>
      <w:pPr>
        <w:spacing w:line="579" w:lineRule="atLeast"/>
        <w:ind w:firstLine="630" w:firstLineChars="200"/>
        <w:outlineLvl w:val="1"/>
        <w:rPr>
          <w:rFonts w:hint="default" w:ascii="仿宋" w:hAnsi="仿宋" w:eastAsia="仿宋" w:cs="Times New Roman"/>
          <w:kern w:val="30"/>
          <w:sz w:val="30"/>
          <w:szCs w:val="30"/>
          <w:highlight w:val="none"/>
          <w:lang w:val="en-US" w:eastAsia="zh-CN"/>
        </w:rPr>
      </w:pPr>
      <w:bookmarkStart w:id="93" w:name="_Toc15769"/>
      <w:r>
        <w:rPr>
          <w:rFonts w:hint="eastAsia" w:ascii="仿宋" w:hAnsi="仿宋" w:eastAsia="仿宋" w:cs="Times New Roman"/>
          <w:kern w:val="30"/>
          <w:sz w:val="30"/>
          <w:szCs w:val="30"/>
          <w:highlight w:val="none"/>
          <w:lang w:val="en-US" w:eastAsia="zh-CN"/>
        </w:rPr>
        <w:t>“新冠专项资金”项目共发放调查问卷2000份，收回有效问卷1500份，社会群众满意度为75%。</w:t>
      </w:r>
      <w:bookmarkEnd w:id="93"/>
    </w:p>
    <w:p>
      <w:pPr>
        <w:numPr>
          <w:ilvl w:val="0"/>
          <w:numId w:val="2"/>
        </w:numPr>
        <w:spacing w:line="579" w:lineRule="exact"/>
        <w:ind w:firstLine="630" w:firstLineChars="200"/>
        <w:outlineLvl w:val="0"/>
        <w:rPr>
          <w:rFonts w:hint="eastAsia" w:ascii="黑体" w:hAnsi="黑体" w:eastAsia="黑体" w:cs="黑体"/>
          <w:szCs w:val="30"/>
          <w:highlight w:val="none"/>
        </w:rPr>
      </w:pPr>
      <w:bookmarkStart w:id="94" w:name="_Toc32043"/>
      <w:bookmarkStart w:id="95" w:name="_Toc3498"/>
      <w:r>
        <w:rPr>
          <w:rFonts w:hint="eastAsia" w:ascii="黑体" w:hAnsi="黑体" w:eastAsia="黑体" w:cs="黑体"/>
          <w:szCs w:val="30"/>
          <w:highlight w:val="none"/>
        </w:rPr>
        <w:t>主要经验及做法</w:t>
      </w:r>
      <w:bookmarkEnd w:id="94"/>
      <w:bookmarkEnd w:id="95"/>
    </w:p>
    <w:p>
      <w:pPr>
        <w:spacing w:line="579" w:lineRule="exact"/>
        <w:ind w:firstLine="630" w:firstLineChars="200"/>
        <w:outlineLvl w:val="0"/>
        <w:rPr>
          <w:rFonts w:hint="eastAsia" w:hAnsi="仿宋" w:cs="Times New Roman"/>
          <w:kern w:val="30"/>
          <w:sz w:val="30"/>
          <w:szCs w:val="30"/>
          <w:highlight w:val="none"/>
          <w:lang w:val="en-US" w:eastAsia="zh-CN"/>
        </w:rPr>
      </w:pPr>
      <w:bookmarkStart w:id="96" w:name="_Toc23863"/>
      <w:bookmarkStart w:id="97" w:name="_Toc3076"/>
      <w:r>
        <w:rPr>
          <w:rFonts w:hint="eastAsia" w:hAnsi="仿宋" w:cs="Times New Roman"/>
          <w:kern w:val="30"/>
          <w:sz w:val="30"/>
          <w:szCs w:val="30"/>
          <w:highlight w:val="none"/>
          <w:lang w:val="en-US" w:eastAsia="zh-CN"/>
        </w:rPr>
        <w:t> 一是建立资金台账，开展实时监控。区财政局建立了疫情防控资金日报告制度和台账统计制度，台账清晰反映了资金所属部门、项目用途、安排渠道、支出进度等信息。积极协调相关部门做好财政资金调度、垫付、拨付工作，通过财务核算监控系统实时监控资金去向，确保资金专款专用。二是提升资金绩效，完善资金管理机制。在提高疫情防控资金保障成效的基础上，落实好资金跟踪问效，确保绩效管理不缺位。适时对疫情防控财政政策的落实和资金使用效益开展自评和重点绩效评价，通过评价探索完善应急资金管理长效机制，为今后加强应急资金管理、提高资金使用效益提供重要参考依据。</w:t>
      </w:r>
      <w:bookmarkEnd w:id="96"/>
    </w:p>
    <w:p>
      <w:pPr>
        <w:spacing w:line="579" w:lineRule="exact"/>
        <w:ind w:firstLine="630" w:firstLineChars="200"/>
        <w:outlineLvl w:val="0"/>
        <w:rPr>
          <w:rFonts w:ascii="黑体" w:hAnsi="黑体" w:eastAsia="黑体" w:cs="黑体"/>
          <w:szCs w:val="30"/>
          <w:highlight w:val="none"/>
        </w:rPr>
      </w:pPr>
      <w:bookmarkStart w:id="98" w:name="_Toc11451"/>
      <w:r>
        <w:rPr>
          <w:rFonts w:hint="eastAsia" w:ascii="黑体" w:hAnsi="黑体" w:eastAsia="黑体" w:cs="黑体"/>
          <w:szCs w:val="30"/>
          <w:highlight w:val="none"/>
          <w:lang w:val="en-US" w:eastAsia="zh-CN"/>
        </w:rPr>
        <w:t>七</w:t>
      </w:r>
      <w:r>
        <w:rPr>
          <w:rFonts w:hint="eastAsia" w:ascii="黑体" w:hAnsi="黑体" w:eastAsia="黑体" w:cs="黑体"/>
          <w:szCs w:val="30"/>
          <w:highlight w:val="none"/>
        </w:rPr>
        <w:t>、存在的问题及原因分析</w:t>
      </w:r>
      <w:bookmarkEnd w:id="97"/>
      <w:bookmarkEnd w:id="98"/>
    </w:p>
    <w:p>
      <w:pPr>
        <w:spacing w:line="579" w:lineRule="atLeast"/>
        <w:ind w:firstLine="630" w:firstLineChars="200"/>
        <w:outlineLvl w:val="1"/>
        <w:rPr>
          <w:rFonts w:ascii="黑体" w:hAnsi="黑体" w:eastAsia="楷体" w:cs="黑体"/>
          <w:szCs w:val="30"/>
          <w:highlight w:val="none"/>
        </w:rPr>
      </w:pPr>
      <w:bookmarkStart w:id="99" w:name="_Toc31483"/>
      <w:bookmarkStart w:id="100" w:name="_Toc41208634"/>
      <w:bookmarkStart w:id="101" w:name="_Toc19299"/>
      <w:r>
        <w:rPr>
          <w:rFonts w:hint="eastAsia" w:ascii="楷体" w:hAnsi="楷体" w:eastAsia="楷体"/>
          <w:szCs w:val="30"/>
          <w:highlight w:val="none"/>
        </w:rPr>
        <w:t>（一）</w:t>
      </w:r>
      <w:bookmarkEnd w:id="99"/>
      <w:bookmarkEnd w:id="100"/>
      <w:r>
        <w:rPr>
          <w:rFonts w:hint="eastAsia" w:ascii="楷体_GB2312" w:hAnsi="黑体" w:eastAsia="楷体_GB2312"/>
          <w:sz w:val="32"/>
          <w:szCs w:val="32"/>
          <w:highlight w:val="none"/>
          <w:lang w:val="en-US" w:eastAsia="zh-CN"/>
        </w:rPr>
        <w:t>预算执行率有待加强</w:t>
      </w:r>
      <w:bookmarkEnd w:id="101"/>
    </w:p>
    <w:p>
      <w:pPr>
        <w:spacing w:line="579" w:lineRule="exact"/>
        <w:ind w:firstLine="630" w:firstLineChars="200"/>
        <w:rPr>
          <w:rFonts w:hint="default" w:hAnsi="仿宋" w:cs="Times New Roman"/>
          <w:kern w:val="30"/>
          <w:sz w:val="30"/>
          <w:szCs w:val="30"/>
          <w:highlight w:val="none"/>
          <w:lang w:val="en-US" w:eastAsia="zh-CN"/>
        </w:rPr>
      </w:pPr>
      <w:bookmarkStart w:id="102" w:name="_Toc7334"/>
      <w:r>
        <w:rPr>
          <w:rFonts w:hint="eastAsia" w:hAnsi="仿宋" w:cs="Times New Roman"/>
          <w:kern w:val="30"/>
          <w:sz w:val="30"/>
          <w:szCs w:val="30"/>
          <w:highlight w:val="none"/>
          <w:lang w:val="en-US" w:eastAsia="zh-CN"/>
        </w:rPr>
        <w:t>根据统计台账发现，项目到位资金为2295.25万元，实际支出资金1863.52万元，资金使用率为81.19%。产生资金使用率不高的原因为新冠疫情未完全结束，当前仍处于疫情防控阶段。</w:t>
      </w:r>
    </w:p>
    <w:p>
      <w:pPr>
        <w:numPr>
          <w:ilvl w:val="0"/>
          <w:numId w:val="0"/>
        </w:numPr>
        <w:spacing w:line="579" w:lineRule="exact"/>
        <w:ind w:leftChars="200"/>
        <w:outlineLvl w:val="0"/>
        <w:rPr>
          <w:rFonts w:hint="default"/>
          <w:highlight w:val="none"/>
          <w:lang w:val="en-US" w:eastAsia="zh-CN"/>
        </w:rPr>
      </w:pPr>
      <w:bookmarkStart w:id="103" w:name="_Toc29504"/>
      <w:r>
        <w:rPr>
          <w:rFonts w:hint="eastAsia" w:ascii="黑体" w:hAnsi="黑体" w:eastAsia="黑体" w:cs="黑体"/>
          <w:szCs w:val="30"/>
          <w:highlight w:val="none"/>
          <w:lang w:val="en-US" w:eastAsia="zh-CN"/>
        </w:rPr>
        <w:t>八、相关</w:t>
      </w:r>
      <w:r>
        <w:rPr>
          <w:rFonts w:hint="eastAsia" w:ascii="黑体" w:hAnsi="黑体" w:eastAsia="黑体" w:cs="黑体"/>
          <w:szCs w:val="30"/>
          <w:highlight w:val="none"/>
        </w:rPr>
        <w:t>建议</w:t>
      </w:r>
      <w:bookmarkEnd w:id="102"/>
      <w:bookmarkEnd w:id="103"/>
    </w:p>
    <w:p>
      <w:pPr>
        <w:spacing w:line="590" w:lineRule="exact"/>
        <w:ind w:firstLine="654" w:firstLineChars="200"/>
        <w:outlineLvl w:val="1"/>
        <w:rPr>
          <w:rFonts w:hint="default" w:ascii="楷体" w:hAnsi="楷体" w:eastAsia="楷体" w:cs="楷体"/>
          <w:spacing w:val="6"/>
          <w:kern w:val="0"/>
          <w:szCs w:val="30"/>
          <w:highlight w:val="none"/>
          <w:lang w:val="en-US" w:eastAsia="zh-CN"/>
        </w:rPr>
      </w:pPr>
      <w:bookmarkStart w:id="104" w:name="_Toc20181_WPSOffice_Level2"/>
      <w:bookmarkStart w:id="105" w:name="_Toc27106"/>
      <w:bookmarkStart w:id="106" w:name="_Toc41208640"/>
      <w:bookmarkStart w:id="107" w:name="_Toc11743"/>
      <w:r>
        <w:rPr>
          <w:rFonts w:hint="eastAsia" w:ascii="楷体" w:hAnsi="楷体" w:eastAsia="楷体" w:cs="楷体"/>
          <w:spacing w:val="6"/>
          <w:kern w:val="0"/>
          <w:szCs w:val="30"/>
          <w:highlight w:val="none"/>
        </w:rPr>
        <w:t>（一）</w:t>
      </w:r>
      <w:bookmarkEnd w:id="104"/>
      <w:bookmarkEnd w:id="105"/>
      <w:bookmarkEnd w:id="106"/>
      <w:r>
        <w:rPr>
          <w:rFonts w:hint="eastAsia" w:ascii="楷体" w:hAnsi="楷体" w:eastAsia="楷体" w:cs="Times New Roman"/>
          <w:kern w:val="30"/>
          <w:sz w:val="32"/>
          <w:szCs w:val="32"/>
          <w:highlight w:val="none"/>
        </w:rPr>
        <w:t>完善绩效目标设置，加强绩效自评管理工作</w:t>
      </w:r>
      <w:bookmarkEnd w:id="107"/>
    </w:p>
    <w:p>
      <w:pPr>
        <w:spacing w:line="579" w:lineRule="atLeast"/>
        <w:ind w:firstLine="630" w:firstLineChars="200"/>
        <w:rPr>
          <w:rFonts w:hint="eastAsia" w:ascii="仿宋" w:hAnsi="Times New Roman" w:eastAsia="仿宋" w:cs="Times New Roman"/>
          <w:kern w:val="30"/>
          <w:sz w:val="30"/>
          <w:szCs w:val="21"/>
          <w:highlight w:val="none"/>
        </w:rPr>
      </w:pPr>
      <w:r>
        <w:rPr>
          <w:rFonts w:hint="eastAsia" w:ascii="仿宋" w:hAnsi="Times New Roman" w:eastAsia="仿宋" w:cs="Times New Roman"/>
          <w:kern w:val="30"/>
          <w:sz w:val="30"/>
          <w:szCs w:val="21"/>
          <w:highlight w:val="none"/>
        </w:rPr>
        <w:t>一是强化绩效目标管理。绩效目标是绩效监控和绩效评价的依据，是全过程预算绩效管理的基础和起点。建议</w:t>
      </w:r>
      <w:r>
        <w:rPr>
          <w:rFonts w:hint="eastAsia" w:ascii="仿宋" w:hAnsi="Times New Roman" w:eastAsia="仿宋" w:cs="Times New Roman"/>
          <w:kern w:val="30"/>
          <w:sz w:val="30"/>
          <w:szCs w:val="21"/>
          <w:highlight w:val="none"/>
          <w:lang w:val="en-US" w:eastAsia="zh-CN"/>
        </w:rPr>
        <w:t>区卫健局</w:t>
      </w:r>
      <w:r>
        <w:rPr>
          <w:rFonts w:hint="eastAsia" w:ascii="仿宋" w:hAnsi="Times New Roman" w:eastAsia="仿宋" w:cs="Times New Roman"/>
          <w:kern w:val="30"/>
          <w:sz w:val="30"/>
          <w:szCs w:val="21"/>
          <w:highlight w:val="none"/>
        </w:rPr>
        <w:t>在制定绩效目标管理时应结合部门职能</w:t>
      </w:r>
      <w:r>
        <w:rPr>
          <w:rFonts w:hint="eastAsia" w:ascii="仿宋" w:hAnsi="Times New Roman" w:eastAsia="仿宋" w:cs="Times New Roman"/>
          <w:kern w:val="30"/>
          <w:sz w:val="30"/>
          <w:szCs w:val="21"/>
          <w:highlight w:val="none"/>
          <w:lang w:eastAsia="zh-CN"/>
        </w:rPr>
        <w:t>、</w:t>
      </w:r>
      <w:r>
        <w:rPr>
          <w:rFonts w:hint="eastAsia" w:ascii="仿宋" w:hAnsi="Times New Roman" w:eastAsia="仿宋" w:cs="Times New Roman"/>
          <w:kern w:val="30"/>
          <w:sz w:val="30"/>
          <w:szCs w:val="21"/>
          <w:highlight w:val="none"/>
          <w:lang w:val="en-US" w:eastAsia="zh-CN"/>
        </w:rPr>
        <w:t>项目中长期规划和当年度项目资金，编制与项目资金量相匹配的年度绩效目标，及</w:t>
      </w:r>
      <w:r>
        <w:rPr>
          <w:rFonts w:hint="eastAsia" w:ascii="仿宋" w:hAnsi="Times New Roman" w:eastAsia="仿宋" w:cs="Times New Roman"/>
          <w:kern w:val="30"/>
          <w:sz w:val="30"/>
          <w:szCs w:val="21"/>
          <w:highlight w:val="none"/>
        </w:rPr>
        <w:t>可考核的量化</w:t>
      </w:r>
      <w:r>
        <w:rPr>
          <w:rFonts w:hint="eastAsia" w:ascii="仿宋" w:hAnsi="Times New Roman" w:eastAsia="仿宋" w:cs="Times New Roman"/>
          <w:kern w:val="30"/>
          <w:sz w:val="30"/>
          <w:szCs w:val="21"/>
          <w:highlight w:val="none"/>
          <w:lang w:eastAsia="zh-CN"/>
        </w:rPr>
        <w:t>、</w:t>
      </w:r>
      <w:r>
        <w:rPr>
          <w:rFonts w:hint="eastAsia" w:ascii="仿宋" w:hAnsi="Times New Roman" w:eastAsia="仿宋" w:cs="Times New Roman"/>
          <w:kern w:val="30"/>
          <w:sz w:val="30"/>
          <w:szCs w:val="21"/>
          <w:highlight w:val="none"/>
        </w:rPr>
        <w:t>细化绩效指标；成立绩效评价工作小组，每年对制定的绩效目标进行评价，重点评价绩效目标与部门职能的相关性、绩效目标设置的科学性、实现绩效目标所采取措施的可行性、所需资金的合理性。</w:t>
      </w:r>
    </w:p>
    <w:p>
      <w:pPr>
        <w:spacing w:line="579" w:lineRule="atLeast"/>
        <w:ind w:firstLine="630" w:firstLineChars="200"/>
        <w:rPr>
          <w:rFonts w:hint="eastAsia" w:ascii="仿宋" w:hAnsi="Times New Roman" w:eastAsia="仿宋" w:cs="Times New Roman"/>
          <w:kern w:val="30"/>
          <w:sz w:val="30"/>
          <w:szCs w:val="21"/>
          <w:highlight w:val="none"/>
          <w:lang w:eastAsia="zh-CN"/>
        </w:rPr>
      </w:pPr>
      <w:r>
        <w:rPr>
          <w:rFonts w:hint="eastAsia" w:ascii="仿宋" w:hAnsi="Times New Roman" w:eastAsia="仿宋" w:cs="Times New Roman"/>
          <w:kern w:val="30"/>
          <w:sz w:val="30"/>
          <w:szCs w:val="21"/>
          <w:highlight w:val="none"/>
        </w:rPr>
        <w:t>二是加强绩效过程管理。</w:t>
      </w:r>
      <w:r>
        <w:rPr>
          <w:rFonts w:hint="eastAsia" w:ascii="仿宋" w:hAnsi="Times New Roman" w:eastAsia="仿宋" w:cs="Times New Roman"/>
          <w:kern w:val="30"/>
          <w:sz w:val="30"/>
          <w:szCs w:val="21"/>
          <w:highlight w:val="none"/>
          <w:lang w:val="en-US" w:eastAsia="zh-CN"/>
        </w:rPr>
        <w:t>建议</w:t>
      </w:r>
      <w:r>
        <w:rPr>
          <w:rFonts w:hint="eastAsia" w:ascii="仿宋" w:hAnsi="Times New Roman" w:eastAsia="仿宋" w:cs="Times New Roman"/>
          <w:kern w:val="30"/>
          <w:sz w:val="30"/>
          <w:szCs w:val="21"/>
          <w:highlight w:val="none"/>
        </w:rPr>
        <w:t>组织对所属单位预算绩效目标实现结果开展自评，形成绩效报告，及时掌握绩效目标实现情况和预期效果。建议组织专家或引入第三方评价机构进行评价，并依据评价结果给予奖惩。建立绩效问责制度，对绩效好的予以表彰，对绩效差的及时进行调整。</w:t>
      </w:r>
    </w:p>
    <w:p>
      <w:pPr>
        <w:spacing w:line="590" w:lineRule="exact"/>
        <w:ind w:firstLine="654" w:firstLineChars="200"/>
        <w:outlineLvl w:val="1"/>
        <w:rPr>
          <w:rFonts w:hint="eastAsia" w:ascii="楷体" w:hAnsi="楷体" w:eastAsia="楷体" w:cs="楷体"/>
          <w:spacing w:val="6"/>
          <w:kern w:val="0"/>
          <w:szCs w:val="30"/>
          <w:highlight w:val="none"/>
        </w:rPr>
      </w:pPr>
      <w:bookmarkStart w:id="108" w:name="_Toc28243"/>
      <w:bookmarkStart w:id="109" w:name="_Toc2238_WPSOffice_Level2"/>
      <w:r>
        <w:rPr>
          <w:rFonts w:hint="eastAsia" w:ascii="楷体" w:hAnsi="楷体" w:eastAsia="楷体" w:cs="楷体"/>
          <w:spacing w:val="6"/>
          <w:kern w:val="0"/>
          <w:szCs w:val="30"/>
          <w:highlight w:val="none"/>
          <w:lang w:eastAsia="zh-CN"/>
        </w:rPr>
        <w:t>（</w:t>
      </w:r>
      <w:r>
        <w:rPr>
          <w:rFonts w:hint="eastAsia" w:ascii="楷体" w:hAnsi="楷体" w:eastAsia="楷体" w:cs="楷体"/>
          <w:spacing w:val="6"/>
          <w:kern w:val="0"/>
          <w:szCs w:val="30"/>
          <w:highlight w:val="none"/>
          <w:lang w:val="en-US" w:eastAsia="zh-CN"/>
        </w:rPr>
        <w:t>二）</w:t>
      </w:r>
      <w:r>
        <w:rPr>
          <w:rFonts w:hint="eastAsia" w:ascii="楷体" w:hAnsi="楷体" w:eastAsia="楷体" w:cs="楷体"/>
          <w:spacing w:val="6"/>
          <w:kern w:val="0"/>
          <w:szCs w:val="30"/>
          <w:highlight w:val="none"/>
        </w:rPr>
        <w:t>强化事后监督，保障资金使用规范性。</w:t>
      </w:r>
      <w:bookmarkEnd w:id="108"/>
    </w:p>
    <w:p>
      <w:pPr>
        <w:spacing w:line="579" w:lineRule="atLeast"/>
        <w:ind w:firstLine="630" w:firstLineChars="200"/>
        <w:rPr>
          <w:rFonts w:hint="eastAsia" w:ascii="仿宋" w:hAnsi="Times New Roman" w:eastAsia="仿宋" w:cs="Times New Roman"/>
          <w:kern w:val="30"/>
          <w:sz w:val="30"/>
          <w:szCs w:val="21"/>
          <w:highlight w:val="none"/>
        </w:rPr>
      </w:pPr>
      <w:r>
        <w:rPr>
          <w:rFonts w:hint="eastAsia" w:ascii="仿宋" w:hAnsi="Times New Roman" w:eastAsia="仿宋" w:cs="Times New Roman"/>
          <w:kern w:val="30"/>
          <w:sz w:val="30"/>
          <w:szCs w:val="21"/>
          <w:highlight w:val="none"/>
        </w:rPr>
        <w:t>强化用款单位的主体责任，重点关注与疫情防控有关的患者救助费用补助、临时性工作补助、物资采购、“暖企”政策等资金的审核、拨付、管理，疫情结束后将进一步抽查资金使用情况，切实保障资金使用安全合规。</w:t>
      </w:r>
    </w:p>
    <w:bookmarkEnd w:id="109"/>
    <w:p>
      <w:pPr>
        <w:pStyle w:val="38"/>
        <w:numPr>
          <w:ilvl w:val="0"/>
          <w:numId w:val="0"/>
        </w:numPr>
        <w:spacing w:line="579" w:lineRule="exact"/>
        <w:ind w:left="640" w:leftChars="0"/>
        <w:rPr>
          <w:rFonts w:hint="eastAsia" w:ascii="楷体" w:hAnsi="楷体" w:eastAsia="楷体" w:cs="楷体"/>
          <w:spacing w:val="6"/>
          <w:kern w:val="0"/>
          <w:sz w:val="30"/>
          <w:szCs w:val="30"/>
          <w:highlight w:val="none"/>
          <w:lang w:val="en-US" w:eastAsia="zh-CN" w:bidi="ar-SA"/>
        </w:rPr>
      </w:pPr>
      <w:bookmarkStart w:id="110" w:name="_Toc29047"/>
      <w:r>
        <w:rPr>
          <w:rFonts w:hint="eastAsia" w:ascii="楷体" w:hAnsi="楷体" w:eastAsia="楷体" w:cs="仿宋_GB2312"/>
          <w:szCs w:val="30"/>
          <w:highlight w:val="none"/>
          <w:lang w:val="en-US" w:eastAsia="zh-CN"/>
        </w:rPr>
        <w:t>（三）</w:t>
      </w:r>
      <w:r>
        <w:rPr>
          <w:rFonts w:hint="eastAsia" w:ascii="楷体" w:hAnsi="楷体" w:eastAsia="楷体" w:cs="楷体"/>
          <w:spacing w:val="6"/>
          <w:kern w:val="0"/>
          <w:sz w:val="30"/>
          <w:szCs w:val="30"/>
          <w:highlight w:val="none"/>
          <w:lang w:val="en-US" w:eastAsia="zh-CN" w:bidi="ar-SA"/>
        </w:rPr>
        <w:t>围绕提质增效，强化疫情防控资金绩效管理。</w:t>
      </w:r>
    </w:p>
    <w:p>
      <w:pPr>
        <w:spacing w:line="579" w:lineRule="atLeast"/>
        <w:ind w:firstLine="630" w:firstLineChars="200"/>
        <w:rPr>
          <w:rFonts w:hint="eastAsia" w:ascii="仿宋" w:hAnsi="Times New Roman" w:eastAsia="仿宋" w:cs="Times New Roman"/>
          <w:kern w:val="30"/>
          <w:sz w:val="30"/>
          <w:szCs w:val="21"/>
          <w:highlight w:val="none"/>
        </w:rPr>
      </w:pPr>
      <w:r>
        <w:rPr>
          <w:rFonts w:hint="eastAsia" w:ascii="仿宋" w:hAnsi="Times New Roman" w:eastAsia="仿宋" w:cs="Times New Roman"/>
          <w:kern w:val="30"/>
          <w:sz w:val="30"/>
          <w:szCs w:val="21"/>
          <w:highlight w:val="none"/>
        </w:rPr>
        <w:t>要求各级财政部门在提高应急保障成效的基础上，抓好疫情防控资金跟踪问效，确保绩效管理不缺位。突出急事急办、特事特办，简化事前管理，对疫情防控资金绩效目标实行备案制管理，采取事后补报方式进行。强化事中监控，严防使用防疫资金超标准装修改造或购置与疫情防控工作无关的设备、器材、交通工具。加强事后评价，疫情结束后，及时组织开展疫情防控资金绩效自评和重点绩效评价，通过评价积极探索完善应急资金管理长效机制，为今后应急突发事件完善资金管理、提高使用效益，提供重要参考和依据。</w:t>
      </w:r>
    </w:p>
    <w:p>
      <w:pPr>
        <w:spacing w:line="579" w:lineRule="exact"/>
        <w:ind w:firstLine="630" w:firstLineChars="200"/>
        <w:outlineLvl w:val="0"/>
        <w:rPr>
          <w:rFonts w:ascii="黑体" w:hAnsi="黑体" w:eastAsia="黑体" w:cs="黑体"/>
          <w:szCs w:val="30"/>
          <w:highlight w:val="none"/>
        </w:rPr>
      </w:pPr>
      <w:bookmarkStart w:id="111" w:name="_Toc1843"/>
      <w:r>
        <w:rPr>
          <w:rFonts w:hint="eastAsia" w:ascii="黑体" w:hAnsi="黑体" w:eastAsia="黑体" w:cs="黑体"/>
          <w:szCs w:val="30"/>
          <w:highlight w:val="none"/>
          <w:lang w:val="en-US" w:eastAsia="zh-CN"/>
        </w:rPr>
        <w:t>九</w:t>
      </w:r>
      <w:r>
        <w:rPr>
          <w:rFonts w:hint="eastAsia" w:ascii="黑体" w:hAnsi="黑体" w:eastAsia="黑体" w:cs="黑体"/>
          <w:szCs w:val="30"/>
          <w:highlight w:val="none"/>
        </w:rPr>
        <w:t>、绩效评价结果应用建议</w:t>
      </w:r>
      <w:bookmarkEnd w:id="110"/>
      <w:bookmarkEnd w:id="111"/>
    </w:p>
    <w:p>
      <w:pPr>
        <w:ind w:firstLine="630" w:firstLineChars="200"/>
        <w:rPr>
          <w:rFonts w:hAnsi="仿宋"/>
          <w:szCs w:val="30"/>
          <w:highlight w:val="none"/>
        </w:rPr>
      </w:pPr>
      <w:r>
        <w:rPr>
          <w:rFonts w:hint="eastAsia" w:hAnsi="仿宋"/>
          <w:szCs w:val="30"/>
          <w:highlight w:val="none"/>
        </w:rPr>
        <w:t>建议项目主管单位及时向相关单位和处室反馈绩效评价结果，制定下一步项目实施的计划或调整方案，坚持问题导向，制定整改措施；针对评价反映的问题，通过加强绩效目标管理、完善制度办法、调整资金分配方式、督促项目加快实施、统筹协调相关部门、建立联动机制等具体措施进行项目的督导和纠偏。</w:t>
      </w:r>
    </w:p>
    <w:p>
      <w:pPr>
        <w:spacing w:line="579" w:lineRule="exact"/>
        <w:ind w:firstLine="630" w:firstLineChars="200"/>
        <w:outlineLvl w:val="0"/>
        <w:rPr>
          <w:rFonts w:hint="default" w:ascii="楷体" w:hAnsi="楷体" w:eastAsia="黑体"/>
          <w:szCs w:val="30"/>
          <w:highlight w:val="none"/>
          <w:lang w:val="en-US" w:eastAsia="zh-CN"/>
        </w:rPr>
      </w:pPr>
      <w:bookmarkStart w:id="112" w:name="_Toc15120411"/>
      <w:bookmarkStart w:id="113" w:name="_Toc32373_WPSOffice_Level2"/>
      <w:bookmarkStart w:id="114" w:name="_Toc27725"/>
      <w:bookmarkStart w:id="115" w:name="_Toc30922"/>
      <w:r>
        <w:rPr>
          <w:rFonts w:hint="eastAsia" w:ascii="黑体" w:hAnsi="黑体" w:eastAsia="黑体" w:cs="黑体"/>
          <w:szCs w:val="30"/>
          <w:highlight w:val="none"/>
          <w:lang w:val="en-US" w:eastAsia="zh-CN"/>
        </w:rPr>
        <w:t>十</w:t>
      </w:r>
      <w:r>
        <w:rPr>
          <w:rFonts w:hint="eastAsia" w:ascii="黑体" w:hAnsi="黑体" w:eastAsia="黑体" w:cs="黑体"/>
          <w:szCs w:val="30"/>
          <w:highlight w:val="none"/>
        </w:rPr>
        <w:t>、其它</w:t>
      </w:r>
      <w:bookmarkEnd w:id="112"/>
      <w:bookmarkEnd w:id="113"/>
      <w:r>
        <w:rPr>
          <w:rFonts w:hint="eastAsia" w:ascii="黑体" w:hAnsi="黑体" w:eastAsia="黑体" w:cs="黑体"/>
          <w:szCs w:val="30"/>
          <w:highlight w:val="none"/>
          <w:lang w:val="en-US" w:eastAsia="zh-CN"/>
        </w:rPr>
        <w:t>需说明的问题</w:t>
      </w:r>
      <w:bookmarkEnd w:id="114"/>
      <w:bookmarkEnd w:id="115"/>
    </w:p>
    <w:p>
      <w:pPr>
        <w:spacing w:line="579" w:lineRule="exact"/>
        <w:ind w:firstLine="630" w:firstLineChars="200"/>
        <w:outlineLvl w:val="0"/>
        <w:rPr>
          <w:rFonts w:hint="eastAsia" w:hAnsi="仿宋" w:eastAsia="仿宋"/>
          <w:szCs w:val="30"/>
          <w:highlight w:val="none"/>
          <w:lang w:eastAsia="zh-CN"/>
        </w:rPr>
      </w:pPr>
      <w:bookmarkStart w:id="116" w:name="_Toc12931"/>
      <w:bookmarkStart w:id="117" w:name="_Toc445"/>
      <w:bookmarkStart w:id="118" w:name="_Toc1230"/>
      <w:r>
        <w:rPr>
          <w:rFonts w:hint="eastAsia" w:hAnsi="仿宋"/>
          <w:szCs w:val="30"/>
          <w:highlight w:val="none"/>
        </w:rPr>
        <w:t>无</w:t>
      </w:r>
      <w:r>
        <w:rPr>
          <w:rFonts w:hint="eastAsia" w:hAnsi="仿宋"/>
          <w:szCs w:val="30"/>
          <w:highlight w:val="none"/>
          <w:lang w:eastAsia="zh-CN"/>
        </w:rPr>
        <w:t>。</w:t>
      </w:r>
      <w:bookmarkEnd w:id="116"/>
      <w:bookmarkEnd w:id="117"/>
      <w:bookmarkEnd w:id="118"/>
    </w:p>
    <w:bookmarkEnd w:id="66"/>
    <w:bookmarkEnd w:id="67"/>
    <w:p>
      <w:pPr>
        <w:spacing w:line="579" w:lineRule="exact"/>
        <w:ind w:firstLine="630" w:firstLineChars="200"/>
        <w:outlineLvl w:val="9"/>
        <w:rPr>
          <w:rFonts w:hAnsi="仿宋"/>
          <w:szCs w:val="30"/>
          <w:highlight w:val="none"/>
        </w:rPr>
      </w:pPr>
      <w:bookmarkStart w:id="119" w:name="_GoBack"/>
      <w:bookmarkEnd w:id="119"/>
    </w:p>
    <w:sectPr>
      <w:footerReference r:id="rId5" w:type="default"/>
      <w:footerReference r:id="rId6" w:type="even"/>
      <w:pgSz w:w="11906" w:h="16838"/>
      <w:pgMar w:top="2098" w:right="1474" w:bottom="1985" w:left="1588" w:header="851" w:footer="1474" w:gutter="0"/>
      <w:pgNumType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25</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26</w:t>
    </w:r>
    <w:r>
      <w:rPr>
        <w:rFonts w:ascii="宋体" w:hAnsi="宋体" w:eastAsia="宋体"/>
        <w:sz w:val="28"/>
        <w:szCs w:val="28"/>
      </w:rPr>
      <w:fldChar w:fldCharType="end"/>
    </w:r>
    <w:r>
      <w:rPr>
        <w:rFonts w:hint="eastAsia" w:ascii="宋体" w:hAnsi="宋体" w:eastAsia="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0DFCC0"/>
    <w:multiLevelType w:val="singleLevel"/>
    <w:tmpl w:val="D70DFCC0"/>
    <w:lvl w:ilvl="0" w:tentative="0">
      <w:start w:val="3"/>
      <w:numFmt w:val="chineseCounting"/>
      <w:suff w:val="nothing"/>
      <w:lvlText w:val="%1、"/>
      <w:lvlJc w:val="left"/>
      <w:rPr>
        <w:rFonts w:hint="eastAsia"/>
      </w:rPr>
    </w:lvl>
  </w:abstractNum>
  <w:abstractNum w:abstractNumId="1">
    <w:nsid w:val="6772FE9F"/>
    <w:multiLevelType w:val="singleLevel"/>
    <w:tmpl w:val="6772FE9F"/>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8D"/>
    <w:rsid w:val="000027B8"/>
    <w:rsid w:val="00002F7C"/>
    <w:rsid w:val="00003457"/>
    <w:rsid w:val="00005A8B"/>
    <w:rsid w:val="000109E6"/>
    <w:rsid w:val="00021F8A"/>
    <w:rsid w:val="00022FFA"/>
    <w:rsid w:val="000269E8"/>
    <w:rsid w:val="000302F4"/>
    <w:rsid w:val="00037E58"/>
    <w:rsid w:val="00044EEC"/>
    <w:rsid w:val="00046291"/>
    <w:rsid w:val="00046463"/>
    <w:rsid w:val="00050813"/>
    <w:rsid w:val="00057325"/>
    <w:rsid w:val="000579E3"/>
    <w:rsid w:val="00073C73"/>
    <w:rsid w:val="00077515"/>
    <w:rsid w:val="00081B2A"/>
    <w:rsid w:val="000910C9"/>
    <w:rsid w:val="000926D7"/>
    <w:rsid w:val="000A4562"/>
    <w:rsid w:val="000A52D7"/>
    <w:rsid w:val="000B7439"/>
    <w:rsid w:val="000C04DE"/>
    <w:rsid w:val="000C0984"/>
    <w:rsid w:val="000C3CE0"/>
    <w:rsid w:val="000C7EDB"/>
    <w:rsid w:val="000D08C4"/>
    <w:rsid w:val="000D71DD"/>
    <w:rsid w:val="000F3E60"/>
    <w:rsid w:val="001100B4"/>
    <w:rsid w:val="00116445"/>
    <w:rsid w:val="00125D9C"/>
    <w:rsid w:val="001308E4"/>
    <w:rsid w:val="00141728"/>
    <w:rsid w:val="00147F84"/>
    <w:rsid w:val="00150BB9"/>
    <w:rsid w:val="00150F09"/>
    <w:rsid w:val="0015117C"/>
    <w:rsid w:val="001513E5"/>
    <w:rsid w:val="001556A3"/>
    <w:rsid w:val="0016290B"/>
    <w:rsid w:val="00164A56"/>
    <w:rsid w:val="001722F7"/>
    <w:rsid w:val="00180E47"/>
    <w:rsid w:val="001905A5"/>
    <w:rsid w:val="001A2D6F"/>
    <w:rsid w:val="001A534B"/>
    <w:rsid w:val="001A77EE"/>
    <w:rsid w:val="001B0B4A"/>
    <w:rsid w:val="001B23F4"/>
    <w:rsid w:val="001B424E"/>
    <w:rsid w:val="001B4784"/>
    <w:rsid w:val="001D4E03"/>
    <w:rsid w:val="001D58D7"/>
    <w:rsid w:val="001E658F"/>
    <w:rsid w:val="001E6E29"/>
    <w:rsid w:val="001F566D"/>
    <w:rsid w:val="00200263"/>
    <w:rsid w:val="00201B9A"/>
    <w:rsid w:val="00212FA7"/>
    <w:rsid w:val="00216873"/>
    <w:rsid w:val="0021797F"/>
    <w:rsid w:val="00217AA8"/>
    <w:rsid w:val="002229E2"/>
    <w:rsid w:val="0022365E"/>
    <w:rsid w:val="00223712"/>
    <w:rsid w:val="002256C1"/>
    <w:rsid w:val="002260C9"/>
    <w:rsid w:val="00227EAF"/>
    <w:rsid w:val="00230C67"/>
    <w:rsid w:val="002422DC"/>
    <w:rsid w:val="00251346"/>
    <w:rsid w:val="00253080"/>
    <w:rsid w:val="002532A4"/>
    <w:rsid w:val="00254804"/>
    <w:rsid w:val="00254B91"/>
    <w:rsid w:val="002554E5"/>
    <w:rsid w:val="0025651B"/>
    <w:rsid w:val="002567E0"/>
    <w:rsid w:val="002606F4"/>
    <w:rsid w:val="002607BE"/>
    <w:rsid w:val="002619E0"/>
    <w:rsid w:val="00266603"/>
    <w:rsid w:val="00270040"/>
    <w:rsid w:val="002766F3"/>
    <w:rsid w:val="00277ACC"/>
    <w:rsid w:val="00282CC8"/>
    <w:rsid w:val="00283F38"/>
    <w:rsid w:val="00285265"/>
    <w:rsid w:val="0029356B"/>
    <w:rsid w:val="002953C5"/>
    <w:rsid w:val="002A020A"/>
    <w:rsid w:val="002A486F"/>
    <w:rsid w:val="002B3F00"/>
    <w:rsid w:val="002B636D"/>
    <w:rsid w:val="002B7795"/>
    <w:rsid w:val="002C2C35"/>
    <w:rsid w:val="002C46F4"/>
    <w:rsid w:val="002C555C"/>
    <w:rsid w:val="002D1C15"/>
    <w:rsid w:val="002D1D67"/>
    <w:rsid w:val="002D498A"/>
    <w:rsid w:val="002D55A2"/>
    <w:rsid w:val="002D5B41"/>
    <w:rsid w:val="002E0326"/>
    <w:rsid w:val="002E1041"/>
    <w:rsid w:val="002E280F"/>
    <w:rsid w:val="002E7133"/>
    <w:rsid w:val="002F3873"/>
    <w:rsid w:val="00301F08"/>
    <w:rsid w:val="00307B63"/>
    <w:rsid w:val="00313C52"/>
    <w:rsid w:val="00322A64"/>
    <w:rsid w:val="00323254"/>
    <w:rsid w:val="003270CD"/>
    <w:rsid w:val="003305B8"/>
    <w:rsid w:val="0033130B"/>
    <w:rsid w:val="0033489A"/>
    <w:rsid w:val="00336970"/>
    <w:rsid w:val="003370A4"/>
    <w:rsid w:val="0033762E"/>
    <w:rsid w:val="0034304B"/>
    <w:rsid w:val="00347579"/>
    <w:rsid w:val="0036565B"/>
    <w:rsid w:val="00365B28"/>
    <w:rsid w:val="00371BB6"/>
    <w:rsid w:val="00371CAA"/>
    <w:rsid w:val="00373F4D"/>
    <w:rsid w:val="00376A60"/>
    <w:rsid w:val="00380118"/>
    <w:rsid w:val="003807BD"/>
    <w:rsid w:val="003874D1"/>
    <w:rsid w:val="00393295"/>
    <w:rsid w:val="00396527"/>
    <w:rsid w:val="003A06AC"/>
    <w:rsid w:val="003D0EA0"/>
    <w:rsid w:val="003D2055"/>
    <w:rsid w:val="003D2104"/>
    <w:rsid w:val="003D24F5"/>
    <w:rsid w:val="003D35C0"/>
    <w:rsid w:val="003E0E49"/>
    <w:rsid w:val="003E164A"/>
    <w:rsid w:val="003E28AB"/>
    <w:rsid w:val="003F6354"/>
    <w:rsid w:val="00405C75"/>
    <w:rsid w:val="00413EC8"/>
    <w:rsid w:val="00420AEF"/>
    <w:rsid w:val="00420BEC"/>
    <w:rsid w:val="0042251D"/>
    <w:rsid w:val="004272A6"/>
    <w:rsid w:val="00437980"/>
    <w:rsid w:val="004401ED"/>
    <w:rsid w:val="0044349C"/>
    <w:rsid w:val="0045104E"/>
    <w:rsid w:val="00452585"/>
    <w:rsid w:val="00453319"/>
    <w:rsid w:val="004549D1"/>
    <w:rsid w:val="00457099"/>
    <w:rsid w:val="0046291D"/>
    <w:rsid w:val="00464CAF"/>
    <w:rsid w:val="004659D3"/>
    <w:rsid w:val="0047159A"/>
    <w:rsid w:val="0048081D"/>
    <w:rsid w:val="004811D4"/>
    <w:rsid w:val="004839EA"/>
    <w:rsid w:val="004860CD"/>
    <w:rsid w:val="004926A1"/>
    <w:rsid w:val="004949AC"/>
    <w:rsid w:val="004A3DDB"/>
    <w:rsid w:val="004A53F2"/>
    <w:rsid w:val="004A711A"/>
    <w:rsid w:val="004B3572"/>
    <w:rsid w:val="004C51F5"/>
    <w:rsid w:val="004D31B0"/>
    <w:rsid w:val="004D678B"/>
    <w:rsid w:val="004E0906"/>
    <w:rsid w:val="004F7FA2"/>
    <w:rsid w:val="00510BAB"/>
    <w:rsid w:val="00514671"/>
    <w:rsid w:val="00516931"/>
    <w:rsid w:val="005252DE"/>
    <w:rsid w:val="00526431"/>
    <w:rsid w:val="00536F5B"/>
    <w:rsid w:val="00546B6C"/>
    <w:rsid w:val="005625D1"/>
    <w:rsid w:val="00562BA8"/>
    <w:rsid w:val="0056376A"/>
    <w:rsid w:val="005722AE"/>
    <w:rsid w:val="00573063"/>
    <w:rsid w:val="00576CB6"/>
    <w:rsid w:val="00577FAD"/>
    <w:rsid w:val="0058461A"/>
    <w:rsid w:val="00585784"/>
    <w:rsid w:val="00587462"/>
    <w:rsid w:val="00592198"/>
    <w:rsid w:val="00592E74"/>
    <w:rsid w:val="0059320E"/>
    <w:rsid w:val="0059380B"/>
    <w:rsid w:val="005A2E6F"/>
    <w:rsid w:val="005A3998"/>
    <w:rsid w:val="005A50E5"/>
    <w:rsid w:val="005B21B0"/>
    <w:rsid w:val="005B6066"/>
    <w:rsid w:val="005D287B"/>
    <w:rsid w:val="005E0F3C"/>
    <w:rsid w:val="005E62DC"/>
    <w:rsid w:val="00615B09"/>
    <w:rsid w:val="0062315A"/>
    <w:rsid w:val="006251E6"/>
    <w:rsid w:val="006323C6"/>
    <w:rsid w:val="00633841"/>
    <w:rsid w:val="006409AB"/>
    <w:rsid w:val="00643CC5"/>
    <w:rsid w:val="0064402F"/>
    <w:rsid w:val="00652025"/>
    <w:rsid w:val="00656020"/>
    <w:rsid w:val="00656A9A"/>
    <w:rsid w:val="00656F7D"/>
    <w:rsid w:val="006571CA"/>
    <w:rsid w:val="006665B0"/>
    <w:rsid w:val="0068177E"/>
    <w:rsid w:val="00682BA0"/>
    <w:rsid w:val="0068495B"/>
    <w:rsid w:val="00691E3C"/>
    <w:rsid w:val="00693295"/>
    <w:rsid w:val="00694EAF"/>
    <w:rsid w:val="006A2942"/>
    <w:rsid w:val="006A2A32"/>
    <w:rsid w:val="006A5FFB"/>
    <w:rsid w:val="006A6752"/>
    <w:rsid w:val="006B4A8C"/>
    <w:rsid w:val="006B5BCF"/>
    <w:rsid w:val="006C2CFC"/>
    <w:rsid w:val="006C5E95"/>
    <w:rsid w:val="006D012E"/>
    <w:rsid w:val="006D1554"/>
    <w:rsid w:val="006D2836"/>
    <w:rsid w:val="006E3A23"/>
    <w:rsid w:val="006E76CA"/>
    <w:rsid w:val="006F2564"/>
    <w:rsid w:val="00703419"/>
    <w:rsid w:val="00704906"/>
    <w:rsid w:val="00704B20"/>
    <w:rsid w:val="00707272"/>
    <w:rsid w:val="00711BD6"/>
    <w:rsid w:val="0072647A"/>
    <w:rsid w:val="00733E02"/>
    <w:rsid w:val="00736591"/>
    <w:rsid w:val="0073677A"/>
    <w:rsid w:val="007431B7"/>
    <w:rsid w:val="0075085D"/>
    <w:rsid w:val="00753514"/>
    <w:rsid w:val="00763D8D"/>
    <w:rsid w:val="00763F0B"/>
    <w:rsid w:val="00771DBA"/>
    <w:rsid w:val="007732AB"/>
    <w:rsid w:val="007854FB"/>
    <w:rsid w:val="00786B54"/>
    <w:rsid w:val="007870CA"/>
    <w:rsid w:val="00795E85"/>
    <w:rsid w:val="00796558"/>
    <w:rsid w:val="007A58C0"/>
    <w:rsid w:val="007A5919"/>
    <w:rsid w:val="007A7277"/>
    <w:rsid w:val="007B3CF3"/>
    <w:rsid w:val="007B71C1"/>
    <w:rsid w:val="007B72C4"/>
    <w:rsid w:val="007C2CA2"/>
    <w:rsid w:val="007C38FA"/>
    <w:rsid w:val="007C3BD4"/>
    <w:rsid w:val="007C3CB2"/>
    <w:rsid w:val="007C7E73"/>
    <w:rsid w:val="007D051F"/>
    <w:rsid w:val="007D3332"/>
    <w:rsid w:val="007D6583"/>
    <w:rsid w:val="007D778F"/>
    <w:rsid w:val="007F26DD"/>
    <w:rsid w:val="007F2884"/>
    <w:rsid w:val="00805361"/>
    <w:rsid w:val="00807246"/>
    <w:rsid w:val="00812AFF"/>
    <w:rsid w:val="00814803"/>
    <w:rsid w:val="0081725D"/>
    <w:rsid w:val="00825BCC"/>
    <w:rsid w:val="00833991"/>
    <w:rsid w:val="00834B6A"/>
    <w:rsid w:val="008369B8"/>
    <w:rsid w:val="00837E6A"/>
    <w:rsid w:val="008429AF"/>
    <w:rsid w:val="00845C70"/>
    <w:rsid w:val="00846B79"/>
    <w:rsid w:val="00866C47"/>
    <w:rsid w:val="00872EB2"/>
    <w:rsid w:val="008735D5"/>
    <w:rsid w:val="00873D83"/>
    <w:rsid w:val="00877854"/>
    <w:rsid w:val="00882E11"/>
    <w:rsid w:val="00885EF1"/>
    <w:rsid w:val="00890F31"/>
    <w:rsid w:val="008A096F"/>
    <w:rsid w:val="008A3471"/>
    <w:rsid w:val="008A45A9"/>
    <w:rsid w:val="008A5EF0"/>
    <w:rsid w:val="008B4B5F"/>
    <w:rsid w:val="008B6AA3"/>
    <w:rsid w:val="008C3699"/>
    <w:rsid w:val="008D5ECA"/>
    <w:rsid w:val="008D7D2E"/>
    <w:rsid w:val="008E077D"/>
    <w:rsid w:val="008F0F5E"/>
    <w:rsid w:val="00901D0E"/>
    <w:rsid w:val="009034E6"/>
    <w:rsid w:val="00903C2E"/>
    <w:rsid w:val="0090678C"/>
    <w:rsid w:val="00907EAF"/>
    <w:rsid w:val="009176B9"/>
    <w:rsid w:val="009215B8"/>
    <w:rsid w:val="00925D4D"/>
    <w:rsid w:val="0093129A"/>
    <w:rsid w:val="009326BF"/>
    <w:rsid w:val="0093309B"/>
    <w:rsid w:val="009334F2"/>
    <w:rsid w:val="00942C8E"/>
    <w:rsid w:val="00942D19"/>
    <w:rsid w:val="0094715A"/>
    <w:rsid w:val="009471FD"/>
    <w:rsid w:val="009607A3"/>
    <w:rsid w:val="00961BEE"/>
    <w:rsid w:val="00970C6F"/>
    <w:rsid w:val="00974A70"/>
    <w:rsid w:val="00974CE6"/>
    <w:rsid w:val="00983C33"/>
    <w:rsid w:val="009900E6"/>
    <w:rsid w:val="009914DC"/>
    <w:rsid w:val="00993E30"/>
    <w:rsid w:val="009A3DE0"/>
    <w:rsid w:val="009A41CC"/>
    <w:rsid w:val="009B2564"/>
    <w:rsid w:val="009B668D"/>
    <w:rsid w:val="009C07AA"/>
    <w:rsid w:val="009C3ECB"/>
    <w:rsid w:val="009C6BDC"/>
    <w:rsid w:val="009C6D8D"/>
    <w:rsid w:val="009D63A8"/>
    <w:rsid w:val="009E662A"/>
    <w:rsid w:val="009E7A09"/>
    <w:rsid w:val="009F2679"/>
    <w:rsid w:val="00A02D03"/>
    <w:rsid w:val="00A057DC"/>
    <w:rsid w:val="00A10153"/>
    <w:rsid w:val="00A121FB"/>
    <w:rsid w:val="00A24E49"/>
    <w:rsid w:val="00A25F38"/>
    <w:rsid w:val="00A27411"/>
    <w:rsid w:val="00A27C51"/>
    <w:rsid w:val="00A36910"/>
    <w:rsid w:val="00A370A6"/>
    <w:rsid w:val="00A375F1"/>
    <w:rsid w:val="00A41B24"/>
    <w:rsid w:val="00A42C11"/>
    <w:rsid w:val="00A43DC7"/>
    <w:rsid w:val="00A57436"/>
    <w:rsid w:val="00A57A81"/>
    <w:rsid w:val="00A61D33"/>
    <w:rsid w:val="00A7287F"/>
    <w:rsid w:val="00A73844"/>
    <w:rsid w:val="00A820AA"/>
    <w:rsid w:val="00A83F2E"/>
    <w:rsid w:val="00A9071F"/>
    <w:rsid w:val="00A91476"/>
    <w:rsid w:val="00A92139"/>
    <w:rsid w:val="00AB0A49"/>
    <w:rsid w:val="00AB0EEC"/>
    <w:rsid w:val="00AB312A"/>
    <w:rsid w:val="00AB5893"/>
    <w:rsid w:val="00AC1537"/>
    <w:rsid w:val="00AC318C"/>
    <w:rsid w:val="00AC3F10"/>
    <w:rsid w:val="00AD5619"/>
    <w:rsid w:val="00AD619D"/>
    <w:rsid w:val="00AD6AB3"/>
    <w:rsid w:val="00AD712B"/>
    <w:rsid w:val="00AE1D02"/>
    <w:rsid w:val="00AE2BE0"/>
    <w:rsid w:val="00AE6E3C"/>
    <w:rsid w:val="00B038FA"/>
    <w:rsid w:val="00B0556F"/>
    <w:rsid w:val="00B06A9C"/>
    <w:rsid w:val="00B07B88"/>
    <w:rsid w:val="00B2516C"/>
    <w:rsid w:val="00B300AD"/>
    <w:rsid w:val="00B31358"/>
    <w:rsid w:val="00B3310F"/>
    <w:rsid w:val="00B35B22"/>
    <w:rsid w:val="00B37AD9"/>
    <w:rsid w:val="00B44921"/>
    <w:rsid w:val="00B53412"/>
    <w:rsid w:val="00B54DC6"/>
    <w:rsid w:val="00B55B57"/>
    <w:rsid w:val="00B57693"/>
    <w:rsid w:val="00B61B4E"/>
    <w:rsid w:val="00B70DE9"/>
    <w:rsid w:val="00B714E8"/>
    <w:rsid w:val="00B802AC"/>
    <w:rsid w:val="00B8408E"/>
    <w:rsid w:val="00B93260"/>
    <w:rsid w:val="00B96C1E"/>
    <w:rsid w:val="00BA40D9"/>
    <w:rsid w:val="00BC6C03"/>
    <w:rsid w:val="00BC6F02"/>
    <w:rsid w:val="00BE36D4"/>
    <w:rsid w:val="00BE452F"/>
    <w:rsid w:val="00BF43FA"/>
    <w:rsid w:val="00BF652B"/>
    <w:rsid w:val="00C0184F"/>
    <w:rsid w:val="00C05536"/>
    <w:rsid w:val="00C058B4"/>
    <w:rsid w:val="00C14194"/>
    <w:rsid w:val="00C15C47"/>
    <w:rsid w:val="00C21C6A"/>
    <w:rsid w:val="00C22868"/>
    <w:rsid w:val="00C25D38"/>
    <w:rsid w:val="00C322A8"/>
    <w:rsid w:val="00C342E1"/>
    <w:rsid w:val="00C40B0E"/>
    <w:rsid w:val="00C40CCE"/>
    <w:rsid w:val="00C45B16"/>
    <w:rsid w:val="00C466DC"/>
    <w:rsid w:val="00C468DC"/>
    <w:rsid w:val="00C47B12"/>
    <w:rsid w:val="00C509FA"/>
    <w:rsid w:val="00C5415C"/>
    <w:rsid w:val="00C62615"/>
    <w:rsid w:val="00C63A74"/>
    <w:rsid w:val="00C63F3D"/>
    <w:rsid w:val="00C64668"/>
    <w:rsid w:val="00C65119"/>
    <w:rsid w:val="00C71AC0"/>
    <w:rsid w:val="00C7245A"/>
    <w:rsid w:val="00C765AF"/>
    <w:rsid w:val="00C76FA7"/>
    <w:rsid w:val="00C83855"/>
    <w:rsid w:val="00C83A49"/>
    <w:rsid w:val="00C846E1"/>
    <w:rsid w:val="00C90211"/>
    <w:rsid w:val="00C90783"/>
    <w:rsid w:val="00CA0699"/>
    <w:rsid w:val="00CA1C5F"/>
    <w:rsid w:val="00CA4623"/>
    <w:rsid w:val="00CA7A9C"/>
    <w:rsid w:val="00CC28DD"/>
    <w:rsid w:val="00CC743F"/>
    <w:rsid w:val="00CD1F7A"/>
    <w:rsid w:val="00CF21C3"/>
    <w:rsid w:val="00CF3613"/>
    <w:rsid w:val="00D02747"/>
    <w:rsid w:val="00D029A4"/>
    <w:rsid w:val="00D107B7"/>
    <w:rsid w:val="00D13D3E"/>
    <w:rsid w:val="00D1592E"/>
    <w:rsid w:val="00D15B05"/>
    <w:rsid w:val="00D175D4"/>
    <w:rsid w:val="00D27175"/>
    <w:rsid w:val="00D33D96"/>
    <w:rsid w:val="00D35671"/>
    <w:rsid w:val="00D35774"/>
    <w:rsid w:val="00D364E5"/>
    <w:rsid w:val="00D36717"/>
    <w:rsid w:val="00D37658"/>
    <w:rsid w:val="00D42666"/>
    <w:rsid w:val="00D42EE9"/>
    <w:rsid w:val="00D4523A"/>
    <w:rsid w:val="00D506CB"/>
    <w:rsid w:val="00D53012"/>
    <w:rsid w:val="00D6208B"/>
    <w:rsid w:val="00D649F4"/>
    <w:rsid w:val="00D65736"/>
    <w:rsid w:val="00D86780"/>
    <w:rsid w:val="00D878B0"/>
    <w:rsid w:val="00D903F2"/>
    <w:rsid w:val="00D97E20"/>
    <w:rsid w:val="00DA15E3"/>
    <w:rsid w:val="00DA610F"/>
    <w:rsid w:val="00DB4813"/>
    <w:rsid w:val="00DB4F86"/>
    <w:rsid w:val="00DB6228"/>
    <w:rsid w:val="00DB6DBF"/>
    <w:rsid w:val="00DB6E65"/>
    <w:rsid w:val="00DC4153"/>
    <w:rsid w:val="00DC5F49"/>
    <w:rsid w:val="00DC60AE"/>
    <w:rsid w:val="00DD4133"/>
    <w:rsid w:val="00DD59AB"/>
    <w:rsid w:val="00DE7CDE"/>
    <w:rsid w:val="00DF3D0D"/>
    <w:rsid w:val="00E109B2"/>
    <w:rsid w:val="00E1400B"/>
    <w:rsid w:val="00E14E47"/>
    <w:rsid w:val="00E17B51"/>
    <w:rsid w:val="00E22DE7"/>
    <w:rsid w:val="00E24100"/>
    <w:rsid w:val="00E33420"/>
    <w:rsid w:val="00E33D2F"/>
    <w:rsid w:val="00E363D3"/>
    <w:rsid w:val="00E503CA"/>
    <w:rsid w:val="00E66C39"/>
    <w:rsid w:val="00E67AC7"/>
    <w:rsid w:val="00E70CC7"/>
    <w:rsid w:val="00E77F0E"/>
    <w:rsid w:val="00E85235"/>
    <w:rsid w:val="00E9493D"/>
    <w:rsid w:val="00E95512"/>
    <w:rsid w:val="00EA0824"/>
    <w:rsid w:val="00EA69C3"/>
    <w:rsid w:val="00EB2203"/>
    <w:rsid w:val="00EB3FD4"/>
    <w:rsid w:val="00EB5501"/>
    <w:rsid w:val="00EB75FE"/>
    <w:rsid w:val="00EC031D"/>
    <w:rsid w:val="00EC2985"/>
    <w:rsid w:val="00EC366B"/>
    <w:rsid w:val="00EC5BA4"/>
    <w:rsid w:val="00EE1E6D"/>
    <w:rsid w:val="00EE78DB"/>
    <w:rsid w:val="00EF18F6"/>
    <w:rsid w:val="00EF7AB0"/>
    <w:rsid w:val="00F01F52"/>
    <w:rsid w:val="00F078B5"/>
    <w:rsid w:val="00F10452"/>
    <w:rsid w:val="00F15CE1"/>
    <w:rsid w:val="00F1642E"/>
    <w:rsid w:val="00F1677C"/>
    <w:rsid w:val="00F1772A"/>
    <w:rsid w:val="00F24F9C"/>
    <w:rsid w:val="00F43899"/>
    <w:rsid w:val="00F50FEA"/>
    <w:rsid w:val="00F56C74"/>
    <w:rsid w:val="00F57207"/>
    <w:rsid w:val="00F5747F"/>
    <w:rsid w:val="00F60003"/>
    <w:rsid w:val="00F63A66"/>
    <w:rsid w:val="00F644D9"/>
    <w:rsid w:val="00F656A9"/>
    <w:rsid w:val="00F658A6"/>
    <w:rsid w:val="00F66DF8"/>
    <w:rsid w:val="00F67ECF"/>
    <w:rsid w:val="00F72138"/>
    <w:rsid w:val="00F73E58"/>
    <w:rsid w:val="00F8055F"/>
    <w:rsid w:val="00F84888"/>
    <w:rsid w:val="00F86C2F"/>
    <w:rsid w:val="00F96741"/>
    <w:rsid w:val="00FA4A3E"/>
    <w:rsid w:val="00FB5172"/>
    <w:rsid w:val="00FB581F"/>
    <w:rsid w:val="00FB7802"/>
    <w:rsid w:val="00FC2B68"/>
    <w:rsid w:val="00FE0ABD"/>
    <w:rsid w:val="00FE6D8D"/>
    <w:rsid w:val="00FF362B"/>
    <w:rsid w:val="00FF5684"/>
    <w:rsid w:val="04130958"/>
    <w:rsid w:val="05486475"/>
    <w:rsid w:val="062D3A1B"/>
    <w:rsid w:val="087B5EBD"/>
    <w:rsid w:val="0B6E6D1B"/>
    <w:rsid w:val="0D642217"/>
    <w:rsid w:val="13D4238D"/>
    <w:rsid w:val="143241C5"/>
    <w:rsid w:val="1B0C0679"/>
    <w:rsid w:val="1C663ECE"/>
    <w:rsid w:val="1F3753C7"/>
    <w:rsid w:val="204E567F"/>
    <w:rsid w:val="22FA1BE3"/>
    <w:rsid w:val="2674409B"/>
    <w:rsid w:val="29523362"/>
    <w:rsid w:val="2B315584"/>
    <w:rsid w:val="2BB762B7"/>
    <w:rsid w:val="2E25779E"/>
    <w:rsid w:val="2E74147D"/>
    <w:rsid w:val="2ECF6B10"/>
    <w:rsid w:val="2FA77E2C"/>
    <w:rsid w:val="303E4861"/>
    <w:rsid w:val="30DC3F43"/>
    <w:rsid w:val="314A3C35"/>
    <w:rsid w:val="32765C86"/>
    <w:rsid w:val="327933C6"/>
    <w:rsid w:val="38811841"/>
    <w:rsid w:val="3AD46690"/>
    <w:rsid w:val="3C917C89"/>
    <w:rsid w:val="400E3035"/>
    <w:rsid w:val="40F811B2"/>
    <w:rsid w:val="410E620E"/>
    <w:rsid w:val="422641E0"/>
    <w:rsid w:val="45736A8C"/>
    <w:rsid w:val="47B127D9"/>
    <w:rsid w:val="48B47E2B"/>
    <w:rsid w:val="4DC820CA"/>
    <w:rsid w:val="50842FD5"/>
    <w:rsid w:val="50F973A7"/>
    <w:rsid w:val="531A4090"/>
    <w:rsid w:val="5394218A"/>
    <w:rsid w:val="53C158E7"/>
    <w:rsid w:val="59871123"/>
    <w:rsid w:val="5A681D39"/>
    <w:rsid w:val="61486360"/>
    <w:rsid w:val="618F69AB"/>
    <w:rsid w:val="63693519"/>
    <w:rsid w:val="6C140F14"/>
    <w:rsid w:val="6F8E4508"/>
    <w:rsid w:val="738207BC"/>
    <w:rsid w:val="76BE6231"/>
    <w:rsid w:val="76C95887"/>
    <w:rsid w:val="774B2101"/>
    <w:rsid w:val="7C3A66B6"/>
    <w:rsid w:val="7D566AEC"/>
    <w:rsid w:val="7E3763B5"/>
    <w:rsid w:val="7FBB03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27"/>
    <w:qFormat/>
    <w:uiPriority w:val="99"/>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6">
    <w:name w:val="Document Map"/>
    <w:basedOn w:val="1"/>
    <w:link w:val="31"/>
    <w:semiHidden/>
    <w:unhideWhenUsed/>
    <w:qFormat/>
    <w:uiPriority w:val="99"/>
    <w:rPr>
      <w:rFonts w:ascii="宋体"/>
      <w:sz w:val="18"/>
      <w:szCs w:val="18"/>
    </w:rPr>
  </w:style>
  <w:style w:type="paragraph" w:styleId="7">
    <w:name w:val="annotation text"/>
    <w:basedOn w:val="1"/>
    <w:link w:val="29"/>
    <w:unhideWhenUsed/>
    <w:qFormat/>
    <w:uiPriority w:val="99"/>
    <w:pPr>
      <w:jc w:val="left"/>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Plain Text"/>
    <w:basedOn w:val="1"/>
    <w:link w:val="35"/>
    <w:qFormat/>
    <w:uiPriority w:val="0"/>
    <w:rPr>
      <w:rFonts w:ascii="宋体" w:hAnsi="Courier New" w:eastAsia="宋体" w:cs="Courier New"/>
      <w:kern w:val="2"/>
      <w:sz w:val="21"/>
    </w:rPr>
  </w:style>
  <w:style w:type="paragraph" w:styleId="10">
    <w:name w:val="Balloon Text"/>
    <w:basedOn w:val="1"/>
    <w:link w:val="28"/>
    <w:semiHidden/>
    <w:unhideWhenUsed/>
    <w:qFormat/>
    <w:uiPriority w:val="99"/>
    <w:rPr>
      <w:sz w:val="18"/>
      <w:szCs w:val="18"/>
    </w:rPr>
  </w:style>
  <w:style w:type="paragraph" w:styleId="11">
    <w:name w:val="footer"/>
    <w:basedOn w:val="1"/>
    <w:link w:val="2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widowControl/>
      <w:tabs>
        <w:tab w:val="right" w:leader="dot" w:pos="8789"/>
      </w:tabs>
      <w:spacing w:line="440" w:lineRule="exact"/>
      <w:ind w:right="54" w:rightChars="17"/>
      <w:jc w:val="left"/>
    </w:pPr>
    <w:rPr>
      <w:rFonts w:asciiTheme="minorHAnsi" w:hAnsiTheme="minorHAnsi" w:eastAsiaTheme="minorEastAsia"/>
      <w:kern w:val="0"/>
      <w:sz w:val="22"/>
      <w:szCs w:val="22"/>
    </w:rPr>
  </w:style>
  <w:style w:type="paragraph" w:styleId="14">
    <w:name w:val="toc 2"/>
    <w:basedOn w:val="1"/>
    <w:next w:val="1"/>
    <w:unhideWhenUsed/>
    <w:qFormat/>
    <w:uiPriority w:val="39"/>
    <w:pPr>
      <w:widowControl/>
      <w:tabs>
        <w:tab w:val="right" w:leader="dot" w:pos="8789"/>
      </w:tabs>
      <w:spacing w:line="440" w:lineRule="exact"/>
      <w:ind w:firstLine="257" w:firstLineChars="100"/>
      <w:jc w:val="left"/>
    </w:pPr>
    <w:rPr>
      <w:rFonts w:ascii="仿宋_GB2312" w:eastAsia="仿宋_GB2312" w:hAnsiTheme="minorHAnsi"/>
      <w:b/>
      <w:bCs/>
      <w:kern w:val="0"/>
      <w:sz w:val="24"/>
      <w:szCs w:val="24"/>
      <w:lang w:val="zh-CN"/>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7"/>
    <w:next w:val="7"/>
    <w:link w:val="30"/>
    <w:semiHidden/>
    <w:unhideWhenUsed/>
    <w:qFormat/>
    <w:uiPriority w:val="99"/>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页眉 Char"/>
    <w:basedOn w:val="19"/>
    <w:link w:val="12"/>
    <w:qFormat/>
    <w:uiPriority w:val="99"/>
    <w:rPr>
      <w:sz w:val="18"/>
      <w:szCs w:val="18"/>
    </w:rPr>
  </w:style>
  <w:style w:type="character" w:customStyle="1" w:styleId="25">
    <w:name w:val="页脚 Char"/>
    <w:basedOn w:val="19"/>
    <w:link w:val="11"/>
    <w:qFormat/>
    <w:uiPriority w:val="0"/>
    <w:rPr>
      <w:sz w:val="18"/>
      <w:szCs w:val="18"/>
    </w:rPr>
  </w:style>
  <w:style w:type="character" w:customStyle="1" w:styleId="26">
    <w:name w:val="标题 2 Char"/>
    <w:basedOn w:val="19"/>
    <w:link w:val="4"/>
    <w:qFormat/>
    <w:uiPriority w:val="99"/>
    <w:rPr>
      <w:rFonts w:ascii="Cambria" w:hAnsi="Cambria" w:eastAsia="宋体" w:cs="Times New Roman"/>
      <w:b/>
      <w:bCs/>
      <w:kern w:val="0"/>
      <w:sz w:val="32"/>
      <w:szCs w:val="32"/>
    </w:rPr>
  </w:style>
  <w:style w:type="character" w:customStyle="1" w:styleId="27">
    <w:name w:val="标题 3 Char"/>
    <w:basedOn w:val="19"/>
    <w:link w:val="5"/>
    <w:qFormat/>
    <w:uiPriority w:val="99"/>
    <w:rPr>
      <w:rFonts w:ascii="Times New Roman" w:hAnsi="Times New Roman" w:eastAsia="宋体" w:cs="Times New Roman"/>
      <w:b/>
      <w:bCs/>
      <w:kern w:val="0"/>
      <w:sz w:val="32"/>
      <w:szCs w:val="32"/>
    </w:rPr>
  </w:style>
  <w:style w:type="character" w:customStyle="1" w:styleId="28">
    <w:name w:val="批注框文本 Char"/>
    <w:basedOn w:val="19"/>
    <w:link w:val="10"/>
    <w:semiHidden/>
    <w:qFormat/>
    <w:uiPriority w:val="99"/>
    <w:rPr>
      <w:rFonts w:ascii="Times New Roman" w:hAnsi="Times New Roman" w:eastAsia="宋体" w:cs="Times New Roman"/>
      <w:sz w:val="18"/>
      <w:szCs w:val="18"/>
    </w:rPr>
  </w:style>
  <w:style w:type="character" w:customStyle="1" w:styleId="29">
    <w:name w:val="批注文字 Char"/>
    <w:basedOn w:val="19"/>
    <w:link w:val="7"/>
    <w:qFormat/>
    <w:uiPriority w:val="99"/>
    <w:rPr>
      <w:rFonts w:ascii="Times New Roman" w:hAnsi="Times New Roman" w:eastAsia="宋体" w:cs="Times New Roman"/>
      <w:szCs w:val="21"/>
    </w:rPr>
  </w:style>
  <w:style w:type="character" w:customStyle="1" w:styleId="30">
    <w:name w:val="批注主题 Char"/>
    <w:basedOn w:val="29"/>
    <w:link w:val="16"/>
    <w:semiHidden/>
    <w:qFormat/>
    <w:uiPriority w:val="99"/>
    <w:rPr>
      <w:rFonts w:ascii="Times New Roman" w:hAnsi="Times New Roman" w:eastAsia="宋体" w:cs="Times New Roman"/>
      <w:b/>
      <w:bCs/>
      <w:szCs w:val="21"/>
    </w:rPr>
  </w:style>
  <w:style w:type="character" w:customStyle="1" w:styleId="31">
    <w:name w:val="文档结构图 Char"/>
    <w:basedOn w:val="19"/>
    <w:link w:val="6"/>
    <w:semiHidden/>
    <w:qFormat/>
    <w:uiPriority w:val="99"/>
    <w:rPr>
      <w:rFonts w:ascii="宋体" w:hAnsi="Times New Roman" w:eastAsia="宋体" w:cs="Times New Roman"/>
      <w:sz w:val="18"/>
      <w:szCs w:val="18"/>
    </w:rPr>
  </w:style>
  <w:style w:type="character" w:customStyle="1" w:styleId="32">
    <w:name w:val="标题 1 Char"/>
    <w:basedOn w:val="19"/>
    <w:link w:val="3"/>
    <w:qFormat/>
    <w:uiPriority w:val="9"/>
    <w:rPr>
      <w:rFonts w:ascii="Times New Roman" w:hAnsi="Times New Roman" w:eastAsia="宋体" w:cs="Times New Roman"/>
      <w:b/>
      <w:bCs/>
      <w:kern w:val="44"/>
      <w:sz w:val="44"/>
      <w:szCs w:val="44"/>
    </w:rPr>
  </w:style>
  <w:style w:type="paragraph" w:customStyle="1" w:styleId="3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5">
    <w:name w:val="纯文本 Char"/>
    <w:basedOn w:val="19"/>
    <w:link w:val="9"/>
    <w:qFormat/>
    <w:uiPriority w:val="0"/>
    <w:rPr>
      <w:rFonts w:ascii="宋体" w:hAnsi="Courier New" w:eastAsia="宋体" w:cs="Courier New"/>
      <w:szCs w:val="21"/>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styleId="38">
    <w:name w:val="List Paragraph"/>
    <w:basedOn w:val="1"/>
    <w:qFormat/>
    <w:uiPriority w:val="99"/>
    <w:pPr>
      <w:ind w:firstLine="420" w:firstLineChars="200"/>
    </w:pPr>
    <w:rPr>
      <w:rFonts w:ascii="仿宋" w:hAnsi="Times New Roman" w:eastAsia="仿宋" w:cs="Times New Roman"/>
      <w:kern w:val="30"/>
      <w:sz w:val="3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A8B6B-4B0D-4648-A22D-E0746A637A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2297</Words>
  <Characters>13098</Characters>
  <Lines>109</Lines>
  <Paragraphs>30</Paragraphs>
  <TotalTime>2</TotalTime>
  <ScaleCrop>false</ScaleCrop>
  <LinksUpToDate>false</LinksUpToDate>
  <CharactersWithSpaces>15365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2020-05-23T15:06:00Z</dcterms:created>
  <dc:creator>曹永金</dc:creator>
  <cp:lastModifiedBy>方丽</cp:lastModifiedBy>
  <cp:lastPrinted>2020-05-27T01:57:00Z</cp:lastPrinted>
  <dcterms:modified xsi:type="dcterms:W3CDTF">2020-11-11T07:42:42Z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