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63DD5">
      <w:pPr>
        <w:spacing w:before="167" w:line="239" w:lineRule="auto"/>
        <w:ind w:left="251"/>
        <w:jc w:val="center"/>
        <w:outlineLvl w:val="0"/>
        <w:rPr>
          <w:rFonts w:hint="eastAsia" w:ascii="方正小标宋简体" w:hAnsi="方正小标宋简体" w:eastAsia="方正小标宋简体" w:cs="方正小标宋简体"/>
          <w:sz w:val="43"/>
          <w:szCs w:val="43"/>
          <w:lang w:eastAsia="zh-CN"/>
        </w:rPr>
      </w:pPr>
      <w:r>
        <w:rPr>
          <w:rFonts w:ascii="方正小标宋简体" w:hAnsi="方正小标宋简体" w:eastAsia="方正小标宋简体" w:cs="方正小标宋简体"/>
          <w:spacing w:val="9"/>
          <w:sz w:val="43"/>
          <w:szCs w:val="43"/>
        </w:rPr>
        <w:t>云南省红塔区烟草制品零售点合理布局规划</w:t>
      </w:r>
    </w:p>
    <w:p w14:paraId="77F4B982">
      <w:pPr>
        <w:pStyle w:val="4"/>
        <w:spacing w:line="245" w:lineRule="auto"/>
      </w:pPr>
    </w:p>
    <w:p w14:paraId="5B6E5682">
      <w:pPr>
        <w:spacing w:before="101" w:line="227" w:lineRule="auto"/>
        <w:ind w:left="3459"/>
        <w:outlineLvl w:val="0"/>
        <w:rPr>
          <w:rFonts w:ascii="黑体" w:hAnsi="黑体" w:eastAsia="黑体" w:cs="黑体"/>
          <w:spacing w:val="7"/>
          <w:sz w:val="30"/>
          <w:szCs w:val="30"/>
        </w:rPr>
      </w:pPr>
      <w:r>
        <w:rPr>
          <w:rFonts w:ascii="黑体" w:hAnsi="黑体" w:eastAsia="黑体" w:cs="黑体"/>
          <w:spacing w:val="7"/>
          <w:sz w:val="31"/>
          <w:szCs w:val="31"/>
        </w:rPr>
        <w:t>第一章</w:t>
      </w:r>
      <w:r>
        <w:rPr>
          <w:rFonts w:hint="eastAsia" w:ascii="黑体" w:hAnsi="黑体" w:eastAsia="黑体" w:cs="黑体"/>
          <w:spacing w:val="7"/>
          <w:sz w:val="31"/>
          <w:szCs w:val="31"/>
          <w:lang w:val="en-US" w:eastAsia="zh-CN"/>
        </w:rPr>
        <w:t xml:space="preserve">  </w:t>
      </w:r>
      <w:r>
        <w:rPr>
          <w:rFonts w:ascii="黑体" w:hAnsi="黑体" w:eastAsia="黑体" w:cs="黑体"/>
          <w:spacing w:val="7"/>
          <w:sz w:val="30"/>
          <w:szCs w:val="30"/>
        </w:rPr>
        <w:t>总则</w:t>
      </w:r>
    </w:p>
    <w:p w14:paraId="524C1F1D">
      <w:pPr>
        <w:keepNext w:val="0"/>
        <w:keepLines w:val="0"/>
        <w:pageBreakBefore w:val="0"/>
        <w:widowControl/>
        <w:kinsoku w:val="0"/>
        <w:wordWrap/>
        <w:overflowPunct/>
        <w:topLinePunct w:val="0"/>
        <w:autoSpaceDE w:val="0"/>
        <w:autoSpaceDN w:val="0"/>
        <w:bidi w:val="0"/>
        <w:adjustRightInd w:val="0"/>
        <w:snapToGrid w:val="0"/>
        <w:spacing w:before="0" w:line="560" w:lineRule="exact"/>
        <w:ind w:firstLine="658"/>
        <w:jc w:val="both"/>
        <w:textAlignment w:val="baseline"/>
        <w:rPr>
          <w:rFonts w:hint="eastAsia" w:ascii="仿宋_GB2312" w:hAnsi="仿宋_GB2312" w:eastAsia="仿宋_GB2312" w:cs="仿宋_GB2312"/>
          <w:sz w:val="32"/>
          <w:szCs w:val="32"/>
        </w:rPr>
      </w:pPr>
      <w:r>
        <w:rPr>
          <w:rFonts w:ascii="黑体" w:hAnsi="黑体" w:eastAsia="黑体" w:cs="黑体"/>
          <w:spacing w:val="15"/>
          <w:sz w:val="32"/>
          <w:szCs w:val="32"/>
        </w:rPr>
        <w:t>第一条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spacing w:val="15"/>
          <w:sz w:val="32"/>
          <w:szCs w:val="32"/>
        </w:rPr>
        <w:t>为深入推进“放管服”改革，依法依规</w:t>
      </w:r>
      <w:r>
        <w:rPr>
          <w:rFonts w:hint="eastAsia" w:ascii="仿宋_GB2312" w:hAnsi="仿宋_GB2312" w:eastAsia="仿宋_GB2312" w:cs="仿宋_GB2312"/>
          <w:spacing w:val="14"/>
          <w:sz w:val="32"/>
          <w:szCs w:val="32"/>
        </w:rPr>
        <w:t>、科学合</w:t>
      </w:r>
      <w:r>
        <w:rPr>
          <w:rFonts w:hint="eastAsia" w:ascii="仿宋_GB2312" w:hAnsi="仿宋_GB2312" w:eastAsia="仿宋_GB2312" w:cs="仿宋_GB2312"/>
          <w:spacing w:val="17"/>
          <w:sz w:val="32"/>
          <w:szCs w:val="32"/>
        </w:rPr>
        <w:t>理制定烟草制品零售点合理布局规划，提升烟草专卖行政</w:t>
      </w:r>
      <w:r>
        <w:rPr>
          <w:rFonts w:hint="eastAsia" w:ascii="仿宋_GB2312" w:hAnsi="仿宋_GB2312" w:eastAsia="仿宋_GB2312" w:cs="仿宋_GB2312"/>
          <w:spacing w:val="16"/>
          <w:sz w:val="32"/>
          <w:szCs w:val="32"/>
        </w:rPr>
        <w:t>许可</w:t>
      </w:r>
      <w:r>
        <w:rPr>
          <w:rFonts w:hint="eastAsia" w:ascii="仿宋_GB2312" w:hAnsi="仿宋_GB2312" w:eastAsia="仿宋_GB2312" w:cs="仿宋_GB2312"/>
          <w:sz w:val="32"/>
          <w:szCs w:val="32"/>
        </w:rPr>
        <w:t>的公开性、公平性和</w:t>
      </w:r>
      <w:r>
        <w:rPr>
          <w:rFonts w:hint="eastAsia" w:ascii="仿宋_GB2312" w:hAnsi="仿宋_GB2312" w:eastAsia="仿宋_GB2312" w:cs="仿宋_GB2312"/>
          <w:spacing w:val="17"/>
          <w:sz w:val="32"/>
          <w:szCs w:val="32"/>
        </w:rPr>
        <w:t>公正性</w:t>
      </w:r>
      <w:r>
        <w:rPr>
          <w:rFonts w:hint="eastAsia" w:ascii="仿宋_GB2312" w:hAnsi="仿宋_GB2312" w:eastAsia="仿宋_GB2312" w:cs="仿宋_GB2312"/>
          <w:sz w:val="32"/>
          <w:szCs w:val="32"/>
        </w:rPr>
        <w:t>，依据《中华人民共和国行政许可法》</w:t>
      </w:r>
      <w:r>
        <w:rPr>
          <w:rFonts w:hint="eastAsia" w:ascii="仿宋_GB2312" w:hAnsi="仿宋_GB2312" w:eastAsia="仿宋_GB2312" w:cs="仿宋_GB2312"/>
          <w:spacing w:val="16"/>
          <w:sz w:val="32"/>
          <w:szCs w:val="32"/>
        </w:rPr>
        <w:t>《中华人民共和国未成年人保护法》《中华人民共和国烟草专</w:t>
      </w:r>
      <w:r>
        <w:rPr>
          <w:rFonts w:hint="eastAsia" w:ascii="仿宋_GB2312" w:hAnsi="仿宋_GB2312" w:eastAsia="仿宋_GB2312" w:cs="仿宋_GB2312"/>
          <w:spacing w:val="5"/>
          <w:sz w:val="32"/>
          <w:szCs w:val="32"/>
        </w:rPr>
        <w:t>卖法》《中华人民共和国烟草专卖法实施条例》《烟草专卖许可</w:t>
      </w:r>
      <w:r>
        <w:rPr>
          <w:rFonts w:hint="eastAsia" w:ascii="仿宋_GB2312" w:hAnsi="仿宋_GB2312" w:eastAsia="仿宋_GB2312" w:cs="仿宋_GB2312"/>
          <w:spacing w:val="14"/>
          <w:sz w:val="32"/>
          <w:szCs w:val="32"/>
        </w:rPr>
        <w:t>证管理办法》《烟草专卖许可证管理办法实施细则》等法律、</w:t>
      </w:r>
      <w:r>
        <w:rPr>
          <w:rFonts w:hint="eastAsia" w:ascii="仿宋_GB2312" w:hAnsi="仿宋_GB2312" w:eastAsia="仿宋_GB2312" w:cs="仿宋_GB2312"/>
          <w:spacing w:val="21"/>
          <w:sz w:val="32"/>
          <w:szCs w:val="32"/>
        </w:rPr>
        <w:t>法规、规章和国家烟草专卖局的有关规定，结合红塔</w:t>
      </w:r>
      <w:r>
        <w:rPr>
          <w:rFonts w:hint="eastAsia" w:ascii="仿宋_GB2312" w:hAnsi="仿宋_GB2312" w:eastAsia="仿宋_GB2312" w:cs="仿宋_GB2312"/>
          <w:spacing w:val="20"/>
          <w:sz w:val="32"/>
          <w:szCs w:val="32"/>
        </w:rPr>
        <w:t>区实际，</w:t>
      </w:r>
      <w:r>
        <w:rPr>
          <w:rFonts w:hint="eastAsia" w:ascii="仿宋_GB2312" w:hAnsi="仿宋_GB2312" w:eastAsia="仿宋_GB2312" w:cs="仿宋_GB2312"/>
          <w:spacing w:val="16"/>
          <w:sz w:val="32"/>
          <w:szCs w:val="32"/>
        </w:rPr>
        <w:t>制定本规划。</w:t>
      </w:r>
    </w:p>
    <w:p w14:paraId="6DB46573">
      <w:pPr>
        <w:keepNext w:val="0"/>
        <w:keepLines w:val="0"/>
        <w:pageBreakBefore w:val="0"/>
        <w:wordWrap/>
        <w:overflowPunct/>
        <w:topLinePunct w:val="0"/>
        <w:bidi w:val="0"/>
        <w:snapToGrid w:val="0"/>
        <w:spacing w:before="0" w:line="560" w:lineRule="exact"/>
        <w:ind w:left="9" w:right="163" w:firstLine="627"/>
        <w:jc w:val="both"/>
        <w:textAlignment w:val="baseline"/>
        <w:rPr>
          <w:rFonts w:hint="eastAsia" w:ascii="仿宋_GB2312" w:hAnsi="仿宋_GB2312" w:eastAsia="仿宋_GB2312" w:cs="仿宋_GB2312"/>
          <w:spacing w:val="17"/>
          <w:sz w:val="32"/>
          <w:szCs w:val="32"/>
        </w:rPr>
      </w:pPr>
      <w:r>
        <w:rPr>
          <w:rFonts w:ascii="黑体" w:hAnsi="黑体" w:eastAsia="黑体" w:cs="黑体"/>
          <w:spacing w:val="15"/>
          <w:sz w:val="32"/>
          <w:szCs w:val="32"/>
        </w:rPr>
        <w:t>第二条</w:t>
      </w:r>
      <w:r>
        <w:rPr>
          <w:rFonts w:hint="eastAsia" w:ascii="黑体" w:hAnsi="黑体" w:eastAsia="黑体" w:cs="黑体"/>
          <w:spacing w:val="17"/>
          <w:sz w:val="32"/>
          <w:szCs w:val="32"/>
          <w:lang w:val="en-US" w:eastAsia="zh-CN"/>
        </w:rPr>
        <w:t xml:space="preserve">  </w:t>
      </w:r>
      <w:r>
        <w:rPr>
          <w:rFonts w:hint="eastAsia" w:ascii="仿宋_GB2312" w:hAnsi="仿宋_GB2312" w:eastAsia="仿宋_GB2312" w:cs="仿宋_GB2312"/>
          <w:spacing w:val="17"/>
          <w:sz w:val="32"/>
          <w:szCs w:val="32"/>
        </w:rPr>
        <w:t>本规划适用于云南省红塔区行政辖区范围内烟草制品零售点的布局管理。电子烟零售点布局按照《云南省电子烟零售点布局规划》执行。</w:t>
      </w:r>
    </w:p>
    <w:p w14:paraId="0D711338">
      <w:pPr>
        <w:keepNext w:val="0"/>
        <w:keepLines w:val="0"/>
        <w:pageBreakBefore w:val="0"/>
        <w:wordWrap/>
        <w:overflowPunct/>
        <w:topLinePunct w:val="0"/>
        <w:bidi w:val="0"/>
        <w:snapToGrid w:val="0"/>
        <w:spacing w:before="0" w:line="560" w:lineRule="exact"/>
        <w:ind w:firstLine="655"/>
        <w:jc w:val="both"/>
        <w:textAlignment w:val="baseline"/>
        <w:rPr>
          <w:rFonts w:hint="eastAsia" w:ascii="仿宋_GB2312" w:hAnsi="仿宋_GB2312" w:eastAsia="仿宋_GB2312" w:cs="仿宋_GB2312"/>
          <w:spacing w:val="15"/>
          <w:sz w:val="32"/>
          <w:szCs w:val="32"/>
        </w:rPr>
      </w:pPr>
      <w:r>
        <w:rPr>
          <w:rFonts w:ascii="黑体" w:hAnsi="黑体" w:eastAsia="黑体" w:cs="黑体"/>
          <w:spacing w:val="15"/>
          <w:sz w:val="32"/>
          <w:szCs w:val="32"/>
        </w:rPr>
        <w:t>第三条</w:t>
      </w:r>
      <w:r>
        <w:rPr>
          <w:rFonts w:hint="eastAsia" w:ascii="黑体" w:hAnsi="黑体" w:eastAsia="黑体" w:cs="黑体"/>
          <w:spacing w:val="17"/>
          <w:sz w:val="32"/>
          <w:szCs w:val="32"/>
          <w:lang w:val="en-US" w:eastAsia="zh-CN"/>
        </w:rPr>
        <w:t xml:space="preserve">  </w:t>
      </w:r>
      <w:r>
        <w:rPr>
          <w:rFonts w:hint="eastAsia" w:ascii="仿宋_GB2312" w:hAnsi="仿宋_GB2312" w:eastAsia="仿宋_GB2312" w:cs="仿宋_GB2312"/>
          <w:spacing w:val="17"/>
          <w:sz w:val="32"/>
          <w:szCs w:val="32"/>
        </w:rPr>
        <w:t>本规划所称烟草制品零售点（以下简称零售</w:t>
      </w:r>
      <w:r>
        <w:rPr>
          <w:rFonts w:hint="eastAsia" w:ascii="仿宋_GB2312" w:hAnsi="仿宋_GB2312" w:eastAsia="仿宋_GB2312" w:cs="仿宋_GB2312"/>
          <w:spacing w:val="17"/>
          <w:sz w:val="32"/>
          <w:szCs w:val="32"/>
          <w:lang w:eastAsia="zh-CN"/>
        </w:rPr>
        <w:t>点）</w:t>
      </w:r>
      <w:r>
        <w:rPr>
          <w:rFonts w:hint="eastAsia" w:ascii="仿宋_GB2312" w:hAnsi="仿宋_GB2312" w:eastAsia="仿宋_GB2312" w:cs="仿宋_GB2312"/>
          <w:spacing w:val="17"/>
          <w:sz w:val="32"/>
          <w:szCs w:val="32"/>
        </w:rPr>
        <w:t>是指依法取得烟草专卖零售许可证（以下简称零售许可证）的公民、法人或其他组织从事烟草制品零售业务的经营场</w:t>
      </w:r>
      <w:r>
        <w:rPr>
          <w:rFonts w:hint="eastAsia" w:ascii="仿宋_GB2312" w:hAnsi="仿宋_GB2312" w:eastAsia="仿宋_GB2312" w:cs="仿宋_GB2312"/>
          <w:spacing w:val="17"/>
          <w:sz w:val="32"/>
          <w:szCs w:val="32"/>
          <w:lang w:eastAsia="zh-CN"/>
        </w:rPr>
        <w:t>所。</w:t>
      </w:r>
    </w:p>
    <w:p w14:paraId="5F0A39A0">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000000" w:themeColor="text1"/>
          <w:spacing w:val="15"/>
          <w:sz w:val="32"/>
          <w:szCs w:val="32"/>
          <w14:textFill>
            <w14:solidFill>
              <w14:schemeClr w14:val="tx1"/>
            </w14:solidFill>
          </w14:textFill>
        </w:rPr>
      </w:pPr>
      <w:r>
        <w:rPr>
          <w:rFonts w:hint="eastAsia" w:ascii="仿宋_GB2312" w:hAnsi="仿宋_GB2312" w:eastAsia="仿宋_GB2312" w:cs="仿宋_GB2312"/>
          <w:color w:val="000000" w:themeColor="text1"/>
          <w:spacing w:val="15"/>
          <w:sz w:val="32"/>
          <w:szCs w:val="32"/>
          <w14:textFill>
            <w14:solidFill>
              <w14:schemeClr w14:val="tx1"/>
            </w14:solidFill>
          </w14:textFill>
        </w:rPr>
        <w:t>零售点应当设置于与住所相独立的固定经营场所，经营场所与住所应当在空间上相互独立，在物理特性上应有实体墙相隔离。经营场所应有指向明确并唯一的门牌、地址或者方位表述，且与营业执照登记注册的经营场所一致，并面向公众经营。</w:t>
      </w:r>
    </w:p>
    <w:p w14:paraId="045FD86A">
      <w:pPr>
        <w:keepNext w:val="0"/>
        <w:keepLines w:val="0"/>
        <w:pageBreakBefore w:val="0"/>
        <w:wordWrap/>
        <w:overflowPunct/>
        <w:topLinePunct w:val="0"/>
        <w:bidi w:val="0"/>
        <w:snapToGrid w:val="0"/>
        <w:spacing w:before="0" w:line="560" w:lineRule="exact"/>
        <w:ind w:left="5" w:firstLine="635"/>
        <w:jc w:val="both"/>
        <w:textAlignment w:val="baseline"/>
        <w:rPr>
          <w:rFonts w:hint="eastAsia" w:ascii="FangSong_GB2312" w:hAnsi="FangSong_GB2312" w:eastAsia="仿宋_GB2312" w:cs="FangSong_GB2312"/>
          <w:sz w:val="32"/>
          <w:szCs w:val="32"/>
          <w:lang w:eastAsia="zh-CN"/>
        </w:rPr>
      </w:pPr>
      <w:r>
        <w:rPr>
          <w:rFonts w:ascii="黑体" w:hAnsi="黑体" w:eastAsia="黑体" w:cs="黑体"/>
          <w:spacing w:val="15"/>
          <w:sz w:val="32"/>
          <w:szCs w:val="32"/>
        </w:rPr>
        <w:t>第四条</w:t>
      </w:r>
      <w:r>
        <w:rPr>
          <w:rFonts w:hint="eastAsia" w:ascii="黑体" w:hAnsi="黑体" w:eastAsia="黑体" w:cs="黑体"/>
          <w:spacing w:val="16"/>
          <w:sz w:val="32"/>
          <w:szCs w:val="32"/>
          <w:lang w:val="en-US" w:eastAsia="zh-CN"/>
        </w:rPr>
        <w:t xml:space="preserve">  </w:t>
      </w:r>
      <w:r>
        <w:rPr>
          <w:rFonts w:hint="eastAsia" w:ascii="仿宋_GB2312" w:hAnsi="仿宋_GB2312" w:eastAsia="仿宋_GB2312" w:cs="仿宋_GB2312"/>
          <w:spacing w:val="17"/>
          <w:sz w:val="32"/>
          <w:szCs w:val="32"/>
        </w:rPr>
        <w:t>本规划遵循依法行政、科学规划、服务社会、均衡发展原则，综合辖区内人口数量、交通状况、经济发展水平、消费能力等因素，对零售点进行科学合理的规划布局</w:t>
      </w:r>
      <w:r>
        <w:rPr>
          <w:rFonts w:hint="eastAsia" w:ascii="仿宋_GB2312" w:hAnsi="仿宋_GB2312" w:eastAsia="仿宋_GB2312" w:cs="仿宋_GB2312"/>
          <w:spacing w:val="15"/>
          <w:sz w:val="32"/>
          <w:szCs w:val="32"/>
          <w:lang w:eastAsia="zh-CN"/>
        </w:rPr>
        <w:t>。</w:t>
      </w:r>
    </w:p>
    <w:p w14:paraId="07D239C1">
      <w:pPr>
        <w:pStyle w:val="4"/>
        <w:keepNext w:val="0"/>
        <w:keepLines w:val="0"/>
        <w:pageBreakBefore w:val="0"/>
        <w:wordWrap/>
        <w:overflowPunct/>
        <w:topLinePunct w:val="0"/>
        <w:bidi w:val="0"/>
        <w:snapToGrid w:val="0"/>
        <w:spacing w:before="0" w:line="560" w:lineRule="exact"/>
        <w:jc w:val="both"/>
        <w:textAlignment w:val="baseline"/>
        <w:rPr>
          <w:sz w:val="32"/>
          <w:szCs w:val="32"/>
        </w:rPr>
      </w:pPr>
    </w:p>
    <w:p w14:paraId="46EB991A">
      <w:pPr>
        <w:keepNext w:val="0"/>
        <w:keepLines w:val="0"/>
        <w:pageBreakBefore w:val="0"/>
        <w:wordWrap/>
        <w:overflowPunct/>
        <w:topLinePunct w:val="0"/>
        <w:bidi w:val="0"/>
        <w:snapToGrid w:val="0"/>
        <w:spacing w:before="0" w:line="560" w:lineRule="exact"/>
        <w:ind w:left="2628"/>
        <w:jc w:val="both"/>
        <w:textAlignment w:val="baseline"/>
        <w:outlineLvl w:val="0"/>
        <w:rPr>
          <w:rFonts w:ascii="黑体" w:hAnsi="黑体" w:eastAsia="黑体" w:cs="黑体"/>
          <w:spacing w:val="11"/>
          <w:sz w:val="32"/>
          <w:szCs w:val="32"/>
        </w:rPr>
      </w:pPr>
      <w:r>
        <w:rPr>
          <w:rFonts w:ascii="黑体" w:hAnsi="黑体" w:eastAsia="黑体" w:cs="黑体"/>
          <w:spacing w:val="11"/>
          <w:sz w:val="32"/>
          <w:szCs w:val="32"/>
        </w:rPr>
        <w:t>第二章</w:t>
      </w:r>
      <w:r>
        <w:rPr>
          <w:rFonts w:hint="eastAsia" w:ascii="黑体" w:hAnsi="黑体" w:eastAsia="黑体" w:cs="黑体"/>
          <w:spacing w:val="11"/>
          <w:sz w:val="32"/>
          <w:szCs w:val="32"/>
          <w:lang w:val="en-US" w:eastAsia="zh-CN"/>
        </w:rPr>
        <w:t xml:space="preserve">  </w:t>
      </w:r>
      <w:r>
        <w:rPr>
          <w:rFonts w:ascii="黑体" w:hAnsi="黑体" w:eastAsia="黑体" w:cs="黑体"/>
          <w:spacing w:val="11"/>
          <w:sz w:val="32"/>
          <w:szCs w:val="32"/>
        </w:rPr>
        <w:t>零售点布局标准</w:t>
      </w:r>
    </w:p>
    <w:p w14:paraId="44458AE5">
      <w:pPr>
        <w:keepNext w:val="0"/>
        <w:keepLines w:val="0"/>
        <w:pageBreakBefore w:val="0"/>
        <w:wordWrap/>
        <w:overflowPunct/>
        <w:topLinePunct w:val="0"/>
        <w:bidi w:val="0"/>
        <w:snapToGrid w:val="0"/>
        <w:spacing w:before="0" w:line="560" w:lineRule="exact"/>
        <w:ind w:left="20" w:right="90" w:firstLine="616"/>
        <w:jc w:val="both"/>
        <w:textAlignment w:val="baseline"/>
        <w:rPr>
          <w:rFonts w:hint="eastAsia" w:ascii="黑体" w:hAnsi="黑体" w:eastAsia="黑体" w:cs="黑体"/>
          <w:color w:val="000000" w:themeColor="text1"/>
          <w:spacing w:val="17"/>
          <w:sz w:val="32"/>
          <w:szCs w:val="32"/>
          <w:lang w:val="en-US" w:eastAsia="zh-CN"/>
          <w14:textFill>
            <w14:solidFill>
              <w14:schemeClr w14:val="tx1"/>
            </w14:solidFill>
          </w14:textFill>
        </w:rPr>
      </w:pPr>
      <w:r>
        <w:rPr>
          <w:rFonts w:ascii="黑体" w:hAnsi="黑体" w:eastAsia="黑体" w:cs="黑体"/>
          <w:color w:val="000000" w:themeColor="text1"/>
          <w:spacing w:val="15"/>
          <w:sz w:val="32"/>
          <w:szCs w:val="32"/>
          <w14:textFill>
            <w14:solidFill>
              <w14:schemeClr w14:val="tx1"/>
            </w14:solidFill>
          </w14:textFill>
        </w:rPr>
        <w:t>第五条</w:t>
      </w:r>
      <w:r>
        <w:rPr>
          <w:rFonts w:hint="eastAsia" w:ascii="黑体" w:hAnsi="黑体" w:eastAsia="黑体" w:cs="黑体"/>
          <w:color w:val="000000" w:themeColor="text1"/>
          <w:spacing w:val="17"/>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17"/>
          <w:sz w:val="32"/>
          <w:szCs w:val="32"/>
          <w:lang w:val="en-US" w:eastAsia="zh-CN"/>
          <w14:textFill>
            <w14:solidFill>
              <w14:schemeClr w14:val="tx1"/>
            </w14:solidFill>
          </w14:textFill>
        </w:rPr>
        <w:t>本章适用于经营范围除“仅为雪茄烟本店零售”以外的卷烟、雪茄烟、消费类烟丝的零售点布局管理。</w:t>
      </w:r>
      <w:r>
        <w:rPr>
          <w:rFonts w:hint="eastAsia" w:ascii="黑体" w:hAnsi="黑体" w:eastAsia="黑体" w:cs="黑体"/>
          <w:color w:val="000000" w:themeColor="text1"/>
          <w:spacing w:val="17"/>
          <w:sz w:val="32"/>
          <w:szCs w:val="32"/>
          <w:lang w:val="en-US" w:eastAsia="zh-CN"/>
          <w14:textFill>
            <w14:solidFill>
              <w14:schemeClr w14:val="tx1"/>
            </w14:solidFill>
          </w14:textFill>
        </w:rPr>
        <w:t xml:space="preserve"> </w:t>
      </w:r>
    </w:p>
    <w:p w14:paraId="1F1F59F6">
      <w:pPr>
        <w:keepNext w:val="0"/>
        <w:keepLines w:val="0"/>
        <w:pageBreakBefore w:val="0"/>
        <w:wordWrap/>
        <w:overflowPunct/>
        <w:topLinePunct w:val="0"/>
        <w:bidi w:val="0"/>
        <w:snapToGrid w:val="0"/>
        <w:spacing w:before="0" w:line="560" w:lineRule="exact"/>
        <w:ind w:left="20" w:right="90" w:firstLine="616"/>
        <w:jc w:val="both"/>
        <w:textAlignment w:val="baseline"/>
        <w:rPr>
          <w:rFonts w:hint="eastAsia" w:ascii="仿宋_GB2312" w:hAnsi="仿宋_GB2312" w:eastAsia="仿宋_GB2312" w:cs="仿宋_GB2312"/>
          <w:color w:val="000000" w:themeColor="text1"/>
          <w:spacing w:val="17"/>
          <w:sz w:val="32"/>
          <w:szCs w:val="32"/>
          <w14:textFill>
            <w14:solidFill>
              <w14:schemeClr w14:val="tx1"/>
            </w14:solidFill>
          </w14:textFill>
        </w:rPr>
      </w:pPr>
      <w:r>
        <w:rPr>
          <w:rFonts w:ascii="黑体" w:hAnsi="黑体" w:eastAsia="黑体" w:cs="黑体"/>
          <w:color w:val="000000" w:themeColor="text1"/>
          <w:spacing w:val="15"/>
          <w:sz w:val="32"/>
          <w:szCs w:val="32"/>
          <w14:textFill>
            <w14:solidFill>
              <w14:schemeClr w14:val="tx1"/>
            </w14:solidFill>
          </w14:textFill>
        </w:rPr>
        <w:t>第六条</w:t>
      </w:r>
      <w:r>
        <w:rPr>
          <w:rFonts w:hint="eastAsia" w:ascii="黑体" w:hAnsi="黑体" w:eastAsia="黑体" w:cs="黑体"/>
          <w:color w:val="000000" w:themeColor="text1"/>
          <w:spacing w:val="16"/>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17"/>
          <w:sz w:val="32"/>
          <w:szCs w:val="32"/>
          <w14:textFill>
            <w14:solidFill>
              <w14:schemeClr w14:val="tx1"/>
            </w14:solidFill>
          </w14:textFill>
        </w:rPr>
        <w:t>零售点布局采用数量限制、距离限制、数量限制与距离限制相结合以及不予设置烟草制品零售点等布局标准。</w:t>
      </w:r>
    </w:p>
    <w:p w14:paraId="26C19372">
      <w:pPr>
        <w:keepNext w:val="0"/>
        <w:keepLines w:val="0"/>
        <w:pageBreakBefore w:val="0"/>
        <w:wordWrap/>
        <w:overflowPunct/>
        <w:topLinePunct w:val="0"/>
        <w:bidi w:val="0"/>
        <w:snapToGrid w:val="0"/>
        <w:spacing w:before="0" w:line="560" w:lineRule="exact"/>
        <w:ind w:left="6" w:right="101" w:firstLine="648"/>
        <w:jc w:val="both"/>
        <w:textAlignment w:val="baseline"/>
        <w:rPr>
          <w:rFonts w:ascii="FangSong_GB2312" w:hAnsi="FangSong_GB2312" w:eastAsia="FangSong_GB2312" w:cs="FangSong_GB2312"/>
          <w:sz w:val="32"/>
          <w:szCs w:val="32"/>
        </w:rPr>
      </w:pPr>
      <w:r>
        <w:rPr>
          <w:rFonts w:ascii="黑体" w:hAnsi="黑体" w:eastAsia="黑体" w:cs="黑体"/>
          <w:spacing w:val="15"/>
          <w:sz w:val="32"/>
          <w:szCs w:val="32"/>
        </w:rPr>
        <w:t>第</w:t>
      </w:r>
      <w:r>
        <w:rPr>
          <w:rFonts w:hint="eastAsia" w:ascii="黑体" w:hAnsi="黑体" w:eastAsia="黑体" w:cs="黑体"/>
          <w:spacing w:val="15"/>
          <w:sz w:val="32"/>
          <w:szCs w:val="32"/>
          <w:lang w:eastAsia="zh-CN"/>
        </w:rPr>
        <w:t>七</w:t>
      </w:r>
      <w:r>
        <w:rPr>
          <w:rFonts w:ascii="黑体" w:hAnsi="黑体" w:eastAsia="黑体" w:cs="黑体"/>
          <w:spacing w:val="15"/>
          <w:sz w:val="32"/>
          <w:szCs w:val="32"/>
        </w:rPr>
        <w:t>条</w:t>
      </w:r>
      <w:r>
        <w:rPr>
          <w:rFonts w:hint="eastAsia" w:ascii="黑体" w:hAnsi="黑体" w:eastAsia="黑体" w:cs="黑体"/>
          <w:spacing w:val="16"/>
          <w:sz w:val="32"/>
          <w:szCs w:val="32"/>
          <w:lang w:val="en-US" w:eastAsia="zh-CN"/>
        </w:rPr>
        <w:t xml:space="preserve">  </w:t>
      </w:r>
      <w:r>
        <w:rPr>
          <w:rFonts w:hint="eastAsia" w:ascii="仿宋_GB2312" w:hAnsi="仿宋_GB2312" w:eastAsia="仿宋_GB2312" w:cs="仿宋_GB2312"/>
          <w:spacing w:val="15"/>
          <w:sz w:val="32"/>
          <w:szCs w:val="32"/>
        </w:rPr>
        <w:t>根据地域面积、人口数量、交通状况、经济发展水平、居民消费能力、消费购买习惯等因素，合理确定区域零售点规划数，并划定最小单元网格。单元网格零售点规划数是指最小单元网格内可设置零售点的数量。总量规划数是指红塔区辖区范围内所有单元网格零售点规划数之和。</w:t>
      </w:r>
    </w:p>
    <w:p w14:paraId="15460178">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除本规划规定的特殊区域外，单元网格内零售点数量达到规划数时，该单元网格不予新设零售点。</w:t>
      </w:r>
    </w:p>
    <w:p w14:paraId="72EB55E5">
      <w:pPr>
        <w:keepNext w:val="0"/>
        <w:keepLines w:val="0"/>
        <w:pageBreakBefore w:val="0"/>
        <w:wordWrap/>
        <w:overflowPunct/>
        <w:topLinePunct w:val="0"/>
        <w:bidi w:val="0"/>
        <w:snapToGrid w:val="0"/>
        <w:spacing w:before="0" w:line="560" w:lineRule="exact"/>
        <w:ind w:left="10" w:right="132" w:firstLine="645"/>
        <w:jc w:val="both"/>
        <w:textAlignment w:val="baseline"/>
        <w:rPr>
          <w:rFonts w:hint="eastAsia" w:ascii="仿宋_GB2312" w:hAnsi="仿宋_GB2312" w:eastAsia="仿宋_GB2312" w:cs="仿宋_GB2312"/>
          <w:color w:val="000000" w:themeColor="text1"/>
          <w:spacing w:val="15"/>
          <w:sz w:val="32"/>
          <w:szCs w:val="32"/>
          <w14:textFill>
            <w14:solidFill>
              <w14:schemeClr w14:val="tx1"/>
            </w14:solidFill>
          </w14:textFill>
        </w:rPr>
      </w:pPr>
      <w:r>
        <w:rPr>
          <w:rFonts w:ascii="黑体" w:hAnsi="黑体" w:eastAsia="黑体" w:cs="黑体"/>
          <w:spacing w:val="15"/>
          <w:sz w:val="32"/>
          <w:szCs w:val="32"/>
        </w:rPr>
        <w:t>第</w:t>
      </w:r>
      <w:r>
        <w:rPr>
          <w:rFonts w:hint="eastAsia" w:ascii="黑体" w:hAnsi="黑体" w:eastAsia="黑体" w:cs="黑体"/>
          <w:spacing w:val="15"/>
          <w:sz w:val="32"/>
          <w:szCs w:val="32"/>
          <w:lang w:eastAsia="zh-CN"/>
        </w:rPr>
        <w:t>八</w:t>
      </w:r>
      <w:r>
        <w:rPr>
          <w:rFonts w:ascii="黑体" w:hAnsi="黑体" w:eastAsia="黑体" w:cs="黑体"/>
          <w:spacing w:val="15"/>
          <w:sz w:val="32"/>
          <w:szCs w:val="32"/>
        </w:rPr>
        <w:t>条</w:t>
      </w:r>
      <w:r>
        <w:rPr>
          <w:rFonts w:hint="eastAsia" w:ascii="黑体" w:hAnsi="黑体" w:eastAsia="黑体" w:cs="黑体"/>
          <w:spacing w:val="3"/>
          <w:sz w:val="32"/>
          <w:szCs w:val="32"/>
          <w:lang w:val="en-US" w:eastAsia="zh-CN"/>
        </w:rPr>
        <w:t xml:space="preserve">  </w:t>
      </w:r>
      <w:r>
        <w:rPr>
          <w:rFonts w:hint="eastAsia" w:ascii="仿宋_GB2312" w:hAnsi="仿宋_GB2312" w:eastAsia="仿宋_GB2312" w:cs="仿宋_GB2312"/>
          <w:spacing w:val="15"/>
          <w:sz w:val="32"/>
          <w:szCs w:val="32"/>
        </w:rPr>
        <w:t>根据零售市场状态、交通状况、人口热度</w:t>
      </w:r>
      <w:r>
        <w:rPr>
          <w:rFonts w:hint="eastAsia" w:ascii="仿宋_GB2312" w:hAnsi="仿宋_GB2312" w:eastAsia="仿宋_GB2312" w:cs="仿宋_GB2312"/>
          <w:spacing w:val="15"/>
          <w:sz w:val="32"/>
          <w:szCs w:val="32"/>
          <w:lang w:eastAsia="zh-CN"/>
        </w:rPr>
        <w:t>、</w:t>
      </w:r>
      <w:r>
        <w:rPr>
          <w:rFonts w:hint="eastAsia" w:ascii="仿宋_GB2312" w:hAnsi="仿宋_GB2312" w:eastAsia="仿宋_GB2312" w:cs="仿宋_GB2312"/>
          <w:spacing w:val="15"/>
          <w:sz w:val="32"/>
          <w:szCs w:val="32"/>
        </w:rPr>
        <w:t>消</w:t>
      </w:r>
      <w:r>
        <w:rPr>
          <w:rFonts w:hint="eastAsia" w:ascii="仿宋_GB2312" w:hAnsi="仿宋_GB2312" w:eastAsia="仿宋_GB2312" w:cs="仿宋_GB2312"/>
          <w:color w:val="000000" w:themeColor="text1"/>
          <w:spacing w:val="15"/>
          <w:sz w:val="32"/>
          <w:szCs w:val="32"/>
          <w14:textFill>
            <w14:solidFill>
              <w14:schemeClr w14:val="tx1"/>
            </w14:solidFill>
          </w14:textFill>
        </w:rPr>
        <w:t>费购买习惯等因素，合理确定零售点间距。零售点间距是指申请人拟从事烟草制品零售业务的经营场所与最近的烟草制品零售点之间的距离。测量的总体原则为两个零售点“门边到门边”可安全步行的最短距离。测量规则及标准详见《云南省红塔区烟草制品零售点间距测量规则及标准</w:t>
      </w:r>
      <w:r>
        <w:rPr>
          <w:rFonts w:hint="eastAsia" w:ascii="仿宋_GB2312" w:hAnsi="仿宋_GB2312" w:eastAsia="仿宋_GB2312" w:cs="仿宋_GB2312"/>
          <w:color w:val="000000" w:themeColor="text1"/>
          <w:spacing w:val="15"/>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15"/>
          <w:sz w:val="32"/>
          <w:szCs w:val="32"/>
          <w14:textFill>
            <w14:solidFill>
              <w14:schemeClr w14:val="tx1"/>
            </w14:solidFill>
          </w14:textFill>
        </w:rPr>
        <w:t>（附件1）。</w:t>
      </w:r>
    </w:p>
    <w:p w14:paraId="32541E9C">
      <w:pPr>
        <w:keepNext w:val="0"/>
        <w:keepLines w:val="0"/>
        <w:pageBreakBefore w:val="0"/>
        <w:wordWrap/>
        <w:overflowPunct/>
        <w:topLinePunct w:val="0"/>
        <w:bidi w:val="0"/>
        <w:snapToGrid w:val="0"/>
        <w:spacing w:before="0" w:line="560" w:lineRule="exact"/>
        <w:ind w:right="48" w:firstLine="683"/>
        <w:jc w:val="both"/>
        <w:textAlignment w:val="baseline"/>
        <w:rPr>
          <w:rFonts w:hint="eastAsia" w:ascii="仿宋_GB2312" w:hAnsi="仿宋_GB2312" w:eastAsia="仿宋_GB2312" w:cs="仿宋_GB2312"/>
          <w:spacing w:val="15"/>
          <w:sz w:val="32"/>
          <w:szCs w:val="32"/>
          <w:lang w:eastAsia="zh-CN"/>
        </w:rPr>
      </w:pPr>
      <w:r>
        <w:rPr>
          <w:rFonts w:ascii="黑体" w:hAnsi="黑体" w:eastAsia="黑体" w:cs="黑体"/>
          <w:spacing w:val="15"/>
          <w:sz w:val="32"/>
          <w:szCs w:val="32"/>
        </w:rPr>
        <w:t>第</w:t>
      </w:r>
      <w:r>
        <w:rPr>
          <w:rFonts w:hint="eastAsia" w:ascii="黑体" w:hAnsi="黑体" w:eastAsia="黑体" w:cs="黑体"/>
          <w:spacing w:val="15"/>
          <w:sz w:val="32"/>
          <w:szCs w:val="32"/>
          <w:lang w:eastAsia="zh-CN"/>
        </w:rPr>
        <w:t>九</w:t>
      </w:r>
      <w:r>
        <w:rPr>
          <w:rFonts w:ascii="黑体" w:hAnsi="黑体" w:eastAsia="黑体" w:cs="黑体"/>
          <w:spacing w:val="15"/>
          <w:sz w:val="32"/>
          <w:szCs w:val="32"/>
        </w:rPr>
        <w:t>条</w:t>
      </w:r>
      <w:r>
        <w:rPr>
          <w:rFonts w:hint="eastAsia" w:ascii="黑体" w:hAnsi="黑体" w:eastAsia="黑体" w:cs="黑体"/>
          <w:spacing w:val="-13"/>
          <w:sz w:val="32"/>
          <w:szCs w:val="32"/>
          <w:lang w:val="en-US" w:eastAsia="zh-CN"/>
        </w:rPr>
        <w:t xml:space="preserve">  </w:t>
      </w:r>
      <w:r>
        <w:rPr>
          <w:rFonts w:hint="eastAsia" w:ascii="仿宋_GB2312" w:hAnsi="仿宋_GB2312" w:eastAsia="仿宋_GB2312" w:cs="仿宋_GB2312"/>
          <w:color w:val="000000" w:themeColor="text1"/>
          <w:spacing w:val="15"/>
          <w:sz w:val="32"/>
          <w:szCs w:val="32"/>
          <w14:textFill>
            <w14:solidFill>
              <w14:schemeClr w14:val="tx1"/>
            </w14:solidFill>
          </w14:textFill>
        </w:rPr>
        <w:t>机场、火车站、汽车站</w:t>
      </w:r>
      <w:r>
        <w:rPr>
          <w:rFonts w:hint="eastAsia" w:ascii="仿宋_GB2312" w:hAnsi="仿宋_GB2312" w:eastAsia="仿宋_GB2312" w:cs="仿宋_GB2312"/>
          <w:color w:val="000000" w:themeColor="text1"/>
          <w:spacing w:val="15"/>
          <w:sz w:val="32"/>
          <w:szCs w:val="32"/>
          <w:lang w:eastAsia="zh-CN"/>
          <w14:textFill>
            <w14:solidFill>
              <w14:schemeClr w14:val="tx1"/>
            </w14:solidFill>
          </w14:textFill>
        </w:rPr>
        <w:t>、码头</w:t>
      </w:r>
      <w:r>
        <w:rPr>
          <w:rFonts w:hint="eastAsia" w:ascii="仿宋_GB2312" w:hAnsi="仿宋_GB2312" w:eastAsia="仿宋_GB2312" w:cs="仿宋_GB2312"/>
          <w:spacing w:val="15"/>
          <w:sz w:val="32"/>
          <w:szCs w:val="32"/>
        </w:rPr>
        <w:t>等相对封闭的内部等候区，可设置一个零售点，不受单元网格规划数及总量规划数限制</w:t>
      </w:r>
      <w:r>
        <w:rPr>
          <w:rFonts w:hint="eastAsia" w:ascii="仿宋_GB2312" w:hAnsi="仿宋_GB2312" w:eastAsia="仿宋_GB2312" w:cs="仿宋_GB2312"/>
          <w:spacing w:val="15"/>
          <w:sz w:val="32"/>
          <w:szCs w:val="32"/>
          <w:lang w:eastAsia="zh-CN"/>
        </w:rPr>
        <w:t>。</w:t>
      </w:r>
    </w:p>
    <w:p w14:paraId="3B5E09F1">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ascii="黑体" w:hAnsi="黑体" w:eastAsia="黑体" w:cs="黑体"/>
          <w:spacing w:val="15"/>
          <w:sz w:val="32"/>
          <w:szCs w:val="32"/>
        </w:rPr>
        <w:t>第</w:t>
      </w:r>
      <w:r>
        <w:rPr>
          <w:rFonts w:hint="eastAsia" w:ascii="黑体" w:hAnsi="黑体" w:eastAsia="黑体" w:cs="黑体"/>
          <w:spacing w:val="15"/>
          <w:sz w:val="32"/>
          <w:szCs w:val="32"/>
          <w:lang w:eastAsia="zh-CN"/>
        </w:rPr>
        <w:t>十</w:t>
      </w:r>
      <w:r>
        <w:rPr>
          <w:rFonts w:ascii="黑体" w:hAnsi="黑体" w:eastAsia="黑体" w:cs="黑体"/>
          <w:spacing w:val="15"/>
          <w:sz w:val="32"/>
          <w:szCs w:val="32"/>
        </w:rPr>
        <w:t>条</w:t>
      </w:r>
      <w:r>
        <w:rPr>
          <w:rFonts w:hint="eastAsia" w:ascii="黑体" w:hAnsi="黑体" w:eastAsia="黑体" w:cs="黑体"/>
          <w:spacing w:val="-14"/>
          <w:sz w:val="32"/>
          <w:szCs w:val="32"/>
          <w:lang w:val="en-US" w:eastAsia="zh-CN"/>
        </w:rPr>
        <w:t xml:space="preserve">  </w:t>
      </w:r>
      <w:r>
        <w:rPr>
          <w:rFonts w:hint="eastAsia" w:ascii="仿宋_GB2312" w:hAnsi="仿宋_GB2312" w:eastAsia="仿宋_GB2312" w:cs="仿宋_GB2312"/>
          <w:spacing w:val="15"/>
          <w:sz w:val="32"/>
          <w:szCs w:val="32"/>
        </w:rPr>
        <w:t>部队、监狱、看守所、戒毒所等封闭式特殊区域，可设置一个零售点，不受单元网格规划数及总量规划数限制。</w:t>
      </w:r>
    </w:p>
    <w:p w14:paraId="41D6DEA2">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高速公路单侧加油站（含服务区）,可设置一个零售</w:t>
      </w:r>
      <w:r>
        <w:rPr>
          <w:rFonts w:hint="eastAsia" w:ascii="仿宋_GB2312" w:hAnsi="仿宋_GB2312" w:eastAsia="仿宋_GB2312" w:cs="仿宋_GB2312"/>
          <w:spacing w:val="15"/>
          <w:sz w:val="32"/>
          <w:szCs w:val="32"/>
          <w:lang w:eastAsia="zh-CN"/>
        </w:rPr>
        <w:t>点，</w:t>
      </w:r>
      <w:r>
        <w:rPr>
          <w:rFonts w:hint="eastAsia" w:ascii="仿宋_GB2312" w:hAnsi="仿宋_GB2312" w:eastAsia="仿宋_GB2312" w:cs="仿宋_GB2312"/>
          <w:spacing w:val="15"/>
          <w:sz w:val="32"/>
          <w:szCs w:val="32"/>
        </w:rPr>
        <w:t>不受单元网格规划数及总量规划数限制。</w:t>
      </w:r>
    </w:p>
    <w:p w14:paraId="285EAD25">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0000FF"/>
          <w:sz w:val="32"/>
          <w:szCs w:val="32"/>
          <w:lang w:val="en-US" w:eastAsia="zh-CN"/>
        </w:rPr>
      </w:pPr>
      <w:r>
        <w:rPr>
          <w:rFonts w:hint="eastAsia" w:ascii="黑体" w:hAnsi="黑体" w:eastAsia="黑体" w:cs="黑体"/>
          <w:spacing w:val="15"/>
          <w:sz w:val="32"/>
          <w:szCs w:val="32"/>
          <w:lang w:eastAsia="zh-CN"/>
        </w:rPr>
        <w:t>第十一条</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color w:val="0000FF"/>
          <w:sz w:val="32"/>
          <w:szCs w:val="32"/>
          <w:lang w:val="en-US" w:eastAsia="zh-CN"/>
        </w:rPr>
        <w:t>以下情形，可不受区域单元网格规划数量、距离限制，单独设置一个零售点。</w:t>
      </w:r>
    </w:p>
    <w:p w14:paraId="55A2DE31">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（一）经营场所经营面积（不包括仓库、车库、休息室、办公场所等辅助设施面积）达到200平方米以上的商场、超市、便利店或烟草专业店。</w:t>
      </w:r>
    </w:p>
    <w:p w14:paraId="0C5D60F1">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（二）商用办公楼宇公共楼层已形成实际商品展卖场所的，每栋楼宇可设置一个零售点，非公共楼层不予设置零售点。</w:t>
      </w:r>
    </w:p>
    <w:p w14:paraId="47B5DDB6">
      <w:pPr>
        <w:keepNext w:val="0"/>
        <w:keepLines w:val="0"/>
        <w:pageBreakBefore w:val="0"/>
        <w:wordWrap/>
        <w:overflowPunct/>
        <w:topLinePunct w:val="0"/>
        <w:bidi w:val="0"/>
        <w:snapToGrid w:val="0"/>
        <w:spacing w:before="0" w:line="560" w:lineRule="exact"/>
        <w:ind w:left="6" w:right="101" w:firstLine="648"/>
        <w:jc w:val="both"/>
        <w:textAlignment w:val="baseline"/>
        <w:rPr>
          <w:rFonts w:hint="default" w:ascii="仿宋_GB2312" w:hAnsi="仿宋_GB2312" w:eastAsia="仿宋_GB2312" w:cs="仿宋_GB2312"/>
          <w:color w:val="000000" w:themeColor="text1"/>
          <w:spacing w:val="15"/>
          <w:sz w:val="32"/>
          <w:szCs w:val="32"/>
          <w:lang w:val="en-US" w:eastAsia="zh-CN"/>
          <w14:textFill>
            <w14:solidFill>
              <w14:schemeClr w14:val="tx1"/>
            </w14:solidFill>
          </w14:textFill>
        </w:rPr>
      </w:pPr>
      <w:r>
        <w:rPr>
          <w:rFonts w:hint="eastAsia" w:ascii="黑体" w:hAnsi="黑体" w:eastAsia="黑体" w:cs="黑体"/>
          <w:spacing w:val="15"/>
          <w:sz w:val="32"/>
          <w:szCs w:val="32"/>
        </w:rPr>
        <w:t>第十</w:t>
      </w:r>
      <w:r>
        <w:rPr>
          <w:rFonts w:hint="eastAsia" w:ascii="黑体" w:hAnsi="黑体" w:eastAsia="黑体" w:cs="黑体"/>
          <w:spacing w:val="15"/>
          <w:sz w:val="32"/>
          <w:szCs w:val="32"/>
          <w:lang w:eastAsia="zh-CN"/>
        </w:rPr>
        <w:t>二</w:t>
      </w:r>
      <w:r>
        <w:rPr>
          <w:rFonts w:hint="eastAsia" w:ascii="黑体" w:hAnsi="黑体" w:eastAsia="黑体" w:cs="黑体"/>
          <w:spacing w:val="15"/>
          <w:sz w:val="32"/>
          <w:szCs w:val="32"/>
        </w:rPr>
        <w:t>条</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spacing w:val="15"/>
          <w:sz w:val="32"/>
          <w:szCs w:val="32"/>
        </w:rPr>
        <w:t>红塔区零售点合理布局规划数及规划区域、单元网格等情况详见《云南省红塔区烟草制品零售点合理布局公示表》（附件2）及《云南省</w:t>
      </w:r>
      <w:r>
        <w:rPr>
          <w:rFonts w:hint="eastAsia" w:ascii="仿宋_GB2312" w:hAnsi="仿宋_GB2312" w:eastAsia="仿宋_GB2312" w:cs="仿宋_GB2312"/>
          <w:color w:val="000000" w:themeColor="text1"/>
          <w:spacing w:val="15"/>
          <w:sz w:val="32"/>
          <w:szCs w:val="32"/>
          <w14:textFill>
            <w14:solidFill>
              <w14:schemeClr w14:val="tx1"/>
            </w14:solidFill>
          </w14:textFill>
        </w:rPr>
        <w:t>红塔区烟草制品零售点合理布局网格示意图》（附件3）。</w:t>
      </w:r>
    </w:p>
    <w:p w14:paraId="6967C257">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jc w:val="center"/>
        <w:textAlignment w:val="baseline"/>
        <w:rPr>
          <w:rFonts w:hint="eastAsia" w:ascii="黑体" w:hAnsi="黑体" w:eastAsia="黑体" w:cs="黑体"/>
          <w:snapToGrid w:val="0"/>
          <w:color w:val="000000" w:themeColor="text1"/>
          <w:spacing w:val="15"/>
          <w:kern w:val="0"/>
          <w:sz w:val="32"/>
          <w:szCs w:val="32"/>
          <w:lang w:val="en-US" w:eastAsia="zh-CN" w:bidi="ar-SA"/>
          <w14:textFill>
            <w14:solidFill>
              <w14:schemeClr w14:val="tx1"/>
            </w14:solidFill>
          </w14:textFill>
        </w:rPr>
      </w:pPr>
    </w:p>
    <w:p w14:paraId="025A4CA9">
      <w:pPr>
        <w:pStyle w:val="6"/>
        <w:keepNext w:val="0"/>
        <w:keepLines w:val="0"/>
        <w:pageBreakBefore w:val="0"/>
        <w:widowControl w:val="0"/>
        <w:numPr>
          <w:ilvl w:val="0"/>
          <w:numId w:val="0"/>
        </w:numPr>
        <w:kinsoku/>
        <w:wordWrap/>
        <w:overflowPunct/>
        <w:topLinePunct w:val="0"/>
        <w:autoSpaceDE/>
        <w:autoSpaceDN/>
        <w:bidi w:val="0"/>
        <w:adjustRightInd/>
        <w:snapToGrid w:val="0"/>
        <w:spacing w:before="0" w:after="0" w:line="560" w:lineRule="exact"/>
        <w:jc w:val="center"/>
        <w:textAlignment w:val="baseline"/>
        <w:rPr>
          <w:rFonts w:hint="eastAsia"/>
          <w:color w:val="000000" w:themeColor="text1"/>
          <w:sz w:val="32"/>
          <w:szCs w:val="32"/>
          <w:lang w:val="en-US" w:eastAsia="zh-CN"/>
          <w14:textFill>
            <w14:solidFill>
              <w14:schemeClr w14:val="tx1"/>
            </w14:solidFill>
          </w14:textFill>
        </w:rPr>
      </w:pPr>
      <w:r>
        <w:rPr>
          <w:rFonts w:hint="eastAsia" w:ascii="黑体" w:hAnsi="黑体" w:eastAsia="黑体" w:cs="黑体"/>
          <w:snapToGrid w:val="0"/>
          <w:color w:val="000000" w:themeColor="text1"/>
          <w:spacing w:val="15"/>
          <w:kern w:val="0"/>
          <w:sz w:val="32"/>
          <w:szCs w:val="32"/>
          <w:lang w:val="en-US" w:eastAsia="zh-CN" w:bidi="ar-SA"/>
          <w14:textFill>
            <w14:solidFill>
              <w14:schemeClr w14:val="tx1"/>
            </w14:solidFill>
          </w14:textFill>
        </w:rPr>
        <w:t>第三章  雪茄烟专营零售点布局标准</w:t>
      </w:r>
    </w:p>
    <w:p w14:paraId="54B10CE3">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000000" w:themeColor="text1"/>
          <w:spacing w:val="15"/>
          <w:sz w:val="32"/>
          <w:szCs w:val="32"/>
          <w14:textFill>
            <w14:solidFill>
              <w14:schemeClr w14:val="tx1"/>
            </w14:solidFill>
          </w14:textFill>
        </w:rPr>
      </w:pPr>
      <w:r>
        <w:rPr>
          <w:rFonts w:hint="eastAsia" w:ascii="黑体" w:hAnsi="黑体" w:eastAsia="黑体" w:cs="黑体"/>
          <w:color w:val="000000" w:themeColor="text1"/>
          <w:spacing w:val="15"/>
          <w:sz w:val="32"/>
          <w:szCs w:val="32"/>
          <w:lang w:eastAsia="zh-CN"/>
          <w14:textFill>
            <w14:solidFill>
              <w14:schemeClr w14:val="tx1"/>
            </w14:solidFill>
          </w14:textFill>
        </w:rPr>
        <w:t>第十三条</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15"/>
          <w:sz w:val="32"/>
          <w:szCs w:val="32"/>
          <w14:textFill>
            <w14:solidFill>
              <w14:schemeClr w14:val="tx1"/>
            </w14:solidFill>
          </w14:textFill>
        </w:rPr>
        <w:t>本章适用于</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经营范围仅为“</w:t>
      </w:r>
      <w:r>
        <w:rPr>
          <w:rFonts w:hint="eastAsia" w:ascii="仿宋_GB2312" w:hAnsi="仿宋_GB2312" w:eastAsia="仿宋_GB2312" w:cs="仿宋_GB2312"/>
          <w:color w:val="000000" w:themeColor="text1"/>
          <w:spacing w:val="15"/>
          <w:sz w:val="32"/>
          <w:szCs w:val="32"/>
          <w14:textFill>
            <w14:solidFill>
              <w14:schemeClr w14:val="tx1"/>
            </w14:solidFill>
          </w14:textFill>
        </w:rPr>
        <w:t>雪茄烟</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本店零售”的零售点布局管理</w:t>
      </w:r>
      <w:r>
        <w:rPr>
          <w:rFonts w:hint="eastAsia" w:ascii="仿宋_GB2312" w:hAnsi="仿宋_GB2312" w:eastAsia="仿宋_GB2312" w:cs="仿宋_GB2312"/>
          <w:color w:val="000000" w:themeColor="text1"/>
          <w:spacing w:val="15"/>
          <w:sz w:val="32"/>
          <w:szCs w:val="32"/>
          <w14:textFill>
            <w14:solidFill>
              <w14:schemeClr w14:val="tx1"/>
            </w14:solidFill>
          </w14:textFill>
        </w:rPr>
        <w:t>。</w:t>
      </w:r>
    </w:p>
    <w:p w14:paraId="2A3A4D94">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000000" w:themeColor="text1"/>
          <w:spacing w:val="15"/>
          <w:sz w:val="32"/>
          <w:szCs w:val="32"/>
          <w14:textFill>
            <w14:solidFill>
              <w14:schemeClr w14:val="tx1"/>
            </w14:solidFill>
          </w14:textFill>
        </w:rPr>
      </w:pPr>
      <w:r>
        <w:rPr>
          <w:rFonts w:hint="eastAsia" w:ascii="黑体" w:hAnsi="黑体" w:eastAsia="黑体" w:cs="黑体"/>
          <w:color w:val="000000" w:themeColor="text1"/>
          <w:spacing w:val="15"/>
          <w:sz w:val="32"/>
          <w:szCs w:val="32"/>
          <w:lang w:eastAsia="zh-CN"/>
          <w14:textFill>
            <w14:solidFill>
              <w14:schemeClr w14:val="tx1"/>
            </w14:solidFill>
          </w14:textFill>
        </w:rPr>
        <w:t>第十四条</w:t>
      </w:r>
      <w:r>
        <w:rPr>
          <w:rFonts w:hint="eastAsia" w:ascii="黑体" w:hAnsi="黑体" w:eastAsia="黑体" w:cs="黑体"/>
          <w:color w:val="000000" w:themeColor="text1"/>
          <w:spacing w:val="15"/>
          <w:sz w:val="32"/>
          <w:szCs w:val="32"/>
          <w:lang w:val="en-US" w:eastAsia="zh-CN"/>
          <w14:textFill>
            <w14:solidFill>
              <w14:schemeClr w14:val="tx1"/>
            </w14:solidFill>
          </w14:textFill>
        </w:rPr>
        <w:t xml:space="preserve"> </w:t>
      </w:r>
      <w:r>
        <w:rPr>
          <w:rFonts w:hint="eastAsia" w:ascii="方正仿宋_GB2312" w:hAnsi="方正仿宋_GB2312" w:eastAsia="方正仿宋_GB2312" w:cs="方正仿宋_GB2312"/>
          <w:color w:val="000000" w:themeColor="text1"/>
          <w:spacing w:val="1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15"/>
          <w:sz w:val="32"/>
          <w:szCs w:val="32"/>
          <w14:textFill>
            <w14:solidFill>
              <w14:schemeClr w14:val="tx1"/>
            </w14:solidFill>
          </w14:textFill>
        </w:rPr>
        <w:t>雪茄烟专营零售点数量实行总量控制、动态调整模式，</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且不受其他烟草制品（含电子烟）零售点距离限制，</w:t>
      </w:r>
      <w:r>
        <w:rPr>
          <w:rFonts w:hint="eastAsia" w:ascii="仿宋_GB2312" w:hAnsi="仿宋_GB2312" w:eastAsia="仿宋_GB2312" w:cs="仿宋_GB2312"/>
          <w:color w:val="000000" w:themeColor="text1"/>
          <w:spacing w:val="15"/>
          <w:sz w:val="32"/>
          <w:szCs w:val="32"/>
          <w14:textFill>
            <w14:solidFill>
              <w14:schemeClr w14:val="tx1"/>
            </w14:solidFill>
          </w14:textFill>
        </w:rPr>
        <w:t>规划数详见《云南省</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红塔区</w:t>
      </w:r>
      <w:r>
        <w:rPr>
          <w:rFonts w:hint="eastAsia" w:ascii="仿宋_GB2312" w:hAnsi="仿宋_GB2312" w:eastAsia="仿宋_GB2312" w:cs="仿宋_GB2312"/>
          <w:color w:val="000000" w:themeColor="text1"/>
          <w:spacing w:val="15"/>
          <w:sz w:val="32"/>
          <w:szCs w:val="32"/>
          <w14:textFill>
            <w14:solidFill>
              <w14:schemeClr w14:val="tx1"/>
            </w14:solidFill>
          </w14:textFill>
        </w:rPr>
        <w:t>雪茄烟专营零售点合理布局公示表》</w:t>
      </w:r>
      <w:r>
        <w:rPr>
          <w:rFonts w:hint="eastAsia" w:ascii="仿宋_GB2312" w:hAnsi="仿宋_GB2312" w:eastAsia="仿宋_GB2312" w:cs="仿宋_GB2312"/>
          <w:color w:val="000000" w:themeColor="text1"/>
          <w:spacing w:val="15"/>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附件4</w:t>
      </w:r>
      <w:r>
        <w:rPr>
          <w:rFonts w:hint="eastAsia" w:ascii="仿宋_GB2312" w:hAnsi="仿宋_GB2312" w:eastAsia="仿宋_GB2312" w:cs="仿宋_GB2312"/>
          <w:color w:val="000000" w:themeColor="text1"/>
          <w:spacing w:val="15"/>
          <w:sz w:val="32"/>
          <w:szCs w:val="32"/>
          <w:lang w:eastAsia="zh-CN"/>
          <w14:textFill>
            <w14:solidFill>
              <w14:schemeClr w14:val="tx1"/>
            </w14:solidFill>
          </w14:textFill>
        </w:rPr>
        <w:t>）</w:t>
      </w:r>
      <w:r>
        <w:rPr>
          <w:rFonts w:hint="eastAsia" w:ascii="仿宋_GB2312" w:hAnsi="仿宋_GB2312" w:eastAsia="仿宋_GB2312" w:cs="仿宋_GB2312"/>
          <w:color w:val="000000" w:themeColor="text1"/>
          <w:spacing w:val="15"/>
          <w:sz w:val="32"/>
          <w:szCs w:val="32"/>
          <w14:textFill>
            <w14:solidFill>
              <w14:schemeClr w14:val="tx1"/>
            </w14:solidFill>
          </w14:textFill>
        </w:rPr>
        <w:t>。</w:t>
      </w:r>
    </w:p>
    <w:p w14:paraId="0075F93E">
      <w:pPr>
        <w:keepNext w:val="0"/>
        <w:keepLines w:val="0"/>
        <w:pageBreakBefore w:val="0"/>
        <w:widowControl/>
        <w:kinsoku w:val="0"/>
        <w:wordWrap/>
        <w:overflowPunct/>
        <w:topLinePunct w:val="0"/>
        <w:autoSpaceDE w:val="0"/>
        <w:autoSpaceDN w:val="0"/>
        <w:bidi w:val="0"/>
        <w:adjustRightInd w:val="0"/>
        <w:snapToGrid w:val="0"/>
        <w:spacing w:before="0" w:line="560" w:lineRule="exact"/>
        <w:ind w:right="40" w:firstLine="700" w:firstLineChars="200"/>
        <w:jc w:val="both"/>
        <w:textAlignment w:val="baseline"/>
        <w:rPr>
          <w:rFonts w:hint="eastAsia" w:ascii="仿宋_GB2312" w:hAnsi="仿宋_GB2312" w:eastAsia="仿宋_GB2312" w:cs="仿宋_GB2312"/>
          <w:color w:val="000000" w:themeColor="text1"/>
          <w:spacing w:val="15"/>
          <w:sz w:val="32"/>
          <w:szCs w:val="32"/>
          <w14:textFill>
            <w14:solidFill>
              <w14:schemeClr w14:val="tx1"/>
            </w14:solidFill>
          </w14:textFill>
        </w:rPr>
      </w:pPr>
      <w:r>
        <w:rPr>
          <w:rFonts w:hint="eastAsia" w:ascii="黑体" w:hAnsi="黑体" w:eastAsia="黑体" w:cs="黑体"/>
          <w:color w:val="000000" w:themeColor="text1"/>
          <w:spacing w:val="15"/>
          <w:sz w:val="32"/>
          <w:szCs w:val="32"/>
          <w:lang w:eastAsia="zh-CN"/>
          <w14:textFill>
            <w14:solidFill>
              <w14:schemeClr w14:val="tx1"/>
            </w14:solidFill>
          </w14:textFill>
        </w:rPr>
        <w:t>第十五条</w:t>
      </w: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15"/>
          <w:sz w:val="32"/>
          <w:szCs w:val="32"/>
          <w14:textFill>
            <w14:solidFill>
              <w14:schemeClr w14:val="tx1"/>
            </w14:solidFill>
          </w14:textFill>
        </w:rPr>
        <w:t>取得雪茄烟本店零售许可的经营主体如需变更烟草专卖零售许可相关事项的，必须满足本规划</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及《云南省电子烟零售点布局规划》</w:t>
      </w:r>
      <w:r>
        <w:rPr>
          <w:rFonts w:hint="eastAsia" w:ascii="仿宋_GB2312" w:hAnsi="仿宋_GB2312" w:eastAsia="仿宋_GB2312" w:cs="仿宋_GB2312"/>
          <w:color w:val="000000" w:themeColor="text1"/>
          <w:spacing w:val="15"/>
          <w:sz w:val="32"/>
          <w:szCs w:val="32"/>
          <w14:textFill>
            <w14:solidFill>
              <w14:schemeClr w14:val="tx1"/>
            </w14:solidFill>
          </w14:textFill>
        </w:rPr>
        <w:t>相关条件并按照有关规定办理。</w:t>
      </w:r>
    </w:p>
    <w:p w14:paraId="50EA74CE">
      <w:pPr>
        <w:keepNext w:val="0"/>
        <w:keepLines w:val="0"/>
        <w:pageBreakBefore w:val="0"/>
        <w:wordWrap/>
        <w:overflowPunct/>
        <w:topLinePunct w:val="0"/>
        <w:bidi w:val="0"/>
        <w:snapToGrid w:val="0"/>
        <w:spacing w:before="0" w:line="560" w:lineRule="exact"/>
        <w:ind w:right="38" w:firstLine="640" w:firstLineChars="200"/>
        <w:jc w:val="both"/>
        <w:textAlignment w:val="baseline"/>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pPr>
    </w:p>
    <w:p w14:paraId="3E69258E">
      <w:pPr>
        <w:keepNext w:val="0"/>
        <w:keepLines w:val="0"/>
        <w:pageBreakBefore w:val="0"/>
        <w:wordWrap/>
        <w:overflowPunct/>
        <w:topLinePunct w:val="0"/>
        <w:bidi w:val="0"/>
        <w:snapToGrid w:val="0"/>
        <w:spacing w:before="0" w:line="560" w:lineRule="exact"/>
        <w:ind w:right="38" w:firstLine="640" w:firstLineChars="200"/>
        <w:jc w:val="both"/>
        <w:textAlignment w:val="baseline"/>
        <w:rPr>
          <w:rFonts w:hint="default" w:ascii="黑体" w:hAnsi="黑体" w:eastAsia="黑体" w:cs="黑体"/>
          <w:color w:val="FF0000"/>
          <w:spacing w:val="15"/>
          <w:sz w:val="32"/>
          <w:szCs w:val="32"/>
          <w:lang w:val="en-US" w:eastAsia="zh-CN"/>
        </w:rPr>
      </w:pPr>
      <w:r>
        <w:rPr>
          <w:rFonts w:hint="eastAsia" w:ascii="方正仿宋_GB2312" w:hAnsi="方正仿宋_GB2312" w:eastAsia="方正仿宋_GB2312" w:cs="方正仿宋_GB2312"/>
          <w:color w:val="000000" w:themeColor="text1"/>
          <w:sz w:val="32"/>
          <w:szCs w:val="32"/>
          <w:lang w:val="en-US" w:eastAsia="zh-CN"/>
          <w14:textFill>
            <w14:solidFill>
              <w14:schemeClr w14:val="tx1"/>
            </w14:solidFill>
          </w14:textFill>
        </w:rPr>
        <w:t xml:space="preserve">            </w:t>
      </w:r>
      <w:r>
        <w:rPr>
          <w:rFonts w:hint="eastAsia" w:ascii="黑体" w:hAnsi="黑体" w:eastAsia="黑体" w:cs="黑体"/>
          <w:color w:val="000000" w:themeColor="text1"/>
          <w:spacing w:val="15"/>
          <w:sz w:val="32"/>
          <w:szCs w:val="32"/>
          <w:lang w:val="en-US" w:eastAsia="zh-CN"/>
          <w14:textFill>
            <w14:solidFill>
              <w14:schemeClr w14:val="tx1"/>
            </w14:solidFill>
          </w14:textFill>
        </w:rPr>
        <w:t>第四章  放宽及限制情形</w:t>
      </w:r>
    </w:p>
    <w:p w14:paraId="04F72B73">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0" w:firstLineChars="200"/>
        <w:jc w:val="both"/>
        <w:textAlignment w:val="baseline"/>
        <w:rPr>
          <w:rFonts w:hint="eastAsia" w:ascii="仿宋_GB2312" w:hAnsi="仿宋_GB2312" w:eastAsia="仿宋_GB2312" w:cs="仿宋_GB2312"/>
          <w:sz w:val="32"/>
          <w:szCs w:val="32"/>
        </w:rPr>
      </w:pPr>
      <w:r>
        <w:rPr>
          <w:rFonts w:ascii="黑体" w:hAnsi="黑体" w:eastAsia="黑体" w:cs="黑体"/>
          <w:spacing w:val="15"/>
          <w:sz w:val="32"/>
          <w:szCs w:val="32"/>
        </w:rPr>
        <w:t>第十</w:t>
      </w:r>
      <w:r>
        <w:rPr>
          <w:rFonts w:hint="eastAsia" w:ascii="黑体" w:hAnsi="黑体" w:eastAsia="黑体" w:cs="黑体"/>
          <w:spacing w:val="15"/>
          <w:sz w:val="32"/>
          <w:szCs w:val="32"/>
          <w:lang w:eastAsia="zh-CN"/>
        </w:rPr>
        <w:t>六</w:t>
      </w:r>
      <w:r>
        <w:rPr>
          <w:rFonts w:ascii="黑体" w:hAnsi="黑体" w:eastAsia="黑体" w:cs="黑体"/>
          <w:spacing w:val="15"/>
          <w:sz w:val="32"/>
          <w:szCs w:val="32"/>
        </w:rPr>
        <w:t>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spacing w:val="-1"/>
          <w:sz w:val="32"/>
          <w:szCs w:val="32"/>
        </w:rPr>
        <w:t>具有下列情形之一的，不予发放烟草专卖</w:t>
      </w:r>
      <w:r>
        <w:rPr>
          <w:rFonts w:hint="eastAsia" w:ascii="仿宋_GB2312" w:hAnsi="仿宋_GB2312" w:eastAsia="仿宋_GB2312" w:cs="仿宋_GB2312"/>
          <w:spacing w:val="19"/>
          <w:sz w:val="32"/>
          <w:szCs w:val="32"/>
        </w:rPr>
        <w:t>零售许可证：</w:t>
      </w:r>
    </w:p>
    <w:p w14:paraId="12AD91A5">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44"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6"/>
          <w:sz w:val="32"/>
          <w:szCs w:val="32"/>
        </w:rPr>
        <w:t>（一）申请人为无民事行为能力人或者限制民事行为能</w:t>
      </w:r>
      <w:r>
        <w:rPr>
          <w:rFonts w:hint="eastAsia" w:ascii="仿宋_GB2312" w:hAnsi="仿宋_GB2312" w:eastAsia="仿宋_GB2312" w:cs="仿宋_GB2312"/>
          <w:spacing w:val="25"/>
          <w:sz w:val="32"/>
          <w:szCs w:val="32"/>
        </w:rPr>
        <w:t>力人</w:t>
      </w:r>
      <w:r>
        <w:rPr>
          <w:rFonts w:hint="eastAsia" w:ascii="仿宋_GB2312" w:hAnsi="仿宋_GB2312" w:eastAsia="仿宋_GB2312" w:cs="仿宋_GB2312"/>
          <w:spacing w:val="4"/>
          <w:sz w:val="32"/>
          <w:szCs w:val="32"/>
        </w:rPr>
        <w:t>的;</w:t>
      </w:r>
    </w:p>
    <w:p w14:paraId="2F5D6806">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4"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6"/>
          <w:sz w:val="32"/>
          <w:szCs w:val="32"/>
        </w:rPr>
        <w:t>（二）申请人隐瞒有关情况或提供虚假材料的；因隐瞒有关情况或者提供虚假材料，烟草专卖局作出不予受理或者不予</w:t>
      </w:r>
      <w:r>
        <w:rPr>
          <w:rFonts w:hint="eastAsia" w:ascii="仿宋_GB2312" w:hAnsi="仿宋_GB2312" w:eastAsia="仿宋_GB2312" w:cs="仿宋_GB2312"/>
          <w:spacing w:val="18"/>
          <w:sz w:val="32"/>
          <w:szCs w:val="32"/>
        </w:rPr>
        <w:t>发证决定后，申请人一年内再次提出申请的;</w:t>
      </w:r>
    </w:p>
    <w:p w14:paraId="0FDF316B">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4" w:firstLineChars="200"/>
        <w:jc w:val="both"/>
        <w:textAlignment w:val="baseline"/>
        <w:rPr>
          <w:rFonts w:hint="eastAsia" w:ascii="仿宋_GB2312" w:hAnsi="仿宋_GB2312" w:eastAsia="仿宋_GB2312" w:cs="仿宋_GB2312"/>
          <w:spacing w:val="-1"/>
          <w:sz w:val="32"/>
          <w:szCs w:val="32"/>
        </w:rPr>
      </w:pPr>
      <w:r>
        <w:rPr>
          <w:rFonts w:ascii="FangSong_GB2312" w:hAnsi="FangSong_GB2312" w:eastAsia="FangSong_GB2312" w:cs="FangSong_GB2312"/>
          <w:spacing w:val="16"/>
          <w:sz w:val="32"/>
          <w:szCs w:val="32"/>
        </w:rPr>
        <w:t>（三）</w:t>
      </w:r>
      <w:r>
        <w:rPr>
          <w:rFonts w:hint="eastAsia" w:ascii="仿宋_GB2312" w:hAnsi="仿宋_GB2312" w:eastAsia="仿宋_GB2312" w:cs="仿宋_GB2312"/>
          <w:spacing w:val="-1"/>
          <w:sz w:val="32"/>
          <w:szCs w:val="32"/>
        </w:rPr>
        <w:t>被取消从事烟草专卖业务资格不满三年的；未领取烟草专卖零售许可证经营烟草专卖品业务，并且一年内被执法机关处罚两次以上，在三年内申请领取烟草专卖零售许可证的</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rPr>
        <w:t>因未领取烟草专卖零售许可证经营烟草专卖品业务被追究刑事责任，在三年内申请领取烟草专卖零售许可证的;</w:t>
      </w:r>
    </w:p>
    <w:p w14:paraId="044EA9FB">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15"/>
          <w:sz w:val="32"/>
          <w:szCs w:val="32"/>
          <w14:textFill>
            <w14:solidFill>
              <w14:schemeClr w14:val="tx1"/>
            </w14:solidFill>
          </w14:textFill>
        </w:rPr>
        <w:t>（四）外商投资的商业企业或者个体工商户，但有外资成分以提供住宿、餐饮、休闲、娱乐为主要经营的宾馆、酒店等属于娱乐服务类的企业除外;</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 xml:space="preserve"> </w:t>
      </w:r>
    </w:p>
    <w:p w14:paraId="2881DF88">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color w:val="000000" w:themeColor="text1"/>
          <w:spacing w:val="15"/>
          <w:sz w:val="32"/>
          <w:szCs w:val="32"/>
          <w14:textFill>
            <w14:solidFill>
              <w14:schemeClr w14:val="tx1"/>
            </w14:solidFill>
          </w14:textFill>
        </w:rPr>
        <w:t>（五）无固定经营场所的：包括但不限于流动的摊、点、车、棚、简易板房、活动板房、临时占</w:t>
      </w:r>
      <w:r>
        <w:rPr>
          <w:rFonts w:hint="eastAsia" w:ascii="仿宋_GB2312" w:hAnsi="仿宋_GB2312" w:eastAsia="仿宋_GB2312" w:cs="仿宋_GB2312"/>
          <w:spacing w:val="-1"/>
          <w:sz w:val="32"/>
          <w:szCs w:val="32"/>
        </w:rPr>
        <w:t>道的建筑等；</w:t>
      </w:r>
    </w:p>
    <w:p w14:paraId="21666587">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（六）经营场所与住所不相独立的：包括但不限于经营场所为住所可连通通行的客厅、餐厅、卧室、阳台、地下室、车库、储藏室等或居民楼内公用</w:t>
      </w:r>
      <w:r>
        <w:rPr>
          <w:rFonts w:hint="eastAsia" w:ascii="仿宋_GB2312" w:hAnsi="仿宋_GB2312" w:eastAsia="仿宋_GB2312" w:cs="仿宋_GB2312"/>
          <w:spacing w:val="-1"/>
          <w:sz w:val="32"/>
          <w:szCs w:val="32"/>
          <w:lang w:eastAsia="zh-CN"/>
        </w:rPr>
        <w:t>通</w:t>
      </w:r>
      <w:r>
        <w:rPr>
          <w:rFonts w:hint="eastAsia" w:ascii="仿宋_GB2312" w:hAnsi="仿宋_GB2312" w:eastAsia="仿宋_GB2312" w:cs="仿宋_GB2312"/>
          <w:spacing w:val="-1"/>
          <w:sz w:val="32"/>
          <w:szCs w:val="32"/>
        </w:rPr>
        <w:t>道、楼梯间等；</w:t>
      </w:r>
    </w:p>
    <w:p w14:paraId="5CC37516">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（七）经营场所已经办理了仍在有效期内的烟草专卖零售许可证的;经营场所位于党政机关内部的;经营场所基于安全因素不适宜经营卷烟的；</w:t>
      </w:r>
    </w:p>
    <w:p w14:paraId="05EB4E4B">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（八）中小学、幼儿园学生正常出入的校门口（含通</w:t>
      </w:r>
      <w:r>
        <w:rPr>
          <w:rFonts w:hint="eastAsia" w:ascii="仿宋_GB2312" w:hAnsi="仿宋_GB2312" w:eastAsia="仿宋_GB2312" w:cs="仿宋_GB2312"/>
          <w:spacing w:val="-1"/>
          <w:sz w:val="32"/>
          <w:szCs w:val="32"/>
          <w:lang w:eastAsia="zh-CN"/>
        </w:rPr>
        <w:t>道）</w:t>
      </w:r>
      <w:r>
        <w:rPr>
          <w:rFonts w:hint="eastAsia" w:ascii="仿宋_GB2312" w:hAnsi="仿宋_GB2312" w:eastAsia="仿宋_GB2312" w:cs="仿宋_GB2312"/>
          <w:spacing w:val="-1"/>
          <w:sz w:val="32"/>
          <w:szCs w:val="32"/>
        </w:rPr>
        <w:t>一百米以内；</w:t>
      </w:r>
    </w:p>
    <w:p w14:paraId="5A31B475">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（九）利用自动售货机或者其他自动售货形式，销售或者变相销售烟草制品的，或者通过信息网络销售烟草专卖品的;</w:t>
      </w:r>
    </w:p>
    <w:p w14:paraId="419ED8FB">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0" w:firstLineChars="200"/>
        <w:jc w:val="both"/>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color w:val="0000FF"/>
          <w:spacing w:val="15"/>
          <w:sz w:val="32"/>
          <w:szCs w:val="32"/>
          <w:lang w:eastAsia="zh-CN"/>
        </w:rPr>
        <w:t>（十）经营业态存在容易诱导未成年人关注、购买、吸食卷烟或其他不利于未成年人保护的；</w:t>
      </w:r>
    </w:p>
    <w:p w14:paraId="6F2161C9">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636" w:firstLineChars="200"/>
        <w:jc w:val="both"/>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lang w:eastAsia="zh-CN"/>
        </w:rPr>
        <w:t>（十一）法律、法规、规章、规范性文件等规定的其他不予许可的情形。</w:t>
      </w:r>
    </w:p>
    <w:p w14:paraId="51428E6D">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ascii="黑体" w:hAnsi="黑体" w:eastAsia="黑体" w:cs="黑体"/>
          <w:spacing w:val="15"/>
          <w:sz w:val="32"/>
          <w:szCs w:val="32"/>
        </w:rPr>
        <w:t>第十</w:t>
      </w:r>
      <w:r>
        <w:rPr>
          <w:rFonts w:hint="eastAsia" w:ascii="黑体" w:hAnsi="黑体" w:eastAsia="黑体" w:cs="黑体"/>
          <w:spacing w:val="15"/>
          <w:sz w:val="32"/>
          <w:szCs w:val="32"/>
          <w:lang w:eastAsia="zh-CN"/>
        </w:rPr>
        <w:t>七</w:t>
      </w:r>
      <w:r>
        <w:rPr>
          <w:rFonts w:ascii="黑体" w:hAnsi="黑体" w:eastAsia="黑体" w:cs="黑体"/>
          <w:spacing w:val="15"/>
          <w:sz w:val="32"/>
          <w:szCs w:val="32"/>
        </w:rPr>
        <w:t>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spacing w:val="15"/>
          <w:sz w:val="32"/>
          <w:szCs w:val="32"/>
        </w:rPr>
        <w:t>优抚对象、社会弱势群体等特殊群体申请烟草专卖零售许可证的，受所在单元网格规划数限制，零售点间距可放宽至本单元网格间距标准的</w:t>
      </w:r>
      <w:r>
        <w:rPr>
          <w:rFonts w:hint="eastAsia" w:ascii="仿宋_GB2312" w:hAnsi="仿宋_GB2312" w:eastAsia="仿宋_GB2312" w:cs="仿宋_GB2312"/>
          <w:spacing w:val="15"/>
          <w:sz w:val="32"/>
          <w:szCs w:val="32"/>
          <w:lang w:val="en-US" w:eastAsia="zh-CN"/>
        </w:rPr>
        <w:t>80%</w:t>
      </w:r>
      <w:r>
        <w:rPr>
          <w:rFonts w:hint="eastAsia" w:ascii="仿宋_GB2312" w:hAnsi="仿宋_GB2312" w:eastAsia="仿宋_GB2312" w:cs="仿宋_GB2312"/>
          <w:spacing w:val="15"/>
          <w:sz w:val="32"/>
          <w:szCs w:val="32"/>
        </w:rPr>
        <w:t>执行。本规定政策</w:t>
      </w:r>
      <w:r>
        <w:rPr>
          <w:rFonts w:hint="eastAsia" w:ascii="仿宋_GB2312" w:hAnsi="仿宋_GB2312" w:eastAsia="仿宋_GB2312" w:cs="仿宋_GB2312"/>
          <w:spacing w:val="15"/>
          <w:sz w:val="32"/>
          <w:szCs w:val="32"/>
          <w:lang w:eastAsia="zh-CN"/>
        </w:rPr>
        <w:t>，</w:t>
      </w:r>
      <w:r>
        <w:rPr>
          <w:rFonts w:hint="eastAsia" w:ascii="仿宋_GB2312" w:hAnsi="仿宋_GB2312" w:eastAsia="仿宋_GB2312" w:cs="仿宋_GB2312"/>
          <w:spacing w:val="15"/>
          <w:sz w:val="32"/>
          <w:szCs w:val="32"/>
        </w:rPr>
        <w:t>同一特殊群体申请人在云南省内仅适用一次。</w:t>
      </w:r>
    </w:p>
    <w:p w14:paraId="770FB59C">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FF0000"/>
          <w:spacing w:val="15"/>
          <w:sz w:val="32"/>
          <w:szCs w:val="32"/>
          <w:lang w:eastAsia="zh-CN"/>
        </w:rPr>
      </w:pPr>
      <w:r>
        <w:rPr>
          <w:rFonts w:hint="eastAsia" w:ascii="仿宋_GB2312" w:hAnsi="仿宋_GB2312" w:eastAsia="仿宋_GB2312" w:cs="仿宋_GB2312"/>
          <w:spacing w:val="15"/>
          <w:sz w:val="32"/>
          <w:szCs w:val="32"/>
        </w:rPr>
        <w:t>（</w:t>
      </w:r>
      <w:r>
        <w:rPr>
          <w:rFonts w:hint="eastAsia" w:ascii="仿宋_GB2312" w:hAnsi="仿宋_GB2312" w:eastAsia="仿宋_GB2312" w:cs="仿宋_GB2312"/>
          <w:color w:val="000000" w:themeColor="text1"/>
          <w:spacing w:val="15"/>
          <w:sz w:val="32"/>
          <w:szCs w:val="32"/>
          <w14:textFill>
            <w14:solidFill>
              <w14:schemeClr w14:val="tx1"/>
            </w14:solidFill>
          </w14:textFill>
        </w:rPr>
        <w:t>一）烈士家属、因公牺牲军人家属；见义勇为牺牲人员家属</w:t>
      </w:r>
      <w:r>
        <w:rPr>
          <w:rFonts w:hint="eastAsia" w:ascii="仿宋_GB2312" w:hAnsi="仿宋_GB2312" w:eastAsia="仿宋_GB2312" w:cs="仿宋_GB2312"/>
          <w:color w:val="000000" w:themeColor="text1"/>
          <w:spacing w:val="15"/>
          <w:sz w:val="32"/>
          <w:szCs w:val="32"/>
          <w:lang w:eastAsia="zh-CN"/>
          <w14:textFill>
            <w14:solidFill>
              <w14:schemeClr w14:val="tx1"/>
            </w14:solidFill>
          </w14:textFill>
        </w:rPr>
        <w:t>；</w:t>
      </w:r>
      <w:r>
        <w:rPr>
          <w:rFonts w:hint="eastAsia" w:ascii="仿宋_GB2312" w:hAnsi="仿宋_GB2312" w:eastAsia="仿宋_GB2312" w:cs="仿宋_GB2312"/>
          <w:color w:val="0000FF"/>
          <w:spacing w:val="15"/>
          <w:sz w:val="32"/>
          <w:szCs w:val="32"/>
          <w:lang w:eastAsia="zh-CN"/>
        </w:rPr>
        <w:t>病故军人遗属</w:t>
      </w:r>
      <w:r>
        <w:rPr>
          <w:rFonts w:hint="eastAsia" w:ascii="仿宋_GB2312" w:hAnsi="仿宋_GB2312" w:eastAsia="仿宋_GB2312" w:cs="仿宋_GB2312"/>
          <w:color w:val="0000FF"/>
          <w:spacing w:val="15"/>
          <w:sz w:val="32"/>
          <w:szCs w:val="32"/>
        </w:rPr>
        <w:t>。</w:t>
      </w:r>
      <w:r>
        <w:rPr>
          <w:rFonts w:hint="eastAsia" w:ascii="仿宋_GB2312" w:hAnsi="仿宋_GB2312" w:eastAsia="仿宋_GB2312" w:cs="仿宋_GB2312"/>
          <w:color w:val="000000" w:themeColor="text1"/>
          <w:spacing w:val="15"/>
          <w:sz w:val="32"/>
          <w:szCs w:val="32"/>
          <w14:textFill>
            <w14:solidFill>
              <w14:schemeClr w14:val="tx1"/>
            </w14:solidFill>
          </w14:textFill>
        </w:rPr>
        <w:t>（本条中的家属</w:t>
      </w:r>
      <w:r>
        <w:rPr>
          <w:rFonts w:hint="eastAsia" w:ascii="仿宋_GB2312" w:hAnsi="仿宋_GB2312" w:eastAsia="仿宋_GB2312" w:cs="仿宋_GB2312"/>
          <w:color w:val="0000FF"/>
          <w:spacing w:val="15"/>
          <w:sz w:val="32"/>
          <w:szCs w:val="32"/>
          <w:lang w:eastAsia="zh-CN"/>
        </w:rPr>
        <w:t>、遗属</w:t>
      </w:r>
      <w:r>
        <w:rPr>
          <w:rFonts w:hint="eastAsia" w:ascii="仿宋_GB2312" w:hAnsi="仿宋_GB2312" w:eastAsia="仿宋_GB2312" w:cs="仿宋_GB2312"/>
          <w:color w:val="000000" w:themeColor="text1"/>
          <w:spacing w:val="15"/>
          <w:sz w:val="32"/>
          <w:szCs w:val="32"/>
          <w14:textFill>
            <w14:solidFill>
              <w14:schemeClr w14:val="tx1"/>
            </w14:solidFill>
          </w14:textFill>
        </w:rPr>
        <w:t>包括父母、子女、配偶。）</w:t>
      </w:r>
    </w:p>
    <w:p w14:paraId="0EDEC173">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spacing w:val="15"/>
          <w:sz w:val="32"/>
          <w:szCs w:val="32"/>
        </w:rPr>
      </w:pPr>
      <w:r>
        <w:rPr>
          <w:rFonts w:hint="eastAsia" w:ascii="仿宋_GB2312" w:hAnsi="仿宋_GB2312" w:eastAsia="仿宋_GB2312" w:cs="仿宋_GB2312"/>
          <w:color w:val="000000" w:themeColor="text1"/>
          <w:spacing w:val="15"/>
          <w:sz w:val="32"/>
          <w:szCs w:val="32"/>
          <w14:textFill>
            <w14:solidFill>
              <w14:schemeClr w14:val="tx1"/>
            </w14:solidFill>
          </w14:textFill>
        </w:rPr>
        <w:t>（二）符合以下条件之一，具有从事烟草专卖零售经营业务相应能力，且具有完全民</w:t>
      </w:r>
      <w:r>
        <w:rPr>
          <w:rFonts w:hint="eastAsia" w:ascii="仿宋_GB2312" w:hAnsi="仿宋_GB2312" w:eastAsia="仿宋_GB2312" w:cs="仿宋_GB2312"/>
          <w:spacing w:val="15"/>
          <w:sz w:val="32"/>
          <w:szCs w:val="32"/>
        </w:rPr>
        <w:t>事行为能力的残疾人：</w:t>
      </w:r>
    </w:p>
    <w:p w14:paraId="1ACF267E">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视力残疾：</w:t>
      </w:r>
      <w:r>
        <w:rPr>
          <w:rFonts w:hint="eastAsia" w:ascii="仿宋_GB2312" w:hAnsi="仿宋_GB2312" w:eastAsia="仿宋_GB2312" w:cs="仿宋_GB2312"/>
          <w:color w:val="0000FF"/>
          <w:spacing w:val="15"/>
          <w:sz w:val="32"/>
          <w:szCs w:val="32"/>
          <w:lang w:eastAsia="zh-CN"/>
        </w:rPr>
        <w:t>一级盲、二级盲；</w:t>
      </w:r>
    </w:p>
    <w:p w14:paraId="6360BDA8">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听力残疾：一级、二级；</w:t>
      </w:r>
    </w:p>
    <w:p w14:paraId="25838E92">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言语残疾：一级、二级；</w:t>
      </w:r>
    </w:p>
    <w:p w14:paraId="2AC5BC96">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5"/>
          <w:sz w:val="32"/>
          <w:szCs w:val="32"/>
        </w:rPr>
        <w:t>肢体残疾：一级、二级。</w:t>
      </w:r>
    </w:p>
    <w:p w14:paraId="4F2DEE65">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（三）国家明文给予政策扶持，确实具有需要扶持照顾的其他特殊情况的优抚对象，经属地烟草专卖局集体研究并向上级烟草专卖局报备，可以放宽办证条件。</w:t>
      </w:r>
    </w:p>
    <w:p w14:paraId="1FDB6105">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申请人应提交合法有效的证明文件。</w:t>
      </w:r>
    </w:p>
    <w:p w14:paraId="18778795">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ascii="黑体" w:hAnsi="黑体" w:eastAsia="黑体" w:cs="黑体"/>
          <w:spacing w:val="15"/>
          <w:sz w:val="32"/>
          <w:szCs w:val="32"/>
        </w:rPr>
        <w:t>第十</w:t>
      </w:r>
      <w:r>
        <w:rPr>
          <w:rFonts w:hint="eastAsia" w:ascii="黑体" w:hAnsi="黑体" w:eastAsia="黑体" w:cs="黑体"/>
          <w:spacing w:val="15"/>
          <w:sz w:val="32"/>
          <w:szCs w:val="32"/>
          <w:lang w:eastAsia="zh-CN"/>
        </w:rPr>
        <w:t>八</w:t>
      </w:r>
      <w:r>
        <w:rPr>
          <w:rFonts w:ascii="黑体" w:hAnsi="黑体" w:eastAsia="黑体" w:cs="黑体"/>
          <w:spacing w:val="15"/>
          <w:sz w:val="32"/>
          <w:szCs w:val="32"/>
        </w:rPr>
        <w:t>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spacing w:val="15"/>
          <w:sz w:val="32"/>
          <w:szCs w:val="32"/>
          <w:lang w:val="en-US" w:eastAsia="zh-CN"/>
        </w:rPr>
        <w:t>因道路规划、城市建设等客观原因，</w:t>
      </w:r>
      <w:r>
        <w:rPr>
          <w:rFonts w:hint="eastAsia" w:ascii="仿宋_GB2312" w:hAnsi="仿宋_GB2312" w:eastAsia="仿宋_GB2312" w:cs="仿宋_GB2312"/>
          <w:color w:val="0000FF"/>
          <w:spacing w:val="15"/>
          <w:sz w:val="32"/>
          <w:szCs w:val="32"/>
          <w:lang w:val="en-US" w:eastAsia="zh-CN"/>
        </w:rPr>
        <w:t>造成持证人无法在原核定地址经营，</w:t>
      </w:r>
      <w:r>
        <w:rPr>
          <w:rFonts w:hint="eastAsia" w:ascii="仿宋_GB2312" w:hAnsi="仿宋_GB2312" w:eastAsia="仿宋_GB2312" w:cs="仿宋_GB2312"/>
          <w:spacing w:val="15"/>
          <w:sz w:val="32"/>
          <w:szCs w:val="32"/>
          <w:lang w:val="en-US" w:eastAsia="zh-CN"/>
        </w:rPr>
        <w:t>持证人申请变更到本单元网格内新址经营的，</w:t>
      </w:r>
      <w:r>
        <w:rPr>
          <w:rFonts w:hint="eastAsia" w:ascii="仿宋_GB2312" w:hAnsi="仿宋_GB2312" w:eastAsia="仿宋_GB2312" w:cs="仿宋_GB2312"/>
          <w:spacing w:val="15"/>
          <w:sz w:val="32"/>
          <w:szCs w:val="32"/>
        </w:rPr>
        <w:t>不受所在单元网格规划数限制，零售点间距可放宽至本单元网格间距标准的</w:t>
      </w:r>
      <w:r>
        <w:rPr>
          <w:rFonts w:hint="eastAsia" w:ascii="仿宋_GB2312" w:hAnsi="仿宋_GB2312" w:eastAsia="仿宋_GB2312" w:cs="仿宋_GB2312"/>
          <w:spacing w:val="15"/>
          <w:sz w:val="32"/>
          <w:szCs w:val="32"/>
          <w:lang w:val="en-US" w:eastAsia="zh-CN"/>
        </w:rPr>
        <w:t>60%</w:t>
      </w:r>
      <w:r>
        <w:rPr>
          <w:rFonts w:hint="eastAsia" w:ascii="仿宋_GB2312" w:hAnsi="仿宋_GB2312" w:eastAsia="仿宋_GB2312" w:cs="仿宋_GB2312"/>
          <w:spacing w:val="15"/>
          <w:sz w:val="32"/>
          <w:szCs w:val="32"/>
        </w:rPr>
        <w:t>执行。</w:t>
      </w:r>
    </w:p>
    <w:p w14:paraId="2434FECE">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hint="eastAsia" w:ascii="仿宋_GB2312" w:hAnsi="仿宋_GB2312" w:eastAsia="仿宋_GB2312" w:cs="仿宋_GB2312"/>
          <w:spacing w:val="15"/>
          <w:sz w:val="32"/>
          <w:szCs w:val="32"/>
        </w:rPr>
        <w:t>申请变更到红塔区其他单元网格的，受所在单元网格规划数限制，零售点间距可放宽至本单元网格间距标准的</w:t>
      </w:r>
      <w:r>
        <w:rPr>
          <w:rFonts w:hint="eastAsia" w:ascii="仿宋_GB2312" w:hAnsi="仿宋_GB2312" w:eastAsia="仿宋_GB2312" w:cs="仿宋_GB2312"/>
          <w:spacing w:val="15"/>
          <w:sz w:val="32"/>
          <w:szCs w:val="32"/>
          <w:lang w:val="en-US" w:eastAsia="zh-CN"/>
        </w:rPr>
        <w:t>90%</w:t>
      </w:r>
      <w:r>
        <w:rPr>
          <w:rFonts w:hint="eastAsia" w:ascii="仿宋_GB2312" w:hAnsi="仿宋_GB2312" w:eastAsia="仿宋_GB2312" w:cs="仿宋_GB2312"/>
          <w:spacing w:val="15"/>
          <w:sz w:val="32"/>
          <w:szCs w:val="32"/>
        </w:rPr>
        <w:t>执行。</w:t>
      </w:r>
    </w:p>
    <w:p w14:paraId="7414D0BD">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pPr>
      <w:r>
        <w:rPr>
          <w:rFonts w:hint="eastAsia" w:ascii="黑体" w:hAnsi="黑体" w:eastAsia="黑体" w:cs="黑体"/>
          <w:spacing w:val="15"/>
          <w:sz w:val="32"/>
          <w:szCs w:val="32"/>
        </w:rPr>
        <w:t>第</w:t>
      </w:r>
      <w:r>
        <w:rPr>
          <w:rFonts w:hint="eastAsia" w:ascii="黑体" w:hAnsi="黑体" w:eastAsia="黑体" w:cs="黑体"/>
          <w:spacing w:val="15"/>
          <w:sz w:val="32"/>
          <w:szCs w:val="32"/>
          <w:lang w:eastAsia="zh-CN"/>
        </w:rPr>
        <w:t>十九</w:t>
      </w:r>
      <w:r>
        <w:rPr>
          <w:rFonts w:hint="eastAsia" w:ascii="黑体" w:hAnsi="黑体" w:eastAsia="黑体" w:cs="黑体"/>
          <w:spacing w:val="15"/>
          <w:sz w:val="32"/>
          <w:szCs w:val="32"/>
        </w:rPr>
        <w:t>条</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pacing w:val="15"/>
          <w:sz w:val="32"/>
          <w:szCs w:val="32"/>
          <w14:textFill>
            <w14:solidFill>
              <w14:schemeClr w14:val="tx1"/>
            </w14:solidFill>
          </w14:textFill>
        </w:rPr>
        <w:t>因中小学及幼儿园新建、改扩建等客观原因</w:t>
      </w:r>
      <w:r>
        <w:rPr>
          <w:rFonts w:hint="eastAsia" w:ascii="仿宋_GB2312" w:hAnsi="仿宋_GB2312" w:eastAsia="仿宋_GB2312" w:cs="仿宋_GB2312"/>
          <w:color w:val="000000" w:themeColor="text1"/>
          <w:spacing w:val="15"/>
          <w:sz w:val="32"/>
          <w:szCs w:val="32"/>
          <w:lang w:eastAsia="zh-CN"/>
          <w14:textFill>
            <w14:solidFill>
              <w14:schemeClr w14:val="tx1"/>
            </w14:solidFill>
          </w14:textFill>
        </w:rPr>
        <w:t>，</w:t>
      </w:r>
      <w:r>
        <w:rPr>
          <w:rFonts w:hint="eastAsia" w:ascii="仿宋_GB2312" w:hAnsi="仿宋_GB2312" w:eastAsia="仿宋_GB2312" w:cs="仿宋_GB2312"/>
          <w:color w:val="0000FF"/>
          <w:spacing w:val="15"/>
          <w:sz w:val="32"/>
          <w:szCs w:val="32"/>
          <w:lang w:val="en-US" w:eastAsia="zh-CN"/>
        </w:rPr>
        <w:t>造成持证人无法在原核定地址经营，</w:t>
      </w:r>
      <w:r>
        <w:rPr>
          <w:rFonts w:hint="eastAsia" w:ascii="仿宋_GB2312" w:hAnsi="仿宋_GB2312" w:eastAsia="仿宋_GB2312" w:cs="仿宋_GB2312"/>
          <w:color w:val="000000" w:themeColor="text1"/>
          <w:spacing w:val="15"/>
          <w:sz w:val="32"/>
          <w:szCs w:val="32"/>
          <w14:textFill>
            <w14:solidFill>
              <w14:schemeClr w14:val="tx1"/>
            </w14:solidFill>
          </w14:textFill>
        </w:rPr>
        <w:t>持证人</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申请歇业并在原单元网格内新址申请新办的，不受所在单元网格规划数限制，零售点间距可放宽至本单元网格间距标准的60%执行。</w:t>
      </w:r>
    </w:p>
    <w:p w14:paraId="7CE8B759">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000000" w:themeColor="text1"/>
          <w:spacing w:val="15"/>
          <w:sz w:val="32"/>
          <w:szCs w:val="32"/>
          <w14:textFill>
            <w14:solidFill>
              <w14:schemeClr w14:val="tx1"/>
            </w14:solidFill>
          </w14:textFill>
        </w:rPr>
      </w:pPr>
      <w:r>
        <w:rPr>
          <w:rFonts w:hint="eastAsia" w:ascii="仿宋_GB2312" w:hAnsi="仿宋_GB2312" w:eastAsia="仿宋_GB2312" w:cs="仿宋_GB2312"/>
          <w:color w:val="000000" w:themeColor="text1"/>
          <w:spacing w:val="15"/>
          <w:sz w:val="32"/>
          <w:szCs w:val="32"/>
          <w14:textFill>
            <w14:solidFill>
              <w14:schemeClr w14:val="tx1"/>
            </w14:solidFill>
          </w14:textFill>
        </w:rPr>
        <w:t>在红塔区其他单元网格申请新办的，受所在单元网格规划数限制，间距标准可放宽至本单元网格间距标准的90%执行。</w:t>
      </w:r>
    </w:p>
    <w:p w14:paraId="567ED3DD">
      <w:pPr>
        <w:pStyle w:val="4"/>
        <w:keepNext w:val="0"/>
        <w:keepLines w:val="0"/>
        <w:pageBreakBefore w:val="0"/>
        <w:wordWrap/>
        <w:overflowPunct/>
        <w:topLinePunct w:val="0"/>
        <w:bidi w:val="0"/>
        <w:snapToGrid w:val="0"/>
        <w:spacing w:before="0" w:line="560" w:lineRule="exact"/>
        <w:jc w:val="both"/>
        <w:textAlignment w:val="baseline"/>
        <w:rPr>
          <w:rFonts w:hint="default" w:eastAsia="FangSong_GB2312"/>
          <w:sz w:val="32"/>
          <w:szCs w:val="32"/>
          <w:lang w:val="en-US" w:eastAsia="zh-CN"/>
        </w:rPr>
      </w:pPr>
      <w:r>
        <w:rPr>
          <w:rFonts w:hint="eastAsia"/>
          <w:sz w:val="32"/>
          <w:szCs w:val="32"/>
          <w:lang w:val="en-US" w:eastAsia="zh-CN"/>
        </w:rPr>
        <w:t xml:space="preserve">    </w:t>
      </w:r>
      <w:r>
        <w:rPr>
          <w:rFonts w:hint="eastAsia" w:ascii="黑体" w:hAnsi="黑体" w:eastAsia="黑体" w:cs="黑体"/>
          <w:snapToGrid w:val="0"/>
          <w:color w:val="000000"/>
          <w:spacing w:val="15"/>
          <w:kern w:val="0"/>
          <w:sz w:val="32"/>
          <w:szCs w:val="32"/>
          <w:lang w:val="en-US" w:eastAsia="en-US" w:bidi="ar-SA"/>
        </w:rPr>
        <w:t>第</w:t>
      </w:r>
      <w:r>
        <w:rPr>
          <w:rFonts w:hint="eastAsia" w:ascii="黑体" w:hAnsi="黑体" w:eastAsia="黑体" w:cs="黑体"/>
          <w:snapToGrid w:val="0"/>
          <w:color w:val="000000"/>
          <w:spacing w:val="15"/>
          <w:kern w:val="0"/>
          <w:sz w:val="32"/>
          <w:szCs w:val="32"/>
          <w:lang w:val="en-US" w:eastAsia="zh-CN" w:bidi="ar-SA"/>
        </w:rPr>
        <w:t>二十</w:t>
      </w:r>
      <w:r>
        <w:rPr>
          <w:rFonts w:hint="eastAsia" w:ascii="黑体" w:hAnsi="黑体" w:eastAsia="黑体" w:cs="黑体"/>
          <w:snapToGrid w:val="0"/>
          <w:color w:val="000000"/>
          <w:spacing w:val="15"/>
          <w:kern w:val="0"/>
          <w:sz w:val="32"/>
          <w:szCs w:val="32"/>
          <w:lang w:val="en-US" w:eastAsia="en-US" w:bidi="ar-SA"/>
        </w:rPr>
        <w:t>条</w:t>
      </w:r>
      <w:r>
        <w:rPr>
          <w:rFonts w:hint="eastAsia" w:ascii="黑体" w:hAnsi="黑体" w:eastAsia="黑体" w:cs="黑体"/>
          <w:color w:val="0000FF"/>
          <w:spacing w:val="15"/>
          <w:sz w:val="32"/>
          <w:szCs w:val="32"/>
          <w:lang w:val="en-US" w:eastAsia="zh-CN"/>
        </w:rPr>
        <w:t xml:space="preserve">  </w:t>
      </w:r>
      <w:r>
        <w:rPr>
          <w:rFonts w:hint="eastAsia"/>
          <w:color w:val="0000FF"/>
          <w:sz w:val="32"/>
          <w:szCs w:val="32"/>
          <w:lang w:val="en-US" w:eastAsia="zh-CN"/>
        </w:rPr>
        <w:t>在原发证机关辖区范围内连续经营5年以上，且最近连续3年无涉烟违法违规记录的持证户，因租金上涨、租赁期满等客观原因不能在原核定地址经营，经营主体未发生改变，持证人申请歇业后6个月内在原单元网格内新址申请新办的，不受所在单元网格规划数限制，间距标准可放宽至本单元网格间距标准的80%执行。</w:t>
      </w:r>
    </w:p>
    <w:p w14:paraId="522C708D">
      <w:pPr>
        <w:keepNext w:val="0"/>
        <w:keepLines w:val="0"/>
        <w:pageBreakBefore w:val="0"/>
        <w:wordWrap/>
        <w:overflowPunct/>
        <w:topLinePunct w:val="0"/>
        <w:bidi w:val="0"/>
        <w:snapToGrid w:val="0"/>
        <w:spacing w:before="0" w:line="560" w:lineRule="exact"/>
        <w:ind w:left="3442"/>
        <w:jc w:val="both"/>
        <w:textAlignment w:val="baseline"/>
        <w:outlineLvl w:val="0"/>
        <w:rPr>
          <w:rFonts w:ascii="黑体" w:hAnsi="黑体" w:eastAsia="黑体" w:cs="黑体"/>
          <w:spacing w:val="5"/>
          <w:sz w:val="32"/>
          <w:szCs w:val="32"/>
        </w:rPr>
      </w:pPr>
    </w:p>
    <w:p w14:paraId="14833F5C">
      <w:pPr>
        <w:keepNext w:val="0"/>
        <w:keepLines w:val="0"/>
        <w:pageBreakBefore w:val="0"/>
        <w:wordWrap/>
        <w:overflowPunct/>
        <w:topLinePunct w:val="0"/>
        <w:bidi w:val="0"/>
        <w:snapToGrid w:val="0"/>
        <w:spacing w:before="0" w:line="560" w:lineRule="exact"/>
        <w:ind w:left="3442"/>
        <w:jc w:val="both"/>
        <w:textAlignment w:val="baseline"/>
        <w:outlineLvl w:val="0"/>
        <w:rPr>
          <w:rFonts w:ascii="黑体" w:hAnsi="黑体" w:eastAsia="黑体" w:cs="黑体"/>
          <w:spacing w:val="5"/>
          <w:sz w:val="32"/>
          <w:szCs w:val="32"/>
        </w:rPr>
      </w:pPr>
      <w:r>
        <w:rPr>
          <w:rFonts w:ascii="黑体" w:hAnsi="黑体" w:eastAsia="黑体" w:cs="黑体"/>
          <w:spacing w:val="5"/>
          <w:sz w:val="32"/>
          <w:szCs w:val="32"/>
        </w:rPr>
        <w:t>第</w:t>
      </w:r>
      <w:r>
        <w:rPr>
          <w:rFonts w:hint="eastAsia" w:ascii="黑体" w:hAnsi="黑体" w:eastAsia="黑体" w:cs="黑体"/>
          <w:spacing w:val="5"/>
          <w:sz w:val="32"/>
          <w:szCs w:val="32"/>
          <w:lang w:eastAsia="zh-CN"/>
        </w:rPr>
        <w:t>五</w:t>
      </w:r>
      <w:r>
        <w:rPr>
          <w:rFonts w:ascii="黑体" w:hAnsi="黑体" w:eastAsia="黑体" w:cs="黑体"/>
          <w:spacing w:val="5"/>
          <w:sz w:val="32"/>
          <w:szCs w:val="32"/>
        </w:rPr>
        <w:t>章</w:t>
      </w:r>
      <w:r>
        <w:rPr>
          <w:rFonts w:hint="eastAsia" w:ascii="黑体" w:hAnsi="黑体" w:eastAsia="黑体" w:cs="黑体"/>
          <w:spacing w:val="5"/>
          <w:sz w:val="32"/>
          <w:szCs w:val="32"/>
          <w:lang w:val="en-US" w:eastAsia="zh-CN"/>
        </w:rPr>
        <w:t xml:space="preserve">  </w:t>
      </w:r>
      <w:r>
        <w:rPr>
          <w:rFonts w:ascii="黑体" w:hAnsi="黑体" w:eastAsia="黑体" w:cs="黑体"/>
          <w:spacing w:val="5"/>
          <w:sz w:val="32"/>
          <w:szCs w:val="32"/>
        </w:rPr>
        <w:t>附则</w:t>
      </w:r>
    </w:p>
    <w:p w14:paraId="6224C02C">
      <w:pPr>
        <w:keepNext w:val="0"/>
        <w:keepLines w:val="0"/>
        <w:pageBreakBefore w:val="0"/>
        <w:wordWrap/>
        <w:overflowPunct/>
        <w:topLinePunct w:val="0"/>
        <w:bidi w:val="0"/>
        <w:snapToGrid w:val="0"/>
        <w:spacing w:before="0" w:line="560" w:lineRule="exact"/>
        <w:ind w:left="6" w:right="101" w:firstLine="648"/>
        <w:jc w:val="both"/>
        <w:textAlignment w:val="baseline"/>
        <w:rPr>
          <w:rFonts w:hint="eastAsia" w:ascii="仿宋_GB2312" w:hAnsi="仿宋_GB2312" w:eastAsia="仿宋_GB2312" w:cs="仿宋_GB2312"/>
          <w:spacing w:val="15"/>
          <w:sz w:val="32"/>
          <w:szCs w:val="32"/>
        </w:rPr>
      </w:pPr>
      <w:r>
        <w:rPr>
          <w:rFonts w:hint="eastAsia" w:ascii="黑体" w:hAnsi="黑体" w:eastAsia="黑体" w:cs="黑体"/>
          <w:spacing w:val="15"/>
          <w:sz w:val="32"/>
          <w:szCs w:val="32"/>
        </w:rPr>
        <w:t>第</w:t>
      </w:r>
      <w:r>
        <w:rPr>
          <w:rFonts w:hint="eastAsia" w:ascii="黑体" w:hAnsi="黑体" w:eastAsia="黑体" w:cs="黑体"/>
          <w:spacing w:val="15"/>
          <w:sz w:val="32"/>
          <w:szCs w:val="32"/>
          <w:lang w:eastAsia="zh-CN"/>
        </w:rPr>
        <w:t>二十</w:t>
      </w:r>
      <w:r>
        <w:rPr>
          <w:rFonts w:hint="eastAsia" w:ascii="黑体" w:hAnsi="黑体" w:eastAsia="黑体" w:cs="黑体"/>
          <w:snapToGrid w:val="0"/>
          <w:color w:val="000000"/>
          <w:spacing w:val="15"/>
          <w:kern w:val="0"/>
          <w:sz w:val="32"/>
          <w:szCs w:val="32"/>
          <w:lang w:val="en-US" w:eastAsia="zh-CN" w:bidi="ar-SA"/>
        </w:rPr>
        <w:t>一</w:t>
      </w:r>
      <w:r>
        <w:rPr>
          <w:rFonts w:hint="eastAsia" w:ascii="黑体" w:hAnsi="黑体" w:eastAsia="黑体" w:cs="黑体"/>
          <w:spacing w:val="15"/>
          <w:sz w:val="32"/>
          <w:szCs w:val="32"/>
        </w:rPr>
        <w:t>条</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spacing w:val="15"/>
          <w:sz w:val="32"/>
          <w:szCs w:val="32"/>
        </w:rPr>
        <w:t>本规划实施后，如遇相关法律、法规、规章及规范性文件调整的，根据最新规定进行调整，及时报当地本级人民政府法制部门备案后公布实施。</w:t>
      </w:r>
    </w:p>
    <w:p w14:paraId="641789D9">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spacing w:val="15"/>
          <w:sz w:val="32"/>
          <w:szCs w:val="32"/>
          <w:lang w:val="en-US" w:eastAsia="zh-CN"/>
        </w:rPr>
      </w:pPr>
      <w:r>
        <w:rPr>
          <w:rFonts w:ascii="黑体" w:hAnsi="黑体" w:eastAsia="黑体" w:cs="黑体"/>
          <w:spacing w:val="15"/>
          <w:sz w:val="32"/>
          <w:szCs w:val="32"/>
        </w:rPr>
        <w:t>第</w:t>
      </w:r>
      <w:r>
        <w:rPr>
          <w:rFonts w:hint="eastAsia" w:ascii="黑体" w:hAnsi="黑体" w:eastAsia="黑体" w:cs="黑体"/>
          <w:spacing w:val="15"/>
          <w:sz w:val="32"/>
          <w:szCs w:val="32"/>
          <w:lang w:eastAsia="zh-CN"/>
        </w:rPr>
        <w:t>二十二</w:t>
      </w:r>
      <w:r>
        <w:rPr>
          <w:rFonts w:ascii="黑体" w:hAnsi="黑体" w:eastAsia="黑体" w:cs="黑体"/>
          <w:spacing w:val="15"/>
          <w:sz w:val="32"/>
          <w:szCs w:val="32"/>
        </w:rPr>
        <w:t>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spacing w:val="15"/>
          <w:sz w:val="32"/>
          <w:szCs w:val="32"/>
        </w:rPr>
        <w:t>红塔区零售点合理布局实行定期评价、动态管理。每季度根据本地经济发展、城乡建设、市场形势等变化情况进行调整并公示后实施。</w:t>
      </w:r>
      <w:r>
        <w:rPr>
          <w:rFonts w:hint="eastAsia" w:ascii="仿宋_GB2312" w:hAnsi="仿宋_GB2312" w:eastAsia="仿宋_GB2312" w:cs="仿宋_GB2312"/>
          <w:spacing w:val="15"/>
          <w:sz w:val="32"/>
          <w:szCs w:val="32"/>
          <w:lang w:val="en-US" w:eastAsia="zh-CN"/>
        </w:rPr>
        <w:t>动态调整规则详见《云南省红塔区烟草制品零售点合理布局规划数动态调整管理制度》</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（附件5）</w:t>
      </w:r>
      <w:r>
        <w:rPr>
          <w:rFonts w:hint="eastAsia" w:ascii="仿宋_GB2312" w:hAnsi="仿宋_GB2312" w:eastAsia="仿宋_GB2312" w:cs="仿宋_GB2312"/>
          <w:spacing w:val="15"/>
          <w:sz w:val="32"/>
          <w:szCs w:val="32"/>
          <w:lang w:val="en-US" w:eastAsia="zh-CN"/>
        </w:rPr>
        <w:t>。</w:t>
      </w:r>
    </w:p>
    <w:p w14:paraId="0B3A3213">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color w:val="000000" w:themeColor="text1"/>
          <w:spacing w:val="15"/>
          <w:sz w:val="32"/>
          <w:szCs w:val="32"/>
          <w14:textFill>
            <w14:solidFill>
              <w14:schemeClr w14:val="tx1"/>
            </w14:solidFill>
          </w14:textFill>
        </w:rPr>
      </w:pPr>
      <w:r>
        <w:rPr>
          <w:rFonts w:ascii="黑体" w:hAnsi="黑体" w:eastAsia="黑体" w:cs="黑体"/>
          <w:spacing w:val="15"/>
          <w:sz w:val="32"/>
          <w:szCs w:val="32"/>
        </w:rPr>
        <w:t>第</w:t>
      </w:r>
      <w:r>
        <w:rPr>
          <w:rFonts w:hint="eastAsia" w:ascii="黑体" w:hAnsi="黑体" w:eastAsia="黑体" w:cs="黑体"/>
          <w:spacing w:val="15"/>
          <w:sz w:val="32"/>
          <w:szCs w:val="32"/>
          <w:lang w:eastAsia="zh-CN"/>
        </w:rPr>
        <w:t>二十三</w:t>
      </w:r>
      <w:r>
        <w:rPr>
          <w:rFonts w:ascii="黑体" w:hAnsi="黑体" w:eastAsia="黑体" w:cs="黑体"/>
          <w:spacing w:val="15"/>
          <w:sz w:val="32"/>
          <w:szCs w:val="32"/>
        </w:rPr>
        <w:t>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spacing w:val="15"/>
          <w:sz w:val="32"/>
          <w:szCs w:val="32"/>
        </w:rPr>
        <w:t>对暂不符合本布局规划条件的申请人，实行排队轮候制度。排队轮候制度详见《云南省红塔区烟草制品零售点排队轮候制度》</w:t>
      </w:r>
      <w:r>
        <w:rPr>
          <w:rFonts w:hint="eastAsia" w:ascii="仿宋_GB2312" w:hAnsi="仿宋_GB2312" w:eastAsia="仿宋_GB2312" w:cs="仿宋_GB2312"/>
          <w:color w:val="000000" w:themeColor="text1"/>
          <w:spacing w:val="15"/>
          <w:sz w:val="32"/>
          <w:szCs w:val="32"/>
          <w14:textFill>
            <w14:solidFill>
              <w14:schemeClr w14:val="tx1"/>
            </w14:solidFill>
          </w14:textFill>
        </w:rPr>
        <w:t>（附件</w:t>
      </w:r>
      <w:r>
        <w:rPr>
          <w:rFonts w:hint="eastAsia" w:ascii="仿宋_GB2312" w:hAnsi="仿宋_GB2312" w:eastAsia="仿宋_GB2312" w:cs="仿宋_GB2312"/>
          <w:color w:val="000000" w:themeColor="text1"/>
          <w:spacing w:val="15"/>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pacing w:val="15"/>
          <w:sz w:val="32"/>
          <w:szCs w:val="32"/>
          <w14:textFill>
            <w14:solidFill>
              <w14:schemeClr w14:val="tx1"/>
            </w14:solidFill>
          </w14:textFill>
        </w:rPr>
        <w:t>）。</w:t>
      </w:r>
    </w:p>
    <w:p w14:paraId="7584CF14">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0" w:firstLineChars="200"/>
        <w:jc w:val="both"/>
        <w:textAlignment w:val="baseline"/>
        <w:rPr>
          <w:rFonts w:ascii="FangSong_GB2312" w:hAnsi="FangSong_GB2312" w:eastAsia="FangSong_GB2312" w:cs="FangSong_GB2312"/>
          <w:sz w:val="32"/>
          <w:szCs w:val="32"/>
        </w:rPr>
      </w:pPr>
      <w:r>
        <w:rPr>
          <w:rFonts w:hint="eastAsia" w:ascii="仿宋_GB2312" w:hAnsi="仿宋_GB2312" w:eastAsia="仿宋_GB2312" w:cs="仿宋_GB2312"/>
          <w:color w:val="000000" w:themeColor="text1"/>
          <w:spacing w:val="15"/>
          <w:sz w:val="32"/>
          <w:szCs w:val="32"/>
          <w14:textFill>
            <w14:solidFill>
              <w14:schemeClr w14:val="tx1"/>
            </w14:solidFill>
          </w14:textFill>
        </w:rPr>
        <w:t>符合第</w:t>
      </w:r>
      <w:r>
        <w:rPr>
          <w:rFonts w:hint="eastAsia" w:ascii="仿宋_GB2312" w:hAnsi="仿宋_GB2312" w:eastAsia="仿宋_GB2312" w:cs="仿宋_GB2312"/>
          <w:color w:val="000000" w:themeColor="text1"/>
          <w:spacing w:val="15"/>
          <w:sz w:val="32"/>
          <w:szCs w:val="32"/>
          <w:lang w:eastAsia="zh-CN"/>
          <w14:textFill>
            <w14:solidFill>
              <w14:schemeClr w14:val="tx1"/>
            </w14:solidFill>
          </w14:textFill>
        </w:rPr>
        <w:t>十七</w:t>
      </w:r>
      <w:r>
        <w:rPr>
          <w:rFonts w:hint="eastAsia" w:ascii="仿宋_GB2312" w:hAnsi="仿宋_GB2312" w:eastAsia="仿宋_GB2312" w:cs="仿宋_GB2312"/>
          <w:color w:val="000000" w:themeColor="text1"/>
          <w:spacing w:val="15"/>
          <w:sz w:val="32"/>
          <w:szCs w:val="32"/>
          <w14:textFill>
            <w14:solidFill>
              <w14:schemeClr w14:val="tx1"/>
            </w14:solidFill>
          </w14:textFill>
        </w:rPr>
        <w:t>条、第</w:t>
      </w:r>
      <w:r>
        <w:rPr>
          <w:rFonts w:hint="eastAsia" w:ascii="仿宋_GB2312" w:hAnsi="仿宋_GB2312" w:eastAsia="仿宋_GB2312" w:cs="仿宋_GB2312"/>
          <w:color w:val="000000" w:themeColor="text1"/>
          <w:spacing w:val="15"/>
          <w:sz w:val="32"/>
          <w:szCs w:val="32"/>
          <w:lang w:eastAsia="zh-CN"/>
          <w14:textFill>
            <w14:solidFill>
              <w14:schemeClr w14:val="tx1"/>
            </w14:solidFill>
          </w14:textFill>
        </w:rPr>
        <w:t>十八</w:t>
      </w:r>
      <w:r>
        <w:rPr>
          <w:rFonts w:hint="eastAsia" w:ascii="仿宋_GB2312" w:hAnsi="仿宋_GB2312" w:eastAsia="仿宋_GB2312" w:cs="仿宋_GB2312"/>
          <w:color w:val="000000" w:themeColor="text1"/>
          <w:spacing w:val="15"/>
          <w:sz w:val="32"/>
          <w:szCs w:val="32"/>
          <w14:textFill>
            <w14:solidFill>
              <w14:schemeClr w14:val="tx1"/>
            </w14:solidFill>
          </w14:textFill>
        </w:rPr>
        <w:t>条情</w:t>
      </w:r>
      <w:r>
        <w:rPr>
          <w:rFonts w:hint="eastAsia" w:ascii="仿宋_GB2312" w:hAnsi="仿宋_GB2312" w:eastAsia="仿宋_GB2312" w:cs="仿宋_GB2312"/>
          <w:spacing w:val="15"/>
          <w:sz w:val="32"/>
          <w:szCs w:val="32"/>
        </w:rPr>
        <w:t>形且不受单元网格规划数限制</w:t>
      </w:r>
      <w:r>
        <w:rPr>
          <w:rFonts w:hint="eastAsia" w:ascii="仿宋_GB2312" w:hAnsi="仿宋_GB2312" w:eastAsia="仿宋_GB2312" w:cs="仿宋_GB2312"/>
          <w:spacing w:val="15"/>
          <w:sz w:val="32"/>
          <w:szCs w:val="32"/>
          <w:lang w:eastAsia="zh-CN"/>
        </w:rPr>
        <w:t>的，</w:t>
      </w:r>
      <w:r>
        <w:rPr>
          <w:rFonts w:hint="eastAsia" w:ascii="仿宋_GB2312" w:hAnsi="仿宋_GB2312" w:eastAsia="仿宋_GB2312" w:cs="仿宋_GB2312"/>
          <w:spacing w:val="15"/>
          <w:sz w:val="32"/>
          <w:szCs w:val="32"/>
        </w:rPr>
        <w:t>申请人不实行排队轮候制度。</w:t>
      </w:r>
    </w:p>
    <w:p w14:paraId="4C6FC764">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spacing w:val="15"/>
          <w:sz w:val="32"/>
          <w:szCs w:val="32"/>
        </w:rPr>
      </w:pPr>
      <w:r>
        <w:rPr>
          <w:rFonts w:ascii="黑体" w:hAnsi="黑体" w:eastAsia="黑体" w:cs="黑体"/>
          <w:spacing w:val="15"/>
          <w:sz w:val="32"/>
          <w:szCs w:val="32"/>
        </w:rPr>
        <w:t>第</w:t>
      </w:r>
      <w:r>
        <w:rPr>
          <w:rFonts w:hint="eastAsia" w:ascii="黑体" w:hAnsi="黑体" w:eastAsia="黑体" w:cs="黑体"/>
          <w:spacing w:val="15"/>
          <w:sz w:val="32"/>
          <w:szCs w:val="32"/>
          <w:lang w:eastAsia="zh-CN"/>
        </w:rPr>
        <w:t>二十四</w:t>
      </w:r>
      <w:r>
        <w:rPr>
          <w:rFonts w:ascii="黑体" w:hAnsi="黑体" w:eastAsia="黑体" w:cs="黑体"/>
          <w:spacing w:val="15"/>
          <w:sz w:val="32"/>
          <w:szCs w:val="32"/>
        </w:rPr>
        <w:t>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spacing w:val="15"/>
          <w:sz w:val="32"/>
          <w:szCs w:val="32"/>
        </w:rPr>
        <w:t>本规划中所称“中小学校”是指普通中小学校</w:t>
      </w:r>
      <w:r>
        <w:rPr>
          <w:rFonts w:hint="eastAsia" w:ascii="仿宋_GB2312" w:hAnsi="仿宋_GB2312" w:eastAsia="仿宋_GB2312" w:cs="仿宋_GB2312"/>
          <w:spacing w:val="15"/>
          <w:sz w:val="32"/>
          <w:szCs w:val="32"/>
          <w:lang w:eastAsia="zh-CN"/>
        </w:rPr>
        <w:t>、</w:t>
      </w:r>
      <w:r>
        <w:rPr>
          <w:rFonts w:hint="eastAsia" w:ascii="仿宋_GB2312" w:hAnsi="仿宋_GB2312" w:eastAsia="仿宋_GB2312" w:cs="仿宋_GB2312"/>
          <w:spacing w:val="15"/>
          <w:sz w:val="32"/>
          <w:szCs w:val="32"/>
        </w:rPr>
        <w:t>特殊教育学校、中等职业学校、专门学校等。“幼儿园”是指经教育行政主管部门依法批准的公办和民办全日制</w:t>
      </w:r>
      <w:r>
        <w:rPr>
          <w:rFonts w:hint="eastAsia" w:ascii="仿宋_GB2312" w:hAnsi="仿宋_GB2312" w:eastAsia="仿宋_GB2312" w:cs="仿宋_GB2312"/>
          <w:spacing w:val="15"/>
          <w:sz w:val="32"/>
          <w:szCs w:val="32"/>
          <w:lang w:eastAsia="zh-CN"/>
        </w:rPr>
        <w:t>、</w:t>
      </w:r>
      <w:r>
        <w:rPr>
          <w:rFonts w:hint="eastAsia" w:ascii="仿宋_GB2312" w:hAnsi="仿宋_GB2312" w:eastAsia="仿宋_GB2312" w:cs="仿宋_GB2312"/>
          <w:spacing w:val="15"/>
          <w:sz w:val="32"/>
          <w:szCs w:val="32"/>
        </w:rPr>
        <w:t>寄宿制、半日制幼儿园及小学附设的学前班、幼儿班等。各类培训教育机构、托管班、早教班等除外。</w:t>
      </w:r>
    </w:p>
    <w:p w14:paraId="170E807F">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spacing w:val="15"/>
          <w:sz w:val="32"/>
          <w:szCs w:val="32"/>
        </w:rPr>
      </w:pPr>
      <w:r>
        <w:rPr>
          <w:rFonts w:ascii="黑体" w:hAnsi="黑体" w:eastAsia="黑体" w:cs="黑体"/>
          <w:spacing w:val="15"/>
          <w:sz w:val="32"/>
          <w:szCs w:val="32"/>
        </w:rPr>
        <w:t>第</w:t>
      </w:r>
      <w:r>
        <w:rPr>
          <w:rFonts w:hint="eastAsia" w:ascii="黑体" w:hAnsi="黑体" w:eastAsia="黑体" w:cs="黑体"/>
          <w:spacing w:val="15"/>
          <w:sz w:val="32"/>
          <w:szCs w:val="32"/>
          <w:lang w:eastAsia="zh-CN"/>
        </w:rPr>
        <w:t>二十五</w:t>
      </w:r>
      <w:r>
        <w:rPr>
          <w:rFonts w:ascii="黑体" w:hAnsi="黑体" w:eastAsia="黑体" w:cs="黑体"/>
          <w:spacing w:val="15"/>
          <w:sz w:val="32"/>
          <w:szCs w:val="32"/>
        </w:rPr>
        <w:t>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spacing w:val="15"/>
          <w:sz w:val="32"/>
          <w:szCs w:val="32"/>
        </w:rPr>
        <w:t>本规划中“以上”“不低于”“不超过”“以内”等，如无特殊说明均包括本数。</w:t>
      </w:r>
    </w:p>
    <w:p w14:paraId="692C1F2A">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黑体" w:hAnsi="黑体" w:eastAsia="黑体" w:cs="黑体"/>
          <w:spacing w:val="15"/>
          <w:sz w:val="32"/>
          <w:szCs w:val="32"/>
          <w:lang w:val="en-US" w:eastAsia="zh-CN"/>
        </w:rPr>
      </w:pPr>
      <w:r>
        <w:rPr>
          <w:rFonts w:ascii="黑体" w:hAnsi="黑体" w:eastAsia="黑体" w:cs="黑体"/>
          <w:spacing w:val="15"/>
          <w:sz w:val="32"/>
          <w:szCs w:val="32"/>
        </w:rPr>
        <w:t>第二十</w:t>
      </w:r>
      <w:r>
        <w:rPr>
          <w:rFonts w:hint="eastAsia" w:ascii="黑体" w:hAnsi="黑体" w:eastAsia="黑体" w:cs="黑体"/>
          <w:spacing w:val="15"/>
          <w:sz w:val="32"/>
          <w:szCs w:val="32"/>
          <w:lang w:eastAsia="zh-CN"/>
        </w:rPr>
        <w:t>六</w:t>
      </w:r>
      <w:r>
        <w:rPr>
          <w:rFonts w:ascii="黑体" w:hAnsi="黑体" w:eastAsia="黑体" w:cs="黑体"/>
          <w:spacing w:val="15"/>
          <w:sz w:val="32"/>
          <w:szCs w:val="32"/>
        </w:rPr>
        <w:t>条</w:t>
      </w:r>
      <w:r>
        <w:rPr>
          <w:rFonts w:hint="eastAsia" w:ascii="黑体" w:hAnsi="黑体" w:eastAsia="黑体" w:cs="黑体"/>
          <w:spacing w:val="15"/>
          <w:sz w:val="32"/>
          <w:szCs w:val="32"/>
          <w:lang w:val="en-US" w:eastAsia="zh-CN"/>
        </w:rPr>
        <w:t xml:space="preserve">  </w:t>
      </w:r>
      <w:r>
        <w:rPr>
          <w:rFonts w:hint="eastAsia" w:ascii="仿宋_GB2312" w:hAnsi="仿宋_GB2312" w:eastAsia="仿宋_GB2312" w:cs="仿宋_GB2312"/>
          <w:spacing w:val="15"/>
          <w:sz w:val="32"/>
          <w:szCs w:val="32"/>
          <w:lang w:val="en-US" w:eastAsia="zh-CN"/>
        </w:rPr>
        <w:t>本规划中按照年、月、日计算期间的，开始的当日不计入，自下一日开始计算。烟草专卖局办理烟草专卖许可证的期限以工作日计算，不含法定节假日。</w:t>
      </w:r>
    </w:p>
    <w:p w14:paraId="706831D4">
      <w:pPr>
        <w:keepNext w:val="0"/>
        <w:keepLines w:val="0"/>
        <w:pageBreakBefore w:val="0"/>
        <w:widowControl/>
        <w:kinsoku w:val="0"/>
        <w:wordWrap/>
        <w:overflowPunct/>
        <w:topLinePunct w:val="0"/>
        <w:autoSpaceDE w:val="0"/>
        <w:autoSpaceDN w:val="0"/>
        <w:bidi w:val="0"/>
        <w:adjustRightInd w:val="0"/>
        <w:snapToGrid w:val="0"/>
        <w:spacing w:before="0" w:line="560" w:lineRule="exact"/>
        <w:ind w:left="0" w:right="0" w:firstLine="700" w:firstLineChars="200"/>
        <w:jc w:val="both"/>
        <w:textAlignment w:val="baseline"/>
        <w:rPr>
          <w:rFonts w:hint="eastAsia" w:ascii="仿宋_GB2312" w:hAnsi="仿宋_GB2312" w:eastAsia="仿宋_GB2312" w:cs="仿宋_GB2312"/>
          <w:spacing w:val="15"/>
          <w:sz w:val="32"/>
          <w:szCs w:val="32"/>
          <w:lang w:eastAsia="zh-CN"/>
        </w:rPr>
      </w:pPr>
      <w:r>
        <w:rPr>
          <w:rFonts w:hint="eastAsia" w:ascii="黑体" w:hAnsi="黑体" w:eastAsia="黑体" w:cs="黑体"/>
          <w:spacing w:val="15"/>
          <w:sz w:val="32"/>
          <w:szCs w:val="32"/>
          <w:lang w:eastAsia="zh-CN"/>
        </w:rPr>
        <w:t>第二十七条</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spacing w:val="15"/>
          <w:sz w:val="32"/>
          <w:szCs w:val="32"/>
        </w:rPr>
        <w:t>本规划由云南省玉溪市红塔区烟草专卖局负责</w:t>
      </w:r>
      <w:r>
        <w:rPr>
          <w:rFonts w:hint="eastAsia" w:ascii="仿宋_GB2312" w:hAnsi="仿宋_GB2312" w:eastAsia="仿宋_GB2312" w:cs="仿宋_GB2312"/>
          <w:spacing w:val="15"/>
          <w:sz w:val="32"/>
          <w:szCs w:val="32"/>
          <w:lang w:eastAsia="zh-CN"/>
        </w:rPr>
        <w:t>解释。</w:t>
      </w:r>
    </w:p>
    <w:p w14:paraId="2F2F3DEC">
      <w:pPr>
        <w:keepNext w:val="0"/>
        <w:keepLines w:val="0"/>
        <w:pageBreakBefore w:val="0"/>
        <w:widowControl/>
        <w:kinsoku w:val="0"/>
        <w:wordWrap/>
        <w:overflowPunct/>
        <w:topLinePunct w:val="0"/>
        <w:autoSpaceDE w:val="0"/>
        <w:autoSpaceDN w:val="0"/>
        <w:bidi w:val="0"/>
        <w:adjustRightInd w:val="0"/>
        <w:snapToGrid w:val="0"/>
        <w:spacing w:before="0" w:line="560" w:lineRule="exact"/>
        <w:ind w:right="0" w:firstLine="700" w:firstLineChars="200"/>
        <w:jc w:val="both"/>
        <w:textAlignment w:val="baseline"/>
        <w:rPr>
          <w:rFonts w:hint="eastAsia" w:ascii="仿宋_GB2312" w:hAnsi="仿宋_GB2312" w:eastAsia="仿宋_GB2312" w:cs="仿宋_GB2312"/>
          <w:color w:val="FF0000"/>
          <w:spacing w:val="-1"/>
          <w:sz w:val="32"/>
          <w:szCs w:val="32"/>
        </w:rPr>
      </w:pPr>
      <w:r>
        <w:rPr>
          <w:rFonts w:ascii="黑体" w:hAnsi="黑体" w:eastAsia="黑体" w:cs="黑体"/>
          <w:color w:val="000000" w:themeColor="text1"/>
          <w:spacing w:val="15"/>
          <w:sz w:val="32"/>
          <w:szCs w:val="32"/>
          <w14:textFill>
            <w14:solidFill>
              <w14:schemeClr w14:val="tx1"/>
            </w14:solidFill>
          </w14:textFill>
        </w:rPr>
        <w:t>第二十</w:t>
      </w:r>
      <w:r>
        <w:rPr>
          <w:rFonts w:hint="eastAsia" w:ascii="黑体" w:hAnsi="黑体" w:eastAsia="黑体" w:cs="黑体"/>
          <w:color w:val="000000" w:themeColor="text1"/>
          <w:spacing w:val="15"/>
          <w:sz w:val="32"/>
          <w:szCs w:val="32"/>
          <w:lang w:eastAsia="zh-CN"/>
          <w14:textFill>
            <w14:solidFill>
              <w14:schemeClr w14:val="tx1"/>
            </w14:solidFill>
          </w14:textFill>
        </w:rPr>
        <w:t>八</w:t>
      </w:r>
      <w:r>
        <w:rPr>
          <w:rFonts w:ascii="黑体" w:hAnsi="黑体" w:eastAsia="黑体" w:cs="黑体"/>
          <w:color w:val="000000" w:themeColor="text1"/>
          <w:spacing w:val="15"/>
          <w:sz w:val="32"/>
          <w:szCs w:val="32"/>
          <w14:textFill>
            <w14:solidFill>
              <w14:schemeClr w14:val="tx1"/>
            </w14:solidFill>
          </w14:textFill>
        </w:rPr>
        <w:t>条</w:t>
      </w:r>
      <w:r>
        <w:rPr>
          <w:rFonts w:hint="eastAsia" w:ascii="黑体" w:hAnsi="黑体" w:eastAsia="黑体" w:cs="黑体"/>
          <w:color w:val="000000" w:themeColor="text1"/>
          <w:spacing w:val="15"/>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FF"/>
          <w:spacing w:val="15"/>
          <w:sz w:val="32"/>
          <w:szCs w:val="32"/>
        </w:rPr>
        <w:t>本规划</w:t>
      </w:r>
      <w:r>
        <w:rPr>
          <w:rFonts w:hint="eastAsia" w:ascii="仿宋_GB2312" w:hAnsi="仿宋_GB2312" w:eastAsia="仿宋_GB2312" w:cs="仿宋_GB2312"/>
          <w:color w:val="0000FF"/>
          <w:spacing w:val="15"/>
          <w:sz w:val="32"/>
          <w:szCs w:val="32"/>
          <w:lang w:eastAsia="zh-CN"/>
        </w:rPr>
        <w:t>自</w:t>
      </w:r>
      <w:r>
        <w:rPr>
          <w:rFonts w:hint="eastAsia" w:ascii="仿宋_GB2312" w:hAnsi="仿宋_GB2312" w:eastAsia="仿宋_GB2312" w:cs="仿宋_GB2312"/>
          <w:color w:val="0000FF"/>
          <w:spacing w:val="15"/>
          <w:sz w:val="32"/>
          <w:szCs w:val="32"/>
          <w:lang w:val="en-US" w:eastAsia="zh-CN"/>
        </w:rPr>
        <w:t>2026年11月XX日起</w:t>
      </w:r>
      <w:r>
        <w:rPr>
          <w:rFonts w:hint="eastAsia" w:ascii="仿宋_GB2312" w:hAnsi="仿宋_GB2312" w:eastAsia="仿宋_GB2312" w:cs="仿宋_GB2312"/>
          <w:color w:val="0000FF"/>
          <w:spacing w:val="15"/>
          <w:sz w:val="32"/>
          <w:szCs w:val="32"/>
        </w:rPr>
        <w:t>施行</w:t>
      </w:r>
      <w:r>
        <w:rPr>
          <w:rFonts w:hint="eastAsia" w:ascii="仿宋_GB2312" w:hAnsi="仿宋_GB2312" w:eastAsia="仿宋_GB2312" w:cs="仿宋_GB2312"/>
          <w:color w:val="0000FF"/>
          <w:spacing w:val="15"/>
          <w:sz w:val="32"/>
          <w:szCs w:val="32"/>
          <w:lang w:eastAsia="zh-CN"/>
        </w:rPr>
        <w:t>。</w:t>
      </w:r>
      <w:r>
        <w:rPr>
          <w:rFonts w:hint="eastAsia" w:ascii="仿宋_GB2312" w:hAnsi="仿宋_GB2312" w:eastAsia="仿宋_GB2312" w:cs="仿宋_GB2312"/>
          <w:color w:val="0000FF"/>
          <w:spacing w:val="-1"/>
          <w:sz w:val="32"/>
          <w:szCs w:val="32"/>
        </w:rPr>
        <w:t>202</w:t>
      </w:r>
      <w:r>
        <w:rPr>
          <w:rFonts w:hint="eastAsia" w:ascii="仿宋_GB2312" w:hAnsi="仿宋_GB2312" w:eastAsia="仿宋_GB2312" w:cs="仿宋_GB2312"/>
          <w:color w:val="0000FF"/>
          <w:spacing w:val="-1"/>
          <w:sz w:val="32"/>
          <w:szCs w:val="32"/>
          <w:lang w:val="en-US" w:eastAsia="zh-CN"/>
        </w:rPr>
        <w:t>5</w:t>
      </w:r>
      <w:r>
        <w:rPr>
          <w:rFonts w:hint="eastAsia" w:ascii="仿宋_GB2312" w:hAnsi="仿宋_GB2312" w:eastAsia="仿宋_GB2312" w:cs="仿宋_GB2312"/>
          <w:color w:val="0000FF"/>
          <w:spacing w:val="-1"/>
          <w:sz w:val="32"/>
          <w:szCs w:val="32"/>
        </w:rPr>
        <w:t>年</w:t>
      </w:r>
      <w:r>
        <w:rPr>
          <w:rFonts w:hint="eastAsia" w:ascii="仿宋_GB2312" w:hAnsi="仿宋_GB2312" w:eastAsia="仿宋_GB2312" w:cs="仿宋_GB2312"/>
          <w:color w:val="0000FF"/>
          <w:spacing w:val="-1"/>
          <w:sz w:val="32"/>
          <w:szCs w:val="32"/>
          <w:lang w:val="en-US" w:eastAsia="zh-CN"/>
        </w:rPr>
        <w:t>11</w:t>
      </w:r>
      <w:r>
        <w:rPr>
          <w:rFonts w:hint="eastAsia" w:ascii="仿宋_GB2312" w:hAnsi="仿宋_GB2312" w:eastAsia="仿宋_GB2312" w:cs="仿宋_GB2312"/>
          <w:color w:val="0000FF"/>
          <w:spacing w:val="-1"/>
          <w:sz w:val="32"/>
          <w:szCs w:val="32"/>
        </w:rPr>
        <w:t>月1日起</w:t>
      </w:r>
      <w:r>
        <w:rPr>
          <w:rFonts w:hint="eastAsia" w:ascii="仿宋_GB2312" w:hAnsi="仿宋_GB2312" w:eastAsia="仿宋_GB2312" w:cs="仿宋_GB2312"/>
          <w:color w:val="0000FF"/>
          <w:spacing w:val="-1"/>
          <w:sz w:val="32"/>
          <w:szCs w:val="32"/>
          <w:lang w:eastAsia="zh-CN"/>
        </w:rPr>
        <w:t>实施</w:t>
      </w:r>
      <w:r>
        <w:rPr>
          <w:rFonts w:hint="eastAsia" w:ascii="仿宋_GB2312" w:hAnsi="仿宋_GB2312" w:eastAsia="仿宋_GB2312" w:cs="仿宋_GB2312"/>
          <w:color w:val="0000FF"/>
          <w:spacing w:val="-1"/>
          <w:sz w:val="32"/>
          <w:szCs w:val="32"/>
        </w:rPr>
        <w:t>的《云南省红塔区烟草制品零售点合理布局规划</w:t>
      </w:r>
      <w:r>
        <w:rPr>
          <w:rFonts w:hint="eastAsia" w:ascii="仿宋_GB2312" w:hAnsi="仿宋_GB2312" w:eastAsia="仿宋_GB2312" w:cs="仿宋_GB2312"/>
          <w:color w:val="0000FF"/>
          <w:spacing w:val="-1"/>
          <w:sz w:val="32"/>
          <w:szCs w:val="32"/>
          <w:lang w:eastAsia="zh-CN"/>
        </w:rPr>
        <w:t>》</w:t>
      </w:r>
      <w:r>
        <w:rPr>
          <w:rFonts w:hint="eastAsia" w:ascii="仿宋_GB2312" w:hAnsi="仿宋_GB2312" w:eastAsia="仿宋_GB2312" w:cs="仿宋_GB2312"/>
          <w:color w:val="0000FF"/>
          <w:spacing w:val="-1"/>
          <w:sz w:val="32"/>
          <w:szCs w:val="32"/>
        </w:rPr>
        <w:t>（玉红烟专〔202</w:t>
      </w:r>
      <w:r>
        <w:rPr>
          <w:rFonts w:hint="eastAsia" w:ascii="仿宋_GB2312" w:hAnsi="仿宋_GB2312" w:eastAsia="仿宋_GB2312" w:cs="仿宋_GB2312"/>
          <w:color w:val="0000FF"/>
          <w:spacing w:val="-1"/>
          <w:sz w:val="32"/>
          <w:szCs w:val="32"/>
          <w:lang w:val="en-US" w:eastAsia="zh-CN"/>
        </w:rPr>
        <w:t>5</w:t>
      </w:r>
      <w:r>
        <w:rPr>
          <w:rFonts w:hint="eastAsia" w:ascii="仿宋_GB2312" w:hAnsi="仿宋_GB2312" w:eastAsia="仿宋_GB2312" w:cs="仿宋_GB2312"/>
          <w:color w:val="0000FF"/>
          <w:spacing w:val="-1"/>
          <w:sz w:val="32"/>
          <w:szCs w:val="32"/>
        </w:rPr>
        <w:t>〕</w:t>
      </w:r>
      <w:r>
        <w:rPr>
          <w:rFonts w:hint="eastAsia" w:ascii="仿宋_GB2312" w:hAnsi="仿宋_GB2312" w:eastAsia="仿宋_GB2312" w:cs="仿宋_GB2312"/>
          <w:color w:val="0000FF"/>
          <w:spacing w:val="-1"/>
          <w:sz w:val="32"/>
          <w:szCs w:val="32"/>
          <w:lang w:val="en-US" w:eastAsia="zh-CN"/>
        </w:rPr>
        <w:t>12</w:t>
      </w:r>
      <w:r>
        <w:rPr>
          <w:rFonts w:hint="eastAsia" w:ascii="仿宋_GB2312" w:hAnsi="仿宋_GB2312" w:eastAsia="仿宋_GB2312" w:cs="仿宋_GB2312"/>
          <w:color w:val="0000FF"/>
          <w:spacing w:val="-1"/>
          <w:sz w:val="32"/>
          <w:szCs w:val="32"/>
        </w:rPr>
        <w:t>号）同时废止</w:t>
      </w:r>
      <w:r>
        <w:rPr>
          <w:rFonts w:hint="eastAsia" w:ascii="仿宋_GB2312" w:hAnsi="仿宋_GB2312" w:eastAsia="仿宋_GB2312" w:cs="仿宋_GB2312"/>
          <w:color w:val="000000" w:themeColor="text1"/>
          <w:spacing w:val="-1"/>
          <w:sz w:val="32"/>
          <w:szCs w:val="32"/>
          <w14:textFill>
            <w14:solidFill>
              <w14:schemeClr w14:val="tx1"/>
            </w14:solidFill>
          </w14:textFill>
        </w:rPr>
        <w:t>。</w:t>
      </w:r>
    </w:p>
    <w:p w14:paraId="1F8297E0">
      <w:pPr>
        <w:keepNext w:val="0"/>
        <w:keepLines w:val="0"/>
        <w:pageBreakBefore w:val="0"/>
        <w:wordWrap/>
        <w:overflowPunct/>
        <w:topLinePunct w:val="0"/>
        <w:bidi w:val="0"/>
        <w:snapToGrid w:val="0"/>
        <w:spacing w:before="101" w:line="240" w:lineRule="auto"/>
        <w:ind w:left="2105" w:leftChars="294" w:right="11" w:hanging="1488" w:hangingChars="400"/>
        <w:jc w:val="both"/>
        <w:textAlignment w:val="baseline"/>
        <w:rPr>
          <w:rFonts w:hint="eastAsia" w:ascii="仿宋_GB2312" w:hAnsi="仿宋_GB2312" w:eastAsia="仿宋_GB2312" w:cs="仿宋_GB2312"/>
          <w:spacing w:val="26"/>
          <w:sz w:val="32"/>
          <w:szCs w:val="32"/>
        </w:rPr>
      </w:pPr>
    </w:p>
    <w:p w14:paraId="47121E17">
      <w:pPr>
        <w:keepNext w:val="0"/>
        <w:keepLines w:val="0"/>
        <w:pageBreakBefore w:val="0"/>
        <w:wordWrap/>
        <w:overflowPunct/>
        <w:topLinePunct w:val="0"/>
        <w:bidi w:val="0"/>
        <w:snapToGrid w:val="0"/>
        <w:spacing w:before="101" w:line="240" w:lineRule="auto"/>
        <w:ind w:left="2105" w:leftChars="294" w:right="11" w:hanging="1488" w:hangingChars="400"/>
        <w:jc w:val="both"/>
        <w:textAlignment w:val="baseline"/>
        <w:rPr>
          <w:rFonts w:hint="eastAsia" w:ascii="仿宋_GB2312" w:hAnsi="仿宋_GB2312" w:eastAsia="仿宋_GB2312" w:cs="仿宋_GB2312"/>
          <w:spacing w:val="26"/>
          <w:sz w:val="32"/>
          <w:szCs w:val="32"/>
        </w:rPr>
      </w:pPr>
    </w:p>
    <w:p w14:paraId="7B23591C">
      <w:pPr>
        <w:keepNext w:val="0"/>
        <w:keepLines w:val="0"/>
        <w:pageBreakBefore w:val="0"/>
        <w:wordWrap/>
        <w:overflowPunct/>
        <w:topLinePunct w:val="0"/>
        <w:bidi w:val="0"/>
        <w:snapToGrid w:val="0"/>
        <w:spacing w:before="101" w:line="240" w:lineRule="auto"/>
        <w:ind w:left="2105" w:leftChars="294" w:right="11" w:hanging="1488" w:hangingChars="4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6"/>
          <w:sz w:val="32"/>
          <w:szCs w:val="32"/>
        </w:rPr>
        <w:t>附件：1.云南省红塔区烟草制品零售点间距测量规则及</w:t>
      </w:r>
      <w:r>
        <w:rPr>
          <w:rFonts w:hint="eastAsia" w:ascii="仿宋_GB2312" w:hAnsi="仿宋_GB2312" w:eastAsia="仿宋_GB2312" w:cs="仿宋_GB2312"/>
          <w:spacing w:val="8"/>
          <w:sz w:val="32"/>
          <w:szCs w:val="32"/>
        </w:rPr>
        <w:t>标准</w:t>
      </w:r>
    </w:p>
    <w:p w14:paraId="3F97D7D3">
      <w:pPr>
        <w:keepNext w:val="0"/>
        <w:keepLines w:val="0"/>
        <w:pageBreakBefore w:val="0"/>
        <w:wordWrap/>
        <w:overflowPunct/>
        <w:topLinePunct w:val="0"/>
        <w:bidi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2"/>
          <w:szCs w:val="32"/>
        </w:rPr>
      </w:pPr>
      <w:r>
        <w:rPr>
          <w:rFonts w:hint="eastAsia" w:ascii="仿宋_GB2312" w:hAnsi="仿宋_GB2312" w:eastAsia="仿宋_GB2312" w:cs="仿宋_GB2312"/>
          <w:spacing w:val="26"/>
          <w:sz w:val="32"/>
          <w:szCs w:val="32"/>
        </w:rPr>
        <w:t>2.云南省红塔区烟草制品零售点合理布局公示表</w:t>
      </w:r>
    </w:p>
    <w:p w14:paraId="686AB3C7">
      <w:pPr>
        <w:keepNext w:val="0"/>
        <w:keepLines w:val="0"/>
        <w:pageBreakBefore w:val="0"/>
        <w:wordWrap/>
        <w:overflowPunct/>
        <w:topLinePunct w:val="0"/>
        <w:bidi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2"/>
          <w:szCs w:val="32"/>
        </w:rPr>
      </w:pPr>
      <w:r>
        <w:rPr>
          <w:rFonts w:hint="eastAsia" w:ascii="仿宋_GB2312" w:hAnsi="仿宋_GB2312" w:eastAsia="仿宋_GB2312" w:cs="仿宋_GB2312"/>
          <w:spacing w:val="26"/>
          <w:sz w:val="32"/>
          <w:szCs w:val="32"/>
        </w:rPr>
        <w:t>3.云南省红塔区烟草制品零售点合理布局规划网格示意图</w:t>
      </w:r>
    </w:p>
    <w:p w14:paraId="267DE612">
      <w:pPr>
        <w:keepNext w:val="0"/>
        <w:keepLines w:val="0"/>
        <w:pageBreakBefore w:val="0"/>
        <w:wordWrap/>
        <w:overflowPunct/>
        <w:topLinePunct w:val="0"/>
        <w:bidi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2"/>
          <w:szCs w:val="32"/>
        </w:rPr>
      </w:pPr>
      <w:r>
        <w:rPr>
          <w:rFonts w:hint="eastAsia" w:ascii="仿宋_GB2312" w:hAnsi="仿宋_GB2312" w:eastAsia="仿宋_GB2312" w:cs="仿宋_GB2312"/>
          <w:spacing w:val="26"/>
          <w:sz w:val="32"/>
          <w:szCs w:val="32"/>
        </w:rPr>
        <w:t>4.云南省红塔区雪茄烟专营零售点合理布局公示表</w:t>
      </w:r>
    </w:p>
    <w:p w14:paraId="4D01F561">
      <w:pPr>
        <w:keepNext w:val="0"/>
        <w:keepLines w:val="0"/>
        <w:pageBreakBefore w:val="0"/>
        <w:widowControl/>
        <w:kinsoku w:val="0"/>
        <w:wordWrap/>
        <w:overflowPunct/>
        <w:topLinePunct w:val="0"/>
        <w:autoSpaceDE w:val="0"/>
        <w:autoSpaceDN w:val="0"/>
        <w:bidi w:val="0"/>
        <w:adjustRightInd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2"/>
          <w:szCs w:val="32"/>
        </w:rPr>
      </w:pPr>
      <w:r>
        <w:rPr>
          <w:rFonts w:hint="eastAsia" w:ascii="仿宋_GB2312" w:hAnsi="仿宋_GB2312" w:eastAsia="仿宋_GB2312" w:cs="仿宋_GB2312"/>
          <w:spacing w:val="26"/>
          <w:sz w:val="32"/>
          <w:szCs w:val="32"/>
          <w:lang w:val="en-US" w:eastAsia="zh-CN"/>
        </w:rPr>
        <w:t>5.</w:t>
      </w:r>
      <w:r>
        <w:rPr>
          <w:rFonts w:hint="eastAsia" w:ascii="仿宋_GB2312" w:hAnsi="仿宋_GB2312" w:eastAsia="仿宋_GB2312" w:cs="仿宋_GB2312"/>
          <w:spacing w:val="26"/>
          <w:sz w:val="32"/>
          <w:szCs w:val="32"/>
        </w:rPr>
        <w:t>云南省红塔区烟草制品零售点合理布局规划数动态调整管理制度</w:t>
      </w:r>
    </w:p>
    <w:p w14:paraId="5564406C">
      <w:pPr>
        <w:keepNext w:val="0"/>
        <w:keepLines w:val="0"/>
        <w:pageBreakBefore w:val="0"/>
        <w:wordWrap/>
        <w:overflowPunct/>
        <w:topLinePunct w:val="0"/>
        <w:bidi w:val="0"/>
        <w:snapToGrid w:val="0"/>
        <w:spacing w:before="101" w:line="240" w:lineRule="auto"/>
        <w:ind w:left="2107" w:leftChars="759" w:right="11" w:hanging="513" w:hangingChars="138"/>
        <w:jc w:val="both"/>
        <w:textAlignment w:val="baseline"/>
        <w:rPr>
          <w:rFonts w:hint="eastAsia" w:ascii="仿宋_GB2312" w:hAnsi="仿宋_GB2312" w:eastAsia="仿宋_GB2312" w:cs="仿宋_GB2312"/>
          <w:spacing w:val="26"/>
          <w:sz w:val="31"/>
          <w:szCs w:val="31"/>
        </w:rPr>
      </w:pPr>
      <w:r>
        <w:rPr>
          <w:rFonts w:hint="eastAsia" w:ascii="仿宋_GB2312" w:hAnsi="仿宋_GB2312" w:eastAsia="仿宋_GB2312" w:cs="仿宋_GB2312"/>
          <w:spacing w:val="26"/>
          <w:sz w:val="32"/>
          <w:szCs w:val="32"/>
          <w:lang w:val="en-US" w:eastAsia="zh-CN"/>
        </w:rPr>
        <w:t>6.</w:t>
      </w:r>
      <w:r>
        <w:rPr>
          <w:rFonts w:hint="eastAsia" w:ascii="仿宋_GB2312" w:hAnsi="仿宋_GB2312" w:eastAsia="仿宋_GB2312" w:cs="仿宋_GB2312"/>
          <w:spacing w:val="26"/>
          <w:sz w:val="32"/>
          <w:szCs w:val="32"/>
        </w:rPr>
        <w:t>云南省红塔区烟草制品零售点排队轮候制度</w:t>
      </w:r>
    </w:p>
    <w:p w14:paraId="737E92A5">
      <w:pPr>
        <w:spacing w:before="101" w:line="230" w:lineRule="auto"/>
        <w:jc w:val="both"/>
        <w:rPr>
          <w:rFonts w:ascii="黑体" w:hAnsi="黑体" w:eastAsia="黑体" w:cs="黑体"/>
          <w:spacing w:val="3"/>
          <w:sz w:val="28"/>
          <w:szCs w:val="28"/>
        </w:rPr>
      </w:pPr>
    </w:p>
    <w:p w14:paraId="3EA90AD8">
      <w:pPr>
        <w:spacing w:before="101" w:line="230" w:lineRule="auto"/>
        <w:jc w:val="both"/>
        <w:rPr>
          <w:rFonts w:ascii="黑体" w:hAnsi="黑体" w:eastAsia="黑体" w:cs="黑体"/>
          <w:spacing w:val="3"/>
          <w:sz w:val="28"/>
          <w:szCs w:val="28"/>
        </w:rPr>
      </w:pPr>
    </w:p>
    <w:p w14:paraId="0AF597DA">
      <w:pPr>
        <w:pStyle w:val="2"/>
        <w:rPr>
          <w:rFonts w:ascii="黑体" w:hAnsi="黑体" w:eastAsia="黑体" w:cs="黑体"/>
          <w:spacing w:val="3"/>
          <w:sz w:val="28"/>
          <w:szCs w:val="28"/>
        </w:rPr>
      </w:pPr>
    </w:p>
    <w:p w14:paraId="3288D765">
      <w:pPr>
        <w:pStyle w:val="2"/>
        <w:rPr>
          <w:rFonts w:ascii="黑体" w:hAnsi="黑体" w:eastAsia="黑体" w:cs="黑体"/>
          <w:spacing w:val="3"/>
          <w:sz w:val="28"/>
          <w:szCs w:val="28"/>
        </w:rPr>
      </w:pPr>
    </w:p>
    <w:p w14:paraId="30952F6A">
      <w:pPr>
        <w:pStyle w:val="2"/>
        <w:rPr>
          <w:rFonts w:ascii="黑体" w:hAnsi="黑体" w:eastAsia="黑体" w:cs="黑体"/>
          <w:spacing w:val="3"/>
          <w:sz w:val="28"/>
          <w:szCs w:val="28"/>
        </w:rPr>
      </w:pPr>
    </w:p>
    <w:p w14:paraId="1A86720C">
      <w:pPr>
        <w:pStyle w:val="2"/>
        <w:rPr>
          <w:rFonts w:ascii="黑体" w:hAnsi="黑体" w:eastAsia="黑体" w:cs="黑体"/>
          <w:spacing w:val="3"/>
          <w:sz w:val="28"/>
          <w:szCs w:val="28"/>
        </w:rPr>
      </w:pPr>
    </w:p>
    <w:p w14:paraId="7969D337">
      <w:pPr>
        <w:pStyle w:val="2"/>
        <w:rPr>
          <w:rFonts w:ascii="黑体" w:hAnsi="黑体" w:eastAsia="黑体" w:cs="黑体"/>
          <w:spacing w:val="3"/>
          <w:sz w:val="28"/>
          <w:szCs w:val="28"/>
        </w:rPr>
      </w:pPr>
    </w:p>
    <w:p w14:paraId="5D8FDE11">
      <w:pPr>
        <w:pStyle w:val="2"/>
        <w:rPr>
          <w:rFonts w:ascii="黑体" w:hAnsi="黑体" w:eastAsia="黑体" w:cs="黑体"/>
          <w:spacing w:val="3"/>
          <w:sz w:val="28"/>
          <w:szCs w:val="28"/>
        </w:rPr>
      </w:pPr>
    </w:p>
    <w:p w14:paraId="6A1CFDCA">
      <w:pPr>
        <w:pStyle w:val="2"/>
        <w:rPr>
          <w:rFonts w:ascii="黑体" w:hAnsi="黑体" w:eastAsia="黑体" w:cs="黑体"/>
          <w:spacing w:val="3"/>
          <w:sz w:val="28"/>
          <w:szCs w:val="28"/>
        </w:rPr>
      </w:pPr>
    </w:p>
    <w:p w14:paraId="1D20F83B">
      <w:pPr>
        <w:pStyle w:val="2"/>
        <w:rPr>
          <w:rFonts w:ascii="黑体" w:hAnsi="黑体" w:eastAsia="黑体" w:cs="黑体"/>
          <w:spacing w:val="3"/>
          <w:sz w:val="28"/>
          <w:szCs w:val="28"/>
        </w:rPr>
      </w:pPr>
    </w:p>
    <w:p w14:paraId="3C89EDD9">
      <w:pPr>
        <w:pStyle w:val="2"/>
        <w:rPr>
          <w:rFonts w:ascii="黑体" w:hAnsi="黑体" w:eastAsia="黑体" w:cs="黑体"/>
          <w:spacing w:val="3"/>
          <w:sz w:val="28"/>
          <w:szCs w:val="28"/>
        </w:rPr>
      </w:pPr>
    </w:p>
    <w:p w14:paraId="2E2C1235">
      <w:pPr>
        <w:pStyle w:val="2"/>
        <w:rPr>
          <w:rFonts w:ascii="黑体" w:hAnsi="黑体" w:eastAsia="黑体" w:cs="黑体"/>
          <w:spacing w:val="3"/>
          <w:sz w:val="28"/>
          <w:szCs w:val="28"/>
        </w:rPr>
      </w:pPr>
    </w:p>
    <w:p w14:paraId="687A6990">
      <w:pPr>
        <w:spacing w:before="101" w:line="230" w:lineRule="auto"/>
        <w:jc w:val="both"/>
        <w:rPr>
          <w:rFonts w:ascii="黑体" w:hAnsi="黑体" w:eastAsia="黑体" w:cs="黑体"/>
          <w:sz w:val="28"/>
          <w:szCs w:val="28"/>
        </w:rPr>
      </w:pPr>
      <w:r>
        <w:rPr>
          <w:rFonts w:ascii="黑体" w:hAnsi="黑体" w:eastAsia="黑体" w:cs="黑体"/>
          <w:spacing w:val="3"/>
          <w:sz w:val="28"/>
          <w:szCs w:val="28"/>
        </w:rPr>
        <w:t>附件</w:t>
      </w:r>
      <w:r>
        <w:rPr>
          <w:rFonts w:ascii="黑体" w:hAnsi="黑体" w:eastAsia="黑体" w:cs="黑体"/>
          <w:spacing w:val="-21"/>
          <w:sz w:val="28"/>
          <w:szCs w:val="28"/>
        </w:rPr>
        <w:t xml:space="preserve"> </w:t>
      </w:r>
      <w:r>
        <w:rPr>
          <w:rFonts w:ascii="黑体" w:hAnsi="黑体" w:eastAsia="黑体" w:cs="黑体"/>
          <w:spacing w:val="3"/>
          <w:sz w:val="28"/>
          <w:szCs w:val="28"/>
        </w:rPr>
        <w:t>1</w:t>
      </w:r>
    </w:p>
    <w:p w14:paraId="0DB89396">
      <w:pPr>
        <w:spacing w:before="164" w:line="239" w:lineRule="auto"/>
        <w:ind w:left="1566"/>
        <w:jc w:val="both"/>
        <w:outlineLvl w:val="0"/>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8"/>
          <w:sz w:val="44"/>
          <w:szCs w:val="44"/>
        </w:rPr>
        <w:t>云南省红塔区烟草制品零售点</w:t>
      </w:r>
    </w:p>
    <w:p w14:paraId="5133F817">
      <w:pPr>
        <w:spacing w:before="259" w:line="207" w:lineRule="auto"/>
        <w:ind w:left="2463"/>
        <w:jc w:val="both"/>
        <w:outlineLvl w:val="0"/>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pacing w:val="6"/>
          <w:sz w:val="44"/>
          <w:szCs w:val="44"/>
        </w:rPr>
        <w:t>间距测量规则及标准</w:t>
      </w:r>
    </w:p>
    <w:p w14:paraId="3580E115">
      <w:pPr>
        <w:spacing w:line="284" w:lineRule="auto"/>
        <w:jc w:val="both"/>
        <w:rPr>
          <w:rFonts w:ascii="Arial"/>
          <w:sz w:val="21"/>
        </w:rPr>
      </w:pPr>
    </w:p>
    <w:p w14:paraId="61598583">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34" w:right="334" w:firstLine="641"/>
        <w:jc w:val="both"/>
        <w:textAlignment w:val="baseline"/>
        <w:rPr>
          <w:rFonts w:hint="eastAsia" w:ascii="仿宋_GB2312" w:hAnsi="仿宋_GB2312" w:eastAsia="仿宋_GB2312" w:cs="仿宋_GB2312"/>
          <w:snapToGrid w:val="0"/>
          <w:color w:val="000000"/>
          <w:spacing w:val="-1"/>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根据云南省红塔区辖区实际情况，现明确《云南省红塔区烟草制品零售点合理布局规划》中</w:t>
      </w:r>
      <w:r>
        <w:rPr>
          <w:rFonts w:hint="eastAsia" w:ascii="仿宋_GB2312" w:hAnsi="仿宋_GB2312" w:eastAsia="仿宋_GB2312" w:cs="仿宋_GB2312"/>
          <w:snapToGrid w:val="0"/>
          <w:color w:val="000000"/>
          <w:spacing w:val="15"/>
          <w:kern w:val="0"/>
          <w:sz w:val="31"/>
          <w:szCs w:val="31"/>
          <w:lang w:val="en-US" w:eastAsia="zh-CN" w:bidi="ar-SA"/>
        </w:rPr>
        <w:t>第八条</w:t>
      </w:r>
      <w:r>
        <w:rPr>
          <w:rFonts w:hint="eastAsia" w:ascii="仿宋_GB2312" w:hAnsi="仿宋_GB2312" w:eastAsia="仿宋_GB2312" w:cs="仿宋_GB2312"/>
          <w:snapToGrid w:val="0"/>
          <w:color w:val="000000"/>
          <w:spacing w:val="15"/>
          <w:kern w:val="0"/>
          <w:sz w:val="31"/>
          <w:szCs w:val="31"/>
          <w:lang w:val="en-US" w:eastAsia="en-US" w:bidi="ar-SA"/>
        </w:rPr>
        <w:t>有关的“零售点间距”测量规则及标准如下：</w:t>
      </w:r>
    </w:p>
    <w:p w14:paraId="1F4DDEDF">
      <w:pPr>
        <w:keepNext w:val="0"/>
        <w:keepLines w:val="0"/>
        <w:pageBreakBefore w:val="0"/>
        <w:widowControl/>
        <w:kinsoku w:val="0"/>
        <w:wordWrap/>
        <w:overflowPunct/>
        <w:topLinePunct w:val="0"/>
        <w:autoSpaceDE w:val="0"/>
        <w:autoSpaceDN w:val="0"/>
        <w:bidi w:val="0"/>
        <w:adjustRightInd w:val="0"/>
        <w:snapToGrid w:val="0"/>
        <w:spacing w:before="101" w:line="560" w:lineRule="exact"/>
        <w:ind w:left="6" w:right="101" w:firstLine="648"/>
        <w:jc w:val="both"/>
        <w:textAlignment w:val="baseline"/>
        <w:rPr>
          <w:rFonts w:ascii="黑体" w:hAnsi="黑体" w:eastAsia="黑体" w:cs="黑体"/>
          <w:spacing w:val="15"/>
          <w:sz w:val="32"/>
          <w:szCs w:val="32"/>
        </w:rPr>
      </w:pPr>
      <w:r>
        <w:rPr>
          <w:rFonts w:ascii="黑体" w:hAnsi="黑体" w:eastAsia="黑体" w:cs="黑体"/>
          <w:spacing w:val="15"/>
          <w:sz w:val="32"/>
          <w:szCs w:val="32"/>
        </w:rPr>
        <w:t>一、测量规则</w:t>
      </w:r>
    </w:p>
    <w:p w14:paraId="7253A3C8">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34" w:right="334" w:firstLine="641"/>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（一）现场核查零售点间距的测量以“可安全步行最短距离”为总体原则，其他未穷尽列举的情形均参照本原则测量。</w:t>
      </w:r>
    </w:p>
    <w:p w14:paraId="4DA55040">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34" w:right="334" w:firstLine="641"/>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（二）应当使用符合国家距离测量标准的测量工具</w:t>
      </w:r>
      <w:r>
        <w:rPr>
          <w:rFonts w:hint="eastAsia" w:ascii="仿宋_GB2312" w:hAnsi="仿宋_GB2312" w:eastAsia="仿宋_GB2312" w:cs="仿宋_GB2312"/>
          <w:snapToGrid w:val="0"/>
          <w:color w:val="000000"/>
          <w:spacing w:val="15"/>
          <w:kern w:val="0"/>
          <w:sz w:val="31"/>
          <w:szCs w:val="31"/>
          <w:lang w:val="en-US" w:eastAsia="zh-CN" w:bidi="ar-SA"/>
        </w:rPr>
        <w:t>。</w:t>
      </w:r>
    </w:p>
    <w:p w14:paraId="15ECA034">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34" w:right="334" w:firstLine="641"/>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（三）“零售点间距”是指申请点与参照零售点</w:t>
      </w:r>
    </w:p>
    <w:p w14:paraId="1A26CB40">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right="334"/>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（周边已设最近的零售点）之间按“门边到门边”原则进行测量。测量数据精确到小数点后一位，如“30.0米”或“100.0米”。</w:t>
      </w:r>
    </w:p>
    <w:p w14:paraId="5DF737B4">
      <w:pPr>
        <w:keepNext w:val="0"/>
        <w:keepLines w:val="0"/>
        <w:pageBreakBefore w:val="0"/>
        <w:widowControl w:val="0"/>
        <w:numPr>
          <w:ilvl w:val="0"/>
          <w:numId w:val="0"/>
        </w:numPr>
        <w:tabs>
          <w:tab w:val="left" w:pos="0"/>
        </w:tabs>
        <w:kinsoku/>
        <w:wordWrap/>
        <w:overflowPunct/>
        <w:topLinePunct w:val="0"/>
        <w:autoSpaceDE/>
        <w:autoSpaceDN/>
        <w:bidi w:val="0"/>
        <w:adjustRightInd/>
        <w:snapToGrid w:val="0"/>
        <w:spacing w:before="0" w:line="560" w:lineRule="exact"/>
        <w:ind w:left="0" w:leftChars="0" w:right="0" w:rightChars="0" w:firstLine="700" w:firstLineChars="200"/>
        <w:jc w:val="both"/>
        <w:textAlignment w:val="baseline"/>
        <w:rPr>
          <w:rFonts w:hint="eastAsia" w:ascii="仿宋_GB2312" w:hAnsi="仿宋_GB2312" w:eastAsia="仿宋_GB2312" w:cs="仿宋_GB2312"/>
          <w:color w:val="000000" w:themeColor="text1"/>
          <w:spacing w:val="15"/>
          <w:sz w:val="32"/>
          <w:szCs w:val="32"/>
          <w:lang w:val="en-US" w:eastAsia="en-US"/>
          <w14:textFill>
            <w14:solidFill>
              <w14:schemeClr w14:val="tx1"/>
            </w14:solidFill>
          </w14:textFill>
        </w:rPr>
      </w:pPr>
      <w:r>
        <w:rPr>
          <w:rFonts w:hint="eastAsia" w:ascii="仿宋_GB2312" w:hAnsi="仿宋_GB2312" w:eastAsia="仿宋_GB2312" w:cs="仿宋_GB2312"/>
          <w:color w:val="000000" w:themeColor="text1"/>
          <w:spacing w:val="15"/>
          <w:sz w:val="32"/>
          <w:szCs w:val="32"/>
          <w:lang w:val="en-US" w:eastAsia="en-US"/>
          <w14:textFill>
            <w14:solidFill>
              <w14:schemeClr w14:val="tx1"/>
            </w14:solidFill>
          </w14:textFill>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6C404CDA">
      <w:pPr>
        <w:keepNext w:val="0"/>
        <w:keepLines w:val="0"/>
        <w:pageBreakBefore w:val="0"/>
        <w:widowControl/>
        <w:kinsoku w:val="0"/>
        <w:wordWrap/>
        <w:overflowPunct/>
        <w:topLinePunct w:val="0"/>
        <w:autoSpaceDE w:val="0"/>
        <w:autoSpaceDN w:val="0"/>
        <w:bidi w:val="0"/>
        <w:adjustRightInd w:val="0"/>
        <w:snapToGrid w:val="0"/>
        <w:spacing w:line="560" w:lineRule="exact"/>
        <w:ind w:firstLine="680" w:firstLineChars="200"/>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（五）测量间距距离时，测量结果介于零售点间距距离的标准值正负</w:t>
      </w:r>
      <w:r>
        <w:rPr>
          <w:rFonts w:hint="eastAsia" w:ascii="仿宋_GB2312" w:hAnsi="仿宋_GB2312" w:eastAsia="仿宋_GB2312" w:cs="仿宋_GB2312"/>
          <w:snapToGrid w:val="0"/>
          <w:color w:val="000000"/>
          <w:spacing w:val="15"/>
          <w:kern w:val="0"/>
          <w:sz w:val="31"/>
          <w:szCs w:val="31"/>
          <w:lang w:val="en-US" w:eastAsia="zh-CN" w:bidi="ar-SA"/>
        </w:rPr>
        <w:t>百分之二</w:t>
      </w:r>
      <w:r>
        <w:rPr>
          <w:rFonts w:hint="eastAsia" w:ascii="仿宋_GB2312" w:hAnsi="仿宋_GB2312" w:eastAsia="仿宋_GB2312" w:cs="仿宋_GB2312"/>
          <w:snapToGrid w:val="0"/>
          <w:color w:val="000000"/>
          <w:spacing w:val="15"/>
          <w:kern w:val="0"/>
          <w:sz w:val="31"/>
          <w:szCs w:val="31"/>
          <w:lang w:val="en-US" w:eastAsia="en-US" w:bidi="ar-SA"/>
        </w:rPr>
        <w:t>范围以内的情况下，如果申请人、代理人或利害关系人对该结果有异议，可以申请重新实地测量一次，以最后一次测量结果为准。测量时，申请人或代理人</w:t>
      </w:r>
      <w:r>
        <w:rPr>
          <w:rFonts w:hint="eastAsia" w:ascii="仿宋_GB2312" w:hAnsi="仿宋_GB2312" w:eastAsia="仿宋_GB2312" w:cs="仿宋_GB2312"/>
          <w:snapToGrid w:val="0"/>
          <w:color w:val="000000"/>
          <w:spacing w:val="15"/>
          <w:kern w:val="0"/>
          <w:sz w:val="31"/>
          <w:szCs w:val="31"/>
          <w:lang w:val="en-US" w:eastAsia="zh-CN" w:bidi="ar-SA"/>
        </w:rPr>
        <w:t>、</w:t>
      </w:r>
      <w:r>
        <w:rPr>
          <w:rFonts w:hint="eastAsia" w:ascii="仿宋_GB2312" w:hAnsi="仿宋_GB2312" w:eastAsia="仿宋_GB2312" w:cs="仿宋_GB2312"/>
          <w:snapToGrid w:val="0"/>
          <w:color w:val="000000"/>
          <w:spacing w:val="15"/>
          <w:kern w:val="0"/>
          <w:sz w:val="31"/>
          <w:szCs w:val="31"/>
          <w:lang w:val="en-US" w:eastAsia="en-US" w:bidi="ar-SA"/>
        </w:rPr>
        <w:t>利害关系人和烟草专卖执法核查人员须同时全程在场。</w:t>
      </w:r>
    </w:p>
    <w:p w14:paraId="2651C7A6">
      <w:pPr>
        <w:pStyle w:val="4"/>
        <w:keepNext w:val="0"/>
        <w:keepLines w:val="0"/>
        <w:pageBreakBefore w:val="0"/>
        <w:widowControl/>
        <w:kinsoku w:val="0"/>
        <w:wordWrap/>
        <w:overflowPunct/>
        <w:topLinePunct w:val="0"/>
        <w:autoSpaceDE w:val="0"/>
        <w:autoSpaceDN w:val="0"/>
        <w:bidi w:val="0"/>
        <w:adjustRightInd w:val="0"/>
        <w:snapToGrid w:val="0"/>
        <w:spacing w:before="4" w:line="560" w:lineRule="exact"/>
        <w:ind w:firstLine="640"/>
        <w:jc w:val="both"/>
        <w:textAlignment w:val="baseline"/>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（六）政府有关部门在街道或道路中设置的行人隔离带</w:t>
      </w:r>
      <w:r>
        <w:rPr>
          <w:rFonts w:hint="eastAsia" w:ascii="仿宋_GB2312" w:hAnsi="仿宋_GB2312" w:eastAsia="仿宋_GB2312" w:cs="仿宋_GB2312"/>
          <w:snapToGrid w:val="0"/>
          <w:color w:val="000000"/>
          <w:spacing w:val="15"/>
          <w:kern w:val="0"/>
          <w:sz w:val="31"/>
          <w:szCs w:val="31"/>
          <w:lang w:val="en-US" w:eastAsia="zh-CN" w:bidi="ar-SA"/>
        </w:rPr>
        <w:t>（</w:t>
      </w:r>
      <w:r>
        <w:rPr>
          <w:rFonts w:hint="eastAsia" w:ascii="仿宋_GB2312" w:hAnsi="仿宋_GB2312" w:eastAsia="仿宋_GB2312" w:cs="仿宋_GB2312"/>
          <w:snapToGrid w:val="0"/>
          <w:color w:val="000000"/>
          <w:spacing w:val="15"/>
          <w:kern w:val="0"/>
          <w:sz w:val="31"/>
          <w:szCs w:val="31"/>
          <w:lang w:val="en-US" w:eastAsia="en-US" w:bidi="ar-SA"/>
        </w:rPr>
        <w:t>栏）、绿化带等视为障碍物，测量时应当按道路交通规则绕行</w:t>
      </w:r>
      <w:r>
        <w:rPr>
          <w:rFonts w:hint="eastAsia" w:ascii="仿宋_GB2312" w:hAnsi="仿宋_GB2312" w:eastAsia="仿宋_GB2312" w:cs="仿宋_GB2312"/>
          <w:snapToGrid w:val="0"/>
          <w:color w:val="000000"/>
          <w:spacing w:val="15"/>
          <w:kern w:val="0"/>
          <w:sz w:val="31"/>
          <w:szCs w:val="31"/>
          <w:lang w:val="en-US" w:eastAsia="zh-CN" w:bidi="ar-SA"/>
        </w:rPr>
        <w:t>。</w:t>
      </w:r>
    </w:p>
    <w:p w14:paraId="392E7848">
      <w:pPr>
        <w:pStyle w:val="4"/>
        <w:keepNext w:val="0"/>
        <w:keepLines w:val="0"/>
        <w:pageBreakBefore w:val="0"/>
        <w:widowControl/>
        <w:kinsoku w:val="0"/>
        <w:wordWrap/>
        <w:overflowPunct/>
        <w:topLinePunct w:val="0"/>
        <w:autoSpaceDE w:val="0"/>
        <w:autoSpaceDN w:val="0"/>
        <w:bidi w:val="0"/>
        <w:adjustRightInd w:val="0"/>
        <w:snapToGrid w:val="0"/>
        <w:spacing w:before="210" w:line="560" w:lineRule="exact"/>
        <w:ind w:left="5" w:firstLine="635"/>
        <w:jc w:val="both"/>
        <w:textAlignment w:val="baseline"/>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（七）不视为障碍物的情形：在通行道路上临时设置的安全设施；临时放置的建筑材料、物品、车辆等；擅自设立</w:t>
      </w:r>
      <w:r>
        <w:rPr>
          <w:rFonts w:hint="eastAsia" w:ascii="仿宋_GB2312" w:hAnsi="仿宋_GB2312" w:eastAsia="仿宋_GB2312" w:cs="仿宋_GB2312"/>
          <w:snapToGrid w:val="0"/>
          <w:color w:val="000000"/>
          <w:spacing w:val="17"/>
          <w:kern w:val="0"/>
          <w:sz w:val="31"/>
          <w:szCs w:val="31"/>
          <w:lang w:val="en-US" w:eastAsia="zh-CN" w:bidi="ar-SA"/>
        </w:rPr>
        <w:t>、</w:t>
      </w:r>
      <w:r>
        <w:rPr>
          <w:rFonts w:hint="eastAsia" w:ascii="仿宋_GB2312" w:hAnsi="仿宋_GB2312" w:eastAsia="仿宋_GB2312" w:cs="仿宋_GB2312"/>
          <w:snapToGrid w:val="0"/>
          <w:color w:val="000000"/>
          <w:spacing w:val="17"/>
          <w:kern w:val="0"/>
          <w:sz w:val="31"/>
          <w:szCs w:val="31"/>
          <w:lang w:val="en-US" w:eastAsia="en-US" w:bidi="ar-SA"/>
        </w:rPr>
        <w:t>建造的建筑物、构筑物或其他物体等；以及因施工影响通行的围挡设施。</w:t>
      </w:r>
    </w:p>
    <w:p w14:paraId="6B30DFBA">
      <w:pPr>
        <w:spacing w:before="101" w:line="346" w:lineRule="auto"/>
        <w:ind w:left="6" w:right="101" w:firstLine="648"/>
        <w:jc w:val="both"/>
        <w:rPr>
          <w:rFonts w:ascii="黑体" w:hAnsi="黑体" w:eastAsia="黑体" w:cs="黑体"/>
          <w:spacing w:val="15"/>
          <w:sz w:val="32"/>
          <w:szCs w:val="32"/>
        </w:rPr>
      </w:pPr>
      <w:r>
        <w:rPr>
          <w:rFonts w:ascii="黑体" w:hAnsi="黑体" w:eastAsia="黑体" w:cs="黑体"/>
          <w:spacing w:val="15"/>
          <w:sz w:val="32"/>
          <w:szCs w:val="32"/>
        </w:rPr>
        <w:t>二、测量标准</w:t>
      </w:r>
    </w:p>
    <w:p w14:paraId="0D49354E">
      <w:pPr>
        <w:spacing w:before="101" w:line="346" w:lineRule="auto"/>
        <w:ind w:left="6" w:right="101" w:firstLine="648"/>
        <w:jc w:val="both"/>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（一）店面同一侧无障碍物距离测量示意图，申请点与参照零售点间距。（如图1）</w:t>
      </w:r>
    </w:p>
    <w:p w14:paraId="1AA2D146">
      <w:pPr>
        <w:spacing w:line="240" w:lineRule="auto"/>
        <w:ind w:left="0" w:right="0" w:firstLine="0"/>
        <w:jc w:val="center"/>
        <w:rPr>
          <w:position w:val="-55"/>
        </w:rPr>
      </w:pPr>
      <w:r>
        <w:rPr>
          <w:position w:val="-55"/>
        </w:rPr>
        <w:drawing>
          <wp:inline distT="0" distB="0" distL="0" distR="0">
            <wp:extent cx="3969385" cy="1101090"/>
            <wp:effectExtent l="0" t="0" r="12065" b="381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4"/>
                    <a:stretch>
                      <a:fillRect/>
                    </a:stretch>
                  </pic:blipFill>
                  <pic:spPr>
                    <a:xfrm>
                      <a:off x="0" y="0"/>
                      <a:ext cx="3969954" cy="1101090"/>
                    </a:xfrm>
                    <a:prstGeom prst="rect">
                      <a:avLst/>
                    </a:prstGeom>
                  </pic:spPr>
                </pic:pic>
              </a:graphicData>
            </a:graphic>
          </wp:inline>
        </w:drawing>
      </w:r>
    </w:p>
    <w:p w14:paraId="0511832D">
      <w:pPr>
        <w:pStyle w:val="4"/>
        <w:spacing w:before="255" w:line="225" w:lineRule="auto"/>
        <w:jc w:val="center"/>
        <w:outlineLvl w:val="0"/>
        <w:rPr>
          <w:sz w:val="28"/>
          <w:szCs w:val="28"/>
        </w:rPr>
      </w:pPr>
      <w:r>
        <w:rPr>
          <w:spacing w:val="6"/>
          <w:sz w:val="28"/>
          <w:szCs w:val="28"/>
        </w:rPr>
        <w:t>图1</w:t>
      </w:r>
    </w:p>
    <w:p w14:paraId="77B9049A">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88" w:firstLineChars="200"/>
        <w:jc w:val="both"/>
        <w:textAlignment w:val="baseline"/>
        <w:rPr>
          <w:rFonts w:hint="eastAsia" w:ascii="仿宋_GB2312" w:hAnsi="仿宋_GB2312" w:eastAsia="仿宋_GB2312" w:cs="仿宋_GB2312"/>
          <w:snapToGrid w:val="0"/>
          <w:color w:val="000000"/>
          <w:spacing w:val="17"/>
          <w:kern w:val="0"/>
          <w:sz w:val="32"/>
          <w:szCs w:val="32"/>
          <w:lang w:val="en-US" w:eastAsia="en-US" w:bidi="ar-SA"/>
        </w:rPr>
      </w:pPr>
      <w:r>
        <w:rPr>
          <w:rFonts w:hint="eastAsia" w:ascii="仿宋_GB2312" w:hAnsi="仿宋_GB2312" w:eastAsia="仿宋_GB2312" w:cs="仿宋_GB2312"/>
          <w:snapToGrid w:val="0"/>
          <w:color w:val="000000"/>
          <w:spacing w:val="17"/>
          <w:kern w:val="0"/>
          <w:sz w:val="31"/>
          <w:szCs w:val="31"/>
          <w:lang w:val="en-US" w:eastAsia="zh-CN" w:bidi="ar-SA"/>
        </w:rPr>
        <w:t>（二）</w:t>
      </w:r>
      <w:r>
        <w:rPr>
          <w:rFonts w:hint="eastAsia" w:ascii="仿宋_GB2312" w:hAnsi="仿宋_GB2312" w:eastAsia="仿宋_GB2312" w:cs="仿宋_GB2312"/>
          <w:snapToGrid w:val="0"/>
          <w:color w:val="000000"/>
          <w:spacing w:val="17"/>
          <w:kern w:val="0"/>
          <w:sz w:val="31"/>
          <w:szCs w:val="31"/>
          <w:lang w:val="en-US" w:eastAsia="en-US" w:bidi="ar-SA"/>
        </w:rPr>
        <w:t>店面同一侧有障碍物距离测量示意图，申请点与参照零售点间距=a+b+c+d+e。（如图2）</w:t>
      </w:r>
    </w:p>
    <w:p w14:paraId="7EB47973">
      <w:pPr>
        <w:spacing w:line="240" w:lineRule="auto"/>
        <w:jc w:val="center"/>
      </w:pPr>
      <w:r>
        <w:rPr>
          <w:position w:val="-59"/>
        </w:rPr>
        <w:drawing>
          <wp:inline distT="0" distB="0" distL="0" distR="0">
            <wp:extent cx="5228590" cy="1664970"/>
            <wp:effectExtent l="0" t="0" r="10160" b="1143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5"/>
                    <a:stretch>
                      <a:fillRect/>
                    </a:stretch>
                  </pic:blipFill>
                  <pic:spPr>
                    <a:xfrm>
                      <a:off x="0" y="0"/>
                      <a:ext cx="5228760" cy="1664970"/>
                    </a:xfrm>
                    <a:prstGeom prst="rect">
                      <a:avLst/>
                    </a:prstGeom>
                  </pic:spPr>
                </pic:pic>
              </a:graphicData>
            </a:graphic>
          </wp:inline>
        </w:drawing>
      </w:r>
    </w:p>
    <w:p w14:paraId="0CBE8A15">
      <w:pPr>
        <w:pStyle w:val="4"/>
        <w:spacing w:before="254" w:line="225" w:lineRule="auto"/>
        <w:jc w:val="center"/>
        <w:outlineLvl w:val="0"/>
        <w:rPr>
          <w:sz w:val="28"/>
          <w:szCs w:val="28"/>
        </w:rPr>
      </w:pPr>
      <w:r>
        <w:rPr>
          <w:spacing w:val="2"/>
          <w:sz w:val="28"/>
          <w:szCs w:val="28"/>
        </w:rPr>
        <w:t>图2</w:t>
      </w:r>
    </w:p>
    <w:p w14:paraId="121CD38B">
      <w:pPr>
        <w:pStyle w:val="4"/>
        <w:spacing w:before="246" w:line="370" w:lineRule="auto"/>
        <w:ind w:right="53" w:firstLine="614"/>
        <w:jc w:val="both"/>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（三）申请点与参照零售点异侧无障碍物，且道路无隔离带（包括无任何禁止通行交通标志的路段或有可通行的单虚线</w:t>
      </w:r>
      <w:r>
        <w:rPr>
          <w:rFonts w:hint="eastAsia" w:ascii="仿宋_GB2312" w:hAnsi="仿宋_GB2312" w:eastAsia="仿宋_GB2312" w:cs="仿宋_GB2312"/>
          <w:snapToGrid w:val="0"/>
          <w:color w:val="000000"/>
          <w:spacing w:val="15"/>
          <w:kern w:val="0"/>
          <w:sz w:val="31"/>
          <w:szCs w:val="31"/>
          <w:lang w:val="en-US" w:eastAsia="zh-CN" w:bidi="ar-SA"/>
        </w:rPr>
        <w:t>）</w:t>
      </w:r>
      <w:r>
        <w:rPr>
          <w:rFonts w:hint="eastAsia" w:ascii="仿宋_GB2312" w:hAnsi="仿宋_GB2312" w:eastAsia="仿宋_GB2312" w:cs="仿宋_GB2312"/>
          <w:snapToGrid w:val="0"/>
          <w:color w:val="000000"/>
          <w:spacing w:val="15"/>
          <w:kern w:val="0"/>
          <w:sz w:val="31"/>
          <w:szCs w:val="31"/>
          <w:lang w:val="en-US" w:eastAsia="en-US" w:bidi="ar-SA"/>
        </w:rPr>
        <w:t>和斑马线情形，可安全步行的。</w:t>
      </w:r>
    </w:p>
    <w:p w14:paraId="479027BD">
      <w:pPr>
        <w:pStyle w:val="4"/>
        <w:spacing w:line="220" w:lineRule="auto"/>
        <w:ind w:left="680"/>
        <w:jc w:val="both"/>
      </w:pPr>
      <w:r>
        <w:rPr>
          <w:rFonts w:hint="eastAsia" w:ascii="仿宋_GB2312" w:hAnsi="仿宋_GB2312" w:eastAsia="仿宋_GB2312" w:cs="仿宋_GB2312"/>
          <w:snapToGrid w:val="0"/>
          <w:color w:val="000000"/>
          <w:spacing w:val="15"/>
          <w:kern w:val="0"/>
          <w:sz w:val="31"/>
          <w:szCs w:val="31"/>
          <w:lang w:val="en-US" w:eastAsia="en-US" w:bidi="ar-SA"/>
        </w:rPr>
        <w:t>1.申请点与参照零售点对称的，间距=a（如图3.1）</w:t>
      </w:r>
    </w:p>
    <w:p w14:paraId="1C4E9BD9">
      <w:pPr>
        <w:spacing w:line="240" w:lineRule="auto"/>
        <w:ind w:firstLine="0"/>
        <w:jc w:val="center"/>
      </w:pPr>
      <w:r>
        <w:rPr>
          <w:position w:val="-77"/>
        </w:rPr>
        <w:drawing>
          <wp:inline distT="0" distB="0" distL="0" distR="0">
            <wp:extent cx="4934585" cy="1732280"/>
            <wp:effectExtent l="0" t="0" r="18415" b="127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6"/>
                    <a:stretch>
                      <a:fillRect/>
                    </a:stretch>
                  </pic:blipFill>
                  <pic:spPr>
                    <a:xfrm>
                      <a:off x="0" y="0"/>
                      <a:ext cx="4934631" cy="1732280"/>
                    </a:xfrm>
                    <a:prstGeom prst="rect">
                      <a:avLst/>
                    </a:prstGeom>
                  </pic:spPr>
                </pic:pic>
              </a:graphicData>
            </a:graphic>
          </wp:inline>
        </w:drawing>
      </w:r>
    </w:p>
    <w:p w14:paraId="5D46B5B6">
      <w:pPr>
        <w:pStyle w:val="4"/>
        <w:spacing w:line="240" w:lineRule="auto"/>
        <w:jc w:val="center"/>
        <w:outlineLvl w:val="0"/>
        <w:rPr>
          <w:spacing w:val="3"/>
          <w:sz w:val="28"/>
          <w:szCs w:val="28"/>
        </w:rPr>
      </w:pPr>
      <w:r>
        <w:rPr>
          <w:spacing w:val="3"/>
          <w:sz w:val="28"/>
          <w:szCs w:val="28"/>
        </w:rPr>
        <w:t>图</w:t>
      </w:r>
      <w:r>
        <w:rPr>
          <w:rFonts w:hint="eastAsia"/>
          <w:spacing w:val="3"/>
          <w:sz w:val="28"/>
          <w:szCs w:val="28"/>
          <w:lang w:val="en-US" w:eastAsia="zh-CN"/>
        </w:rPr>
        <w:t xml:space="preserve"> </w:t>
      </w:r>
      <w:r>
        <w:rPr>
          <w:spacing w:val="3"/>
          <w:sz w:val="28"/>
          <w:szCs w:val="28"/>
        </w:rPr>
        <w:t>3.1</w:t>
      </w:r>
    </w:p>
    <w:p w14:paraId="6E459C98">
      <w:pPr>
        <w:pStyle w:val="4"/>
        <w:spacing w:line="240" w:lineRule="auto"/>
        <w:jc w:val="center"/>
        <w:outlineLvl w:val="0"/>
        <w:rPr>
          <w:rFonts w:hint="eastAsia" w:ascii="仿宋_GB2312" w:hAnsi="仿宋_GB2312" w:eastAsia="仿宋_GB2312" w:cs="仿宋_GB2312"/>
          <w:snapToGrid w:val="0"/>
          <w:color w:val="000000"/>
          <w:spacing w:val="15"/>
          <w:kern w:val="0"/>
          <w:sz w:val="32"/>
          <w:szCs w:val="32"/>
          <w:lang w:val="en-US" w:eastAsia="zh-CN" w:bidi="ar-SA"/>
        </w:rPr>
      </w:pPr>
      <w:r>
        <w:rPr>
          <w:rFonts w:hint="eastAsia" w:ascii="仿宋_GB2312" w:hAnsi="仿宋_GB2312" w:eastAsia="仿宋_GB2312" w:cs="仿宋_GB2312"/>
          <w:snapToGrid w:val="0"/>
          <w:color w:val="000000"/>
          <w:spacing w:val="15"/>
          <w:kern w:val="0"/>
          <w:sz w:val="32"/>
          <w:szCs w:val="32"/>
          <w:lang w:val="en-US" w:eastAsia="zh-CN" w:bidi="ar-SA"/>
        </w:rPr>
        <w:t xml:space="preserve"> </w:t>
      </w:r>
    </w:p>
    <w:p w14:paraId="3EEECD5D">
      <w:pPr>
        <w:pStyle w:val="4"/>
        <w:spacing w:line="240" w:lineRule="auto"/>
        <w:jc w:val="center"/>
        <w:outlineLvl w:val="0"/>
        <w:rPr>
          <w:rFonts w:hint="eastAsia" w:ascii="仿宋_GB2312" w:hAnsi="仿宋_GB2312" w:eastAsia="仿宋_GB2312" w:cs="仿宋_GB2312"/>
          <w:snapToGrid w:val="0"/>
          <w:color w:val="000000"/>
          <w:spacing w:val="15"/>
          <w:kern w:val="0"/>
          <w:sz w:val="32"/>
          <w:szCs w:val="32"/>
          <w:lang w:val="en-US" w:eastAsia="en-US" w:bidi="ar-SA"/>
        </w:rPr>
      </w:pPr>
      <w:r>
        <w:rPr>
          <w:rFonts w:hint="eastAsia" w:ascii="仿宋_GB2312" w:hAnsi="仿宋_GB2312" w:eastAsia="仿宋_GB2312" w:cs="仿宋_GB2312"/>
          <w:snapToGrid w:val="0"/>
          <w:color w:val="000000"/>
          <w:spacing w:val="15"/>
          <w:kern w:val="0"/>
          <w:sz w:val="32"/>
          <w:szCs w:val="32"/>
          <w:lang w:val="en-US" w:eastAsia="en-US" w:bidi="ar-SA"/>
        </w:rPr>
        <w:t>2.申请点与参照零售点不对称的，间距=b（如图3.2）</w:t>
      </w:r>
    </w:p>
    <w:p w14:paraId="1906C08B">
      <w:pPr>
        <w:pStyle w:val="4"/>
        <w:spacing w:line="240" w:lineRule="auto"/>
        <w:jc w:val="center"/>
        <w:outlineLvl w:val="0"/>
      </w:pPr>
      <w:r>
        <w:rPr>
          <w:position w:val="-83"/>
        </w:rPr>
        <w:drawing>
          <wp:inline distT="0" distB="0" distL="0" distR="0">
            <wp:extent cx="5015230" cy="1296035"/>
            <wp:effectExtent l="0" t="0" r="13970" b="18415"/>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7"/>
                    <a:stretch>
                      <a:fillRect/>
                    </a:stretch>
                  </pic:blipFill>
                  <pic:spPr>
                    <a:xfrm>
                      <a:off x="0" y="0"/>
                      <a:ext cx="5015403" cy="1296035"/>
                    </a:xfrm>
                    <a:prstGeom prst="rect">
                      <a:avLst/>
                    </a:prstGeom>
                  </pic:spPr>
                </pic:pic>
              </a:graphicData>
            </a:graphic>
          </wp:inline>
        </w:drawing>
      </w:r>
    </w:p>
    <w:p w14:paraId="0F7FBFAD">
      <w:pPr>
        <w:pStyle w:val="4"/>
        <w:spacing w:before="257" w:line="225" w:lineRule="auto"/>
        <w:jc w:val="center"/>
        <w:outlineLvl w:val="0"/>
        <w:rPr>
          <w:sz w:val="28"/>
          <w:szCs w:val="28"/>
        </w:rPr>
      </w:pPr>
      <w:r>
        <w:rPr>
          <w:spacing w:val="2"/>
          <w:sz w:val="28"/>
          <w:szCs w:val="28"/>
        </w:rPr>
        <w:t>图</w:t>
      </w:r>
      <w:r>
        <w:rPr>
          <w:rFonts w:hint="eastAsia"/>
          <w:spacing w:val="2"/>
          <w:sz w:val="28"/>
          <w:szCs w:val="28"/>
          <w:lang w:val="en-US" w:eastAsia="zh-CN"/>
        </w:rPr>
        <w:t xml:space="preserve"> </w:t>
      </w:r>
      <w:r>
        <w:rPr>
          <w:spacing w:val="2"/>
          <w:sz w:val="28"/>
          <w:szCs w:val="28"/>
        </w:rPr>
        <w:t>3.2</w:t>
      </w:r>
    </w:p>
    <w:p w14:paraId="2F44EE0D">
      <w:pPr>
        <w:pStyle w:val="4"/>
        <w:spacing w:before="244" w:line="361" w:lineRule="auto"/>
        <w:ind w:firstLine="631"/>
        <w:jc w:val="both"/>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（四）申请点与参照零售点异侧存在障碍物的，测量按直角分段绕过障碍物测量</w:t>
      </w:r>
      <w:r>
        <w:rPr>
          <w:rFonts w:hint="eastAsia" w:ascii="仿宋_GB2312" w:hAnsi="仿宋_GB2312" w:eastAsia="仿宋_GB2312" w:cs="仿宋_GB2312"/>
          <w:snapToGrid w:val="0"/>
          <w:color w:val="000000"/>
          <w:spacing w:val="17"/>
          <w:kern w:val="0"/>
          <w:sz w:val="31"/>
          <w:szCs w:val="31"/>
          <w:lang w:val="en-US" w:eastAsia="zh-CN" w:bidi="ar-SA"/>
        </w:rPr>
        <w:t>，</w:t>
      </w:r>
      <w:r>
        <w:rPr>
          <w:rFonts w:hint="eastAsia" w:ascii="仿宋_GB2312" w:hAnsi="仿宋_GB2312" w:eastAsia="仿宋_GB2312" w:cs="仿宋_GB2312"/>
          <w:snapToGrid w:val="0"/>
          <w:color w:val="000000"/>
          <w:spacing w:val="17"/>
          <w:kern w:val="0"/>
          <w:sz w:val="31"/>
          <w:szCs w:val="31"/>
          <w:lang w:val="en-US" w:eastAsia="en-US" w:bidi="ar-SA"/>
        </w:rPr>
        <w:t>分段距离之和即为申请人的经营场所与最近零售点的经营场所间的距离。间距=a+b+c（如图4</w:t>
      </w:r>
      <w:r>
        <w:rPr>
          <w:rFonts w:hint="eastAsia" w:ascii="仿宋_GB2312" w:hAnsi="仿宋_GB2312" w:eastAsia="仿宋_GB2312" w:cs="仿宋_GB2312"/>
          <w:snapToGrid w:val="0"/>
          <w:color w:val="000000"/>
          <w:spacing w:val="17"/>
          <w:kern w:val="0"/>
          <w:sz w:val="31"/>
          <w:szCs w:val="31"/>
          <w:lang w:val="en-US" w:eastAsia="zh-CN" w:bidi="ar-SA"/>
        </w:rPr>
        <w:t>）</w:t>
      </w:r>
    </w:p>
    <w:p w14:paraId="7476C4F8">
      <w:pPr>
        <w:spacing w:line="240" w:lineRule="auto"/>
        <w:jc w:val="center"/>
      </w:pPr>
      <w:r>
        <w:rPr>
          <w:position w:val="-79"/>
        </w:rPr>
        <w:drawing>
          <wp:inline distT="0" distB="0" distL="0" distR="0">
            <wp:extent cx="5193665" cy="1170305"/>
            <wp:effectExtent l="0" t="0" r="6985" b="10795"/>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8"/>
                    <a:stretch>
                      <a:fillRect/>
                    </a:stretch>
                  </pic:blipFill>
                  <pic:spPr>
                    <a:xfrm>
                      <a:off x="0" y="0"/>
                      <a:ext cx="5193708" cy="1170305"/>
                    </a:xfrm>
                    <a:prstGeom prst="rect">
                      <a:avLst/>
                    </a:prstGeom>
                  </pic:spPr>
                </pic:pic>
              </a:graphicData>
            </a:graphic>
          </wp:inline>
        </w:drawing>
      </w:r>
    </w:p>
    <w:p w14:paraId="026507FC">
      <w:pPr>
        <w:pStyle w:val="4"/>
        <w:spacing w:before="257" w:line="225" w:lineRule="auto"/>
        <w:jc w:val="center"/>
        <w:outlineLvl w:val="0"/>
      </w:pPr>
      <w:r>
        <w:rPr>
          <w:spacing w:val="-19"/>
        </w:rPr>
        <w:t>图</w:t>
      </w:r>
      <w:r>
        <w:rPr>
          <w:rFonts w:hint="eastAsia"/>
          <w:spacing w:val="-19"/>
          <w:lang w:val="en-US" w:eastAsia="zh-CN"/>
        </w:rPr>
        <w:t xml:space="preserve"> </w:t>
      </w:r>
      <w:r>
        <w:rPr>
          <w:spacing w:val="-19"/>
        </w:rPr>
        <w:t>4</w:t>
      </w:r>
    </w:p>
    <w:p w14:paraId="6A12939D">
      <w:pPr>
        <w:pStyle w:val="4"/>
        <w:spacing w:before="242" w:line="372" w:lineRule="auto"/>
        <w:ind w:left="32" w:right="142" w:firstLine="637"/>
        <w:jc w:val="both"/>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（五）店面背靠背距离测量示意图，申请点与参照零售点间距=a+b+c。（如图5）</w:t>
      </w:r>
    </w:p>
    <w:p w14:paraId="189C957F">
      <w:pPr>
        <w:spacing w:line="372" w:lineRule="auto"/>
        <w:jc w:val="center"/>
      </w:pPr>
      <w:r>
        <w:drawing>
          <wp:inline distT="0" distB="0" distL="114300" distR="114300">
            <wp:extent cx="4286250" cy="1372870"/>
            <wp:effectExtent l="0" t="0" r="0" b="1778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9"/>
                    <a:stretch>
                      <a:fillRect/>
                    </a:stretch>
                  </pic:blipFill>
                  <pic:spPr>
                    <a:xfrm>
                      <a:off x="0" y="0"/>
                      <a:ext cx="4286250" cy="1372870"/>
                    </a:xfrm>
                    <a:prstGeom prst="rect">
                      <a:avLst/>
                    </a:prstGeom>
                    <a:noFill/>
                    <a:ln>
                      <a:noFill/>
                    </a:ln>
                  </pic:spPr>
                </pic:pic>
              </a:graphicData>
            </a:graphic>
          </wp:inline>
        </w:drawing>
      </w:r>
    </w:p>
    <w:p w14:paraId="7A173407">
      <w:pPr>
        <w:pStyle w:val="4"/>
        <w:spacing w:line="240" w:lineRule="auto"/>
        <w:jc w:val="center"/>
        <w:outlineLvl w:val="0"/>
        <w:rPr>
          <w:sz w:val="28"/>
          <w:szCs w:val="28"/>
        </w:rPr>
      </w:pPr>
      <w:r>
        <w:rPr>
          <w:spacing w:val="4"/>
          <w:sz w:val="28"/>
          <w:szCs w:val="28"/>
        </w:rPr>
        <w:t>图</w:t>
      </w:r>
      <w:r>
        <w:rPr>
          <w:rFonts w:hint="eastAsia"/>
          <w:spacing w:val="4"/>
          <w:sz w:val="28"/>
          <w:szCs w:val="28"/>
          <w:lang w:val="en-US" w:eastAsia="zh-CN"/>
        </w:rPr>
        <w:t xml:space="preserve"> </w:t>
      </w:r>
      <w:r>
        <w:rPr>
          <w:spacing w:val="4"/>
          <w:sz w:val="28"/>
          <w:szCs w:val="28"/>
        </w:rPr>
        <w:t>5</w:t>
      </w:r>
    </w:p>
    <w:p w14:paraId="04326210">
      <w:pPr>
        <w:pStyle w:val="4"/>
        <w:spacing w:before="247" w:line="356" w:lineRule="auto"/>
        <w:ind w:firstLine="680" w:firstLineChars="200"/>
        <w:jc w:val="both"/>
        <w:rPr>
          <w:rFonts w:hint="eastAsia" w:ascii="仿宋_GB2312" w:hAnsi="仿宋_GB2312" w:eastAsia="仿宋_GB2312" w:cs="仿宋_GB2312"/>
          <w:snapToGrid w:val="0"/>
          <w:color w:val="000000"/>
          <w:spacing w:val="15"/>
          <w:kern w:val="0"/>
          <w:sz w:val="31"/>
          <w:szCs w:val="31"/>
          <w:lang w:val="en-US" w:eastAsia="en-US" w:bidi="ar-SA"/>
        </w:rPr>
      </w:pPr>
      <w:r>
        <w:rPr>
          <w:rFonts w:hint="eastAsia" w:ascii="仿宋_GB2312" w:hAnsi="仿宋_GB2312" w:eastAsia="仿宋_GB2312" w:cs="仿宋_GB2312"/>
          <w:snapToGrid w:val="0"/>
          <w:color w:val="000000"/>
          <w:spacing w:val="15"/>
          <w:kern w:val="0"/>
          <w:sz w:val="31"/>
          <w:szCs w:val="31"/>
          <w:lang w:val="en-US" w:eastAsia="en-US" w:bidi="ar-SA"/>
        </w:rPr>
        <w:t>（六）店面隔着街道转角的，分别计算沿街店面的两边距离再相加，申请点与参照零售点间距=a+b。（如图6）</w:t>
      </w:r>
    </w:p>
    <w:p w14:paraId="12AC2075">
      <w:pPr>
        <w:spacing w:line="240" w:lineRule="auto"/>
        <w:ind w:firstLine="0"/>
        <w:jc w:val="center"/>
      </w:pPr>
      <w:r>
        <w:rPr>
          <w:position w:val="-85"/>
        </w:rPr>
        <w:drawing>
          <wp:inline distT="0" distB="0" distL="0" distR="0">
            <wp:extent cx="4768215" cy="1378585"/>
            <wp:effectExtent l="0" t="0" r="13335" b="12065"/>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0"/>
                    <a:stretch>
                      <a:fillRect/>
                    </a:stretch>
                  </pic:blipFill>
                  <pic:spPr>
                    <a:xfrm>
                      <a:off x="0" y="0"/>
                      <a:ext cx="4768519" cy="1378585"/>
                    </a:xfrm>
                    <a:prstGeom prst="rect">
                      <a:avLst/>
                    </a:prstGeom>
                  </pic:spPr>
                </pic:pic>
              </a:graphicData>
            </a:graphic>
          </wp:inline>
        </w:drawing>
      </w:r>
    </w:p>
    <w:p w14:paraId="5FB03309">
      <w:pPr>
        <w:pStyle w:val="4"/>
        <w:spacing w:before="255" w:line="225" w:lineRule="auto"/>
        <w:ind w:left="4504"/>
        <w:jc w:val="both"/>
        <w:outlineLvl w:val="0"/>
        <w:rPr>
          <w:sz w:val="28"/>
          <w:szCs w:val="28"/>
        </w:rPr>
      </w:pPr>
      <w:r>
        <w:rPr>
          <w:spacing w:val="4"/>
          <w:sz w:val="28"/>
          <w:szCs w:val="28"/>
        </w:rPr>
        <w:t>图</w:t>
      </w:r>
      <w:r>
        <w:rPr>
          <w:rFonts w:hint="eastAsia"/>
          <w:spacing w:val="4"/>
          <w:sz w:val="28"/>
          <w:szCs w:val="28"/>
          <w:lang w:val="en-US" w:eastAsia="zh-CN"/>
        </w:rPr>
        <w:t xml:space="preserve"> </w:t>
      </w:r>
      <w:r>
        <w:rPr>
          <w:spacing w:val="4"/>
          <w:sz w:val="28"/>
          <w:szCs w:val="28"/>
        </w:rPr>
        <w:t>6</w:t>
      </w:r>
    </w:p>
    <w:p w14:paraId="63240A6E">
      <w:pPr>
        <w:pStyle w:val="4"/>
        <w:spacing w:before="243" w:line="220" w:lineRule="auto"/>
        <w:ind w:left="664"/>
        <w:jc w:val="both"/>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（七）十字路口</w:t>
      </w:r>
    </w:p>
    <w:p w14:paraId="3D7F0FA0">
      <w:pPr>
        <w:spacing w:line="306" w:lineRule="auto"/>
        <w:ind w:firstLine="688" w:firstLineChars="200"/>
        <w:jc w:val="both"/>
        <w:rPr>
          <w:rFonts w:hint="eastAsia" w:ascii="仿宋_GB2312" w:hAnsi="仿宋_GB2312" w:eastAsia="仿宋_GB2312" w:cs="仿宋_GB2312"/>
          <w:snapToGrid w:val="0"/>
          <w:color w:val="000000"/>
          <w:spacing w:val="17"/>
          <w:kern w:val="0"/>
          <w:sz w:val="31"/>
          <w:szCs w:val="31"/>
          <w:lang w:val="en-US" w:eastAsia="en-US" w:bidi="ar-SA"/>
        </w:rPr>
      </w:pPr>
      <w:r>
        <w:rPr>
          <w:rFonts w:hint="eastAsia" w:ascii="仿宋_GB2312" w:hAnsi="仿宋_GB2312" w:eastAsia="仿宋_GB2312" w:cs="仿宋_GB2312"/>
          <w:snapToGrid w:val="0"/>
          <w:color w:val="000000"/>
          <w:spacing w:val="17"/>
          <w:kern w:val="0"/>
          <w:sz w:val="31"/>
          <w:szCs w:val="31"/>
          <w:lang w:val="en-US" w:eastAsia="en-US" w:bidi="ar-SA"/>
        </w:rPr>
        <w:t>1.申请点与参照零售点在十字路口中轴线同一半侧的道路对侧的，可参照道路对侧情况进行测量，按申请点门边至零售点门边可安全步行最短距离测量。具体测量办法视有无交通信号灯、人行横道或过街设施的路段以及障碍物情况而定。（如图7.1）</w:t>
      </w:r>
    </w:p>
    <w:p w14:paraId="4216C269">
      <w:pPr>
        <w:pStyle w:val="4"/>
        <w:spacing w:before="100" w:line="356" w:lineRule="auto"/>
        <w:ind w:left="36" w:right="202" w:hanging="23"/>
        <w:jc w:val="center"/>
      </w:pPr>
      <w:r>
        <w:rPr>
          <w:position w:val="-86"/>
        </w:rPr>
        <w:drawing>
          <wp:inline distT="0" distB="0" distL="0" distR="0">
            <wp:extent cx="3330575" cy="1084580"/>
            <wp:effectExtent l="0" t="0" r="3175" b="127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1"/>
                    <a:stretch>
                      <a:fillRect/>
                    </a:stretch>
                  </pic:blipFill>
                  <pic:spPr>
                    <a:xfrm>
                      <a:off x="0" y="0"/>
                      <a:ext cx="3330575" cy="1084580"/>
                    </a:xfrm>
                    <a:prstGeom prst="rect">
                      <a:avLst/>
                    </a:prstGeom>
                  </pic:spPr>
                </pic:pic>
              </a:graphicData>
            </a:graphic>
          </wp:inline>
        </w:drawing>
      </w:r>
    </w:p>
    <w:p w14:paraId="57D9DD39">
      <w:pPr>
        <w:pStyle w:val="4"/>
        <w:spacing w:before="254" w:line="240" w:lineRule="auto"/>
        <w:ind w:left="4026"/>
        <w:jc w:val="both"/>
        <w:outlineLvl w:val="0"/>
        <w:rPr>
          <w:sz w:val="28"/>
          <w:szCs w:val="28"/>
        </w:rPr>
      </w:pPr>
      <w:r>
        <w:rPr>
          <w:spacing w:val="-7"/>
          <w:sz w:val="28"/>
          <w:szCs w:val="28"/>
        </w:rPr>
        <w:t>图7.1</w:t>
      </w:r>
    </w:p>
    <w:p w14:paraId="6C45DAE3">
      <w:pPr>
        <w:pStyle w:val="4"/>
        <w:spacing w:before="244" w:line="219" w:lineRule="auto"/>
        <w:ind w:firstLine="652" w:firstLineChars="200"/>
        <w:jc w:val="both"/>
        <w:rPr>
          <w:rFonts w:hint="eastAsia" w:ascii="仿宋_GB2312" w:hAnsi="仿宋_GB2312" w:eastAsia="仿宋_GB2312" w:cs="仿宋_GB2312"/>
          <w:spacing w:val="3"/>
          <w:sz w:val="31"/>
          <w:szCs w:val="31"/>
        </w:rPr>
      </w:pPr>
      <w:r>
        <w:rPr>
          <w:rFonts w:hint="eastAsia" w:ascii="仿宋_GB2312" w:hAnsi="仿宋_GB2312" w:eastAsia="仿宋_GB2312" w:cs="仿宋_GB2312"/>
          <w:spacing w:val="8"/>
          <w:sz w:val="31"/>
          <w:szCs w:val="31"/>
        </w:rPr>
        <w:t>2.</w:t>
      </w:r>
      <w:r>
        <w:rPr>
          <w:rFonts w:hint="eastAsia" w:ascii="仿宋_GB2312" w:hAnsi="仿宋_GB2312" w:eastAsia="仿宋_GB2312" w:cs="仿宋_GB2312"/>
          <w:spacing w:val="3"/>
          <w:sz w:val="31"/>
          <w:szCs w:val="31"/>
        </w:rPr>
        <w:t>十字路口对角（有交通信号灯、人行横道或过街设施</w:t>
      </w:r>
      <w:r>
        <w:rPr>
          <w:rFonts w:hint="eastAsia" w:ascii="仿宋_GB2312" w:hAnsi="仿宋_GB2312" w:eastAsia="仿宋_GB2312" w:cs="仿宋_GB2312"/>
          <w:spacing w:val="3"/>
          <w:sz w:val="31"/>
          <w:szCs w:val="31"/>
          <w:lang w:eastAsia="zh-CN"/>
        </w:rPr>
        <w:t>）</w:t>
      </w:r>
    </w:p>
    <w:p w14:paraId="21DCDE08">
      <w:pPr>
        <w:pStyle w:val="4"/>
        <w:keepNext w:val="0"/>
        <w:keepLines w:val="0"/>
        <w:pageBreakBefore w:val="0"/>
        <w:widowControl/>
        <w:kinsoku w:val="0"/>
        <w:wordWrap/>
        <w:overflowPunct/>
        <w:topLinePunct w:val="0"/>
        <w:autoSpaceDE w:val="0"/>
        <w:autoSpaceDN w:val="0"/>
        <w:bidi w:val="0"/>
        <w:adjustRightInd w:val="0"/>
        <w:snapToGrid w:val="0"/>
        <w:spacing w:before="211" w:line="560" w:lineRule="exact"/>
        <w:ind w:firstLine="686"/>
        <w:jc w:val="both"/>
        <w:textAlignment w:val="baseline"/>
        <w:rPr>
          <w:rFonts w:hint="eastAsia" w:ascii="仿宋_GB2312" w:hAnsi="仿宋_GB2312" w:eastAsia="仿宋_GB2312" w:cs="仿宋_GB2312"/>
          <w:spacing w:val="3"/>
          <w:sz w:val="31"/>
          <w:szCs w:val="31"/>
        </w:rPr>
      </w:pPr>
      <w:r>
        <w:rPr>
          <w:rFonts w:hint="eastAsia" w:ascii="仿宋_GB2312" w:hAnsi="仿宋_GB2312" w:eastAsia="仿宋_GB2312" w:cs="仿宋_GB2312"/>
          <w:spacing w:val="3"/>
          <w:sz w:val="31"/>
          <w:szCs w:val="31"/>
        </w:rPr>
        <w:t>申请点与参照零售点位于十字路口对角位置的，且路口中间</w:t>
      </w:r>
      <w:r>
        <w:rPr>
          <w:rFonts w:hint="eastAsia" w:ascii="仿宋_GB2312" w:hAnsi="仿宋_GB2312" w:eastAsia="仿宋_GB2312" w:cs="仿宋_GB2312"/>
          <w:spacing w:val="5"/>
          <w:sz w:val="31"/>
          <w:szCs w:val="31"/>
        </w:rPr>
        <w:t>设有交通信号灯、</w:t>
      </w:r>
      <w:r>
        <w:rPr>
          <w:rFonts w:hint="eastAsia" w:ascii="仿宋_GB2312" w:hAnsi="仿宋_GB2312" w:eastAsia="仿宋_GB2312" w:cs="仿宋_GB2312"/>
          <w:spacing w:val="3"/>
          <w:sz w:val="31"/>
          <w:szCs w:val="31"/>
        </w:rPr>
        <w:t>人行横道或过街设施的，应按照交通规则</w:t>
      </w:r>
      <w:r>
        <w:rPr>
          <w:rFonts w:hint="eastAsia" w:ascii="仿宋_GB2312" w:hAnsi="仿宋_GB2312" w:eastAsia="仿宋_GB2312" w:cs="仿宋_GB2312"/>
          <w:spacing w:val="3"/>
          <w:sz w:val="31"/>
          <w:szCs w:val="31"/>
          <w:lang w:eastAsia="zh-CN"/>
        </w:rPr>
        <w:t>，</w:t>
      </w:r>
      <w:r>
        <w:rPr>
          <w:rFonts w:hint="eastAsia" w:ascii="仿宋_GB2312" w:hAnsi="仿宋_GB2312" w:eastAsia="仿宋_GB2312" w:cs="仿宋_GB2312"/>
          <w:spacing w:val="3"/>
          <w:sz w:val="31"/>
          <w:szCs w:val="31"/>
        </w:rPr>
        <w:t>通过人行横道或过街设施，按申请点门边至零售点门边可安全步行最短距离测量。（如图7.2中存在a、b两条线路，取其中一条可安全步行最短距离线路测量）</w:t>
      </w:r>
    </w:p>
    <w:p w14:paraId="002D1D23">
      <w:pPr>
        <w:pStyle w:val="4"/>
        <w:spacing w:before="211" w:line="346" w:lineRule="auto"/>
        <w:jc w:val="center"/>
        <w:rPr>
          <w:position w:val="-77"/>
        </w:rPr>
      </w:pPr>
      <w:r>
        <w:rPr>
          <w:position w:val="-77"/>
        </w:rPr>
        <w:drawing>
          <wp:inline distT="0" distB="0" distL="0" distR="0">
            <wp:extent cx="3141980" cy="1493520"/>
            <wp:effectExtent l="0" t="0" r="1270" b="1143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2"/>
                    <a:stretch>
                      <a:fillRect/>
                    </a:stretch>
                  </pic:blipFill>
                  <pic:spPr>
                    <a:xfrm>
                      <a:off x="0" y="0"/>
                      <a:ext cx="3141980" cy="1493520"/>
                    </a:xfrm>
                    <a:prstGeom prst="rect">
                      <a:avLst/>
                    </a:prstGeom>
                  </pic:spPr>
                </pic:pic>
              </a:graphicData>
            </a:graphic>
          </wp:inline>
        </w:drawing>
      </w:r>
    </w:p>
    <w:p w14:paraId="19C4774A">
      <w:pPr>
        <w:pStyle w:val="4"/>
        <w:spacing w:before="211" w:line="346" w:lineRule="auto"/>
        <w:jc w:val="center"/>
        <w:rPr>
          <w:spacing w:val="3"/>
          <w:sz w:val="28"/>
          <w:szCs w:val="28"/>
        </w:rPr>
      </w:pPr>
      <w:r>
        <w:rPr>
          <w:spacing w:val="3"/>
          <w:sz w:val="28"/>
          <w:szCs w:val="28"/>
        </w:rPr>
        <w:t>图7.2</w:t>
      </w:r>
    </w:p>
    <w:p w14:paraId="2E4B11BA">
      <w:pPr>
        <w:pStyle w:val="4"/>
        <w:keepNext w:val="0"/>
        <w:keepLines w:val="0"/>
        <w:pageBreakBefore w:val="0"/>
        <w:widowControl/>
        <w:kinsoku w:val="0"/>
        <w:wordWrap/>
        <w:overflowPunct/>
        <w:topLinePunct w:val="0"/>
        <w:autoSpaceDE w:val="0"/>
        <w:autoSpaceDN w:val="0"/>
        <w:bidi w:val="0"/>
        <w:adjustRightInd w:val="0"/>
        <w:snapToGrid w:val="0"/>
        <w:spacing w:before="211" w:line="560" w:lineRule="exact"/>
        <w:ind w:firstLine="686"/>
        <w:jc w:val="both"/>
        <w:textAlignment w:val="baseline"/>
        <w:rPr>
          <w:rFonts w:hint="eastAsia" w:ascii="仿宋_GB2312" w:hAnsi="仿宋_GB2312" w:eastAsia="仿宋_GB2312" w:cs="仿宋_GB2312"/>
          <w:spacing w:val="3"/>
          <w:sz w:val="31"/>
          <w:szCs w:val="31"/>
        </w:rPr>
      </w:pPr>
      <w:r>
        <w:rPr>
          <w:rFonts w:hint="eastAsia" w:ascii="仿宋_GB2312" w:hAnsi="仿宋_GB2312" w:eastAsia="仿宋_GB2312" w:cs="仿宋_GB2312"/>
          <w:spacing w:val="3"/>
          <w:sz w:val="31"/>
          <w:szCs w:val="31"/>
        </w:rPr>
        <w:t>3.十字路口对角（无交通信号灯、人行横道或过街设施）</w:t>
      </w:r>
    </w:p>
    <w:p w14:paraId="37B6EC1C">
      <w:pPr>
        <w:pStyle w:val="4"/>
        <w:keepNext w:val="0"/>
        <w:keepLines w:val="0"/>
        <w:pageBreakBefore w:val="0"/>
        <w:widowControl/>
        <w:kinsoku w:val="0"/>
        <w:wordWrap/>
        <w:overflowPunct/>
        <w:topLinePunct w:val="0"/>
        <w:autoSpaceDE w:val="0"/>
        <w:autoSpaceDN w:val="0"/>
        <w:bidi w:val="0"/>
        <w:adjustRightInd w:val="0"/>
        <w:snapToGrid w:val="0"/>
        <w:spacing w:before="211" w:line="560" w:lineRule="exact"/>
        <w:ind w:firstLine="686"/>
        <w:jc w:val="both"/>
        <w:textAlignment w:val="baseline"/>
        <w:rPr>
          <w:sz w:val="31"/>
          <w:szCs w:val="31"/>
        </w:rPr>
      </w:pPr>
      <w:r>
        <w:rPr>
          <w:rFonts w:hint="eastAsia" w:ascii="仿宋_GB2312" w:hAnsi="仿宋_GB2312" w:eastAsia="仿宋_GB2312" w:cs="仿宋_GB2312"/>
          <w:spacing w:val="3"/>
          <w:sz w:val="31"/>
          <w:szCs w:val="31"/>
        </w:rPr>
        <w:t>申请点与参照零售点位于十字路口对角位置的，且路口中间未设有交通信号灯、人行横道或过街设施的，按申请点门边至零售点门边可安全步行最短距离测量。（图7.3）</w:t>
      </w:r>
    </w:p>
    <w:p w14:paraId="7877F86F">
      <w:pPr>
        <w:spacing w:line="240" w:lineRule="auto"/>
        <w:ind w:firstLine="0"/>
        <w:jc w:val="center"/>
      </w:pPr>
      <w:r>
        <w:rPr>
          <w:position w:val="-77"/>
        </w:rPr>
        <w:drawing>
          <wp:inline distT="0" distB="0" distL="0" distR="0">
            <wp:extent cx="3493135" cy="1629410"/>
            <wp:effectExtent l="0" t="0" r="12065" b="889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3"/>
                    <a:stretch>
                      <a:fillRect/>
                    </a:stretch>
                  </pic:blipFill>
                  <pic:spPr>
                    <a:xfrm>
                      <a:off x="0" y="0"/>
                      <a:ext cx="3493135" cy="1629410"/>
                    </a:xfrm>
                    <a:prstGeom prst="rect">
                      <a:avLst/>
                    </a:prstGeom>
                  </pic:spPr>
                </pic:pic>
              </a:graphicData>
            </a:graphic>
          </wp:inline>
        </w:drawing>
      </w:r>
    </w:p>
    <w:p w14:paraId="6E9E0758">
      <w:pPr>
        <w:pStyle w:val="4"/>
        <w:spacing w:before="255" w:line="225" w:lineRule="auto"/>
        <w:ind w:left="4026"/>
        <w:jc w:val="both"/>
        <w:outlineLvl w:val="0"/>
        <w:rPr>
          <w:spacing w:val="-7"/>
        </w:rPr>
      </w:pPr>
      <w:r>
        <w:rPr>
          <w:spacing w:val="-7"/>
        </w:rPr>
        <w:t>图</w:t>
      </w:r>
      <w:r>
        <w:rPr>
          <w:rFonts w:hint="eastAsia"/>
          <w:spacing w:val="-7"/>
          <w:lang w:val="en-US" w:eastAsia="zh-CN"/>
        </w:rPr>
        <w:t xml:space="preserve"> </w:t>
      </w:r>
      <w:r>
        <w:rPr>
          <w:spacing w:val="-7"/>
        </w:rPr>
        <w:t>7.3</w:t>
      </w:r>
    </w:p>
    <w:p w14:paraId="11979CA3">
      <w:pPr>
        <w:pStyle w:val="4"/>
        <w:keepNext w:val="0"/>
        <w:keepLines w:val="0"/>
        <w:pageBreakBefore w:val="0"/>
        <w:widowControl/>
        <w:kinsoku w:val="0"/>
        <w:wordWrap/>
        <w:overflowPunct/>
        <w:topLinePunct w:val="0"/>
        <w:autoSpaceDE w:val="0"/>
        <w:autoSpaceDN w:val="0"/>
        <w:bidi w:val="0"/>
        <w:adjustRightInd w:val="0"/>
        <w:snapToGrid w:val="0"/>
        <w:spacing w:before="255" w:line="560" w:lineRule="exact"/>
        <w:ind w:firstLine="720" w:firstLineChars="200"/>
        <w:jc w:val="both"/>
        <w:textAlignment w:val="baseline"/>
        <w:outlineLvl w:val="0"/>
        <w:rPr>
          <w:rFonts w:hint="eastAsia" w:ascii="仿宋_GB2312" w:hAnsi="仿宋_GB2312" w:eastAsia="仿宋_GB2312" w:cs="仿宋_GB2312"/>
          <w:sz w:val="31"/>
          <w:szCs w:val="31"/>
        </w:rPr>
      </w:pPr>
      <w:r>
        <w:rPr>
          <w:rFonts w:hint="eastAsia" w:ascii="仿宋_GB2312" w:hAnsi="仿宋_GB2312" w:eastAsia="仿宋_GB2312" w:cs="仿宋_GB2312"/>
          <w:spacing w:val="25"/>
          <w:sz w:val="31"/>
          <w:szCs w:val="31"/>
        </w:rPr>
        <w:t>（八）中小学校、幼儿园的测量起始点为学</w:t>
      </w:r>
      <w:r>
        <w:rPr>
          <w:rFonts w:hint="eastAsia" w:ascii="仿宋_GB2312" w:hAnsi="仿宋_GB2312" w:eastAsia="仿宋_GB2312" w:cs="仿宋_GB2312"/>
          <w:spacing w:val="24"/>
          <w:sz w:val="31"/>
          <w:szCs w:val="31"/>
        </w:rPr>
        <w:t>校正常出入</w:t>
      </w:r>
      <w:r>
        <w:rPr>
          <w:rFonts w:hint="eastAsia" w:ascii="仿宋_GB2312" w:hAnsi="仿宋_GB2312" w:eastAsia="仿宋_GB2312" w:cs="仿宋_GB2312"/>
          <w:spacing w:val="25"/>
          <w:sz w:val="31"/>
          <w:szCs w:val="31"/>
        </w:rPr>
        <w:t>的校门口。有多个进出通道口的，选择距离零售点最短的进</w:t>
      </w:r>
      <w:r>
        <w:rPr>
          <w:rFonts w:hint="eastAsia" w:ascii="仿宋_GB2312" w:hAnsi="仿宋_GB2312" w:eastAsia="仿宋_GB2312" w:cs="仿宋_GB2312"/>
          <w:spacing w:val="20"/>
          <w:sz w:val="31"/>
          <w:szCs w:val="31"/>
        </w:rPr>
        <w:t>出通道口的门边，作为测量起始点。</w:t>
      </w:r>
    </w:p>
    <w:p w14:paraId="778CBB1E">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18" w:right="2" w:firstLine="704"/>
        <w:jc w:val="both"/>
        <w:textAlignment w:val="baseline"/>
        <w:rPr>
          <w:rFonts w:hint="eastAsia" w:ascii="仿宋_GB2312" w:hAnsi="仿宋_GB2312" w:eastAsia="仿宋_GB2312" w:cs="仿宋_GB2312"/>
          <w:sz w:val="31"/>
          <w:szCs w:val="31"/>
        </w:rPr>
      </w:pPr>
      <w:r>
        <w:rPr>
          <w:rFonts w:hint="eastAsia" w:ascii="仿宋_GB2312" w:hAnsi="仿宋_GB2312" w:eastAsia="仿宋_GB2312" w:cs="仿宋_GB2312"/>
          <w:spacing w:val="26"/>
          <w:sz w:val="31"/>
          <w:szCs w:val="31"/>
        </w:rPr>
        <w:t>申请点与中小学校、幼儿园通道口之间距离测量示意图</w:t>
      </w:r>
      <w:r>
        <w:rPr>
          <w:rFonts w:hint="eastAsia" w:ascii="仿宋_GB2312" w:hAnsi="仿宋_GB2312" w:eastAsia="仿宋_GB2312" w:cs="仿宋_GB2312"/>
          <w:spacing w:val="26"/>
          <w:sz w:val="31"/>
          <w:szCs w:val="31"/>
          <w:lang w:eastAsia="zh-CN"/>
        </w:rPr>
        <w:t>。</w:t>
      </w:r>
      <w:r>
        <w:rPr>
          <w:rFonts w:hint="eastAsia" w:ascii="仿宋_GB2312" w:hAnsi="仿宋_GB2312" w:eastAsia="仿宋_GB2312" w:cs="仿宋_GB2312"/>
          <w:spacing w:val="17"/>
          <w:sz w:val="31"/>
          <w:szCs w:val="31"/>
        </w:rPr>
        <w:t>（如图8）</w:t>
      </w:r>
    </w:p>
    <w:p w14:paraId="25C13574">
      <w:pPr>
        <w:spacing w:line="240" w:lineRule="auto"/>
        <w:ind w:firstLine="0"/>
        <w:jc w:val="center"/>
      </w:pPr>
      <w:r>
        <w:rPr>
          <w:position w:val="-67"/>
        </w:rPr>
        <w:drawing>
          <wp:inline distT="0" distB="0" distL="0" distR="0">
            <wp:extent cx="2821940" cy="1604645"/>
            <wp:effectExtent l="0" t="0" r="16510" b="14605"/>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4"/>
                    <a:stretch>
                      <a:fillRect/>
                    </a:stretch>
                  </pic:blipFill>
                  <pic:spPr>
                    <a:xfrm>
                      <a:off x="0" y="0"/>
                      <a:ext cx="2822401" cy="1604645"/>
                    </a:xfrm>
                    <a:prstGeom prst="rect">
                      <a:avLst/>
                    </a:prstGeom>
                  </pic:spPr>
                </pic:pic>
              </a:graphicData>
            </a:graphic>
          </wp:inline>
        </w:drawing>
      </w:r>
    </w:p>
    <w:p w14:paraId="20F592F0">
      <w:pPr>
        <w:pStyle w:val="4"/>
        <w:spacing w:before="192" w:line="225" w:lineRule="auto"/>
        <w:ind w:left="4156"/>
        <w:jc w:val="both"/>
        <w:outlineLvl w:val="0"/>
      </w:pPr>
      <w:r>
        <w:rPr>
          <w:spacing w:val="-21"/>
          <w:sz w:val="28"/>
          <w:szCs w:val="28"/>
        </w:rPr>
        <w:t>图</w:t>
      </w:r>
      <w:r>
        <w:rPr>
          <w:spacing w:val="-22"/>
          <w:sz w:val="28"/>
          <w:szCs w:val="28"/>
        </w:rPr>
        <w:t xml:space="preserve"> </w:t>
      </w:r>
      <w:r>
        <w:rPr>
          <w:spacing w:val="-21"/>
          <w:sz w:val="28"/>
          <w:szCs w:val="28"/>
        </w:rPr>
        <w:t>8</w:t>
      </w:r>
    </w:p>
    <w:p w14:paraId="7D3D5EBF">
      <w:pPr>
        <w:pStyle w:val="4"/>
        <w:spacing w:line="240" w:lineRule="auto"/>
        <w:ind w:left="0" w:firstLine="0" w:firstLineChars="0"/>
        <w:jc w:val="center"/>
        <w:rPr>
          <w:rFonts w:hint="eastAsia" w:ascii="仿宋_GB2312" w:hAnsi="仿宋_GB2312" w:eastAsia="仿宋_GB2312" w:cs="仿宋_GB2312"/>
          <w:sz w:val="31"/>
          <w:szCs w:val="31"/>
        </w:rPr>
      </w:pPr>
      <w:r>
        <w:rPr>
          <w:rFonts w:hint="eastAsia" w:ascii="仿宋_GB2312" w:hAnsi="仿宋_GB2312" w:eastAsia="仿宋_GB2312" w:cs="仿宋_GB2312"/>
          <w:spacing w:val="25"/>
          <w:sz w:val="31"/>
          <w:szCs w:val="31"/>
        </w:rPr>
        <w:t>（九）申请点与参照零售点之间有道路隔离情形的</w:t>
      </w:r>
      <w:r>
        <w:rPr>
          <w:rFonts w:hint="eastAsia" w:ascii="仿宋_GB2312" w:hAnsi="仿宋_GB2312" w:eastAsia="仿宋_GB2312" w:cs="仿宋_GB2312"/>
          <w:spacing w:val="17"/>
          <w:sz w:val="31"/>
          <w:szCs w:val="31"/>
        </w:rPr>
        <w:t>：</w:t>
      </w:r>
    </w:p>
    <w:p w14:paraId="06107155">
      <w:pPr>
        <w:pStyle w:val="4"/>
        <w:keepNext w:val="0"/>
        <w:keepLines w:val="0"/>
        <w:pageBreakBefore w:val="0"/>
        <w:widowControl/>
        <w:kinsoku w:val="0"/>
        <w:wordWrap/>
        <w:overflowPunct/>
        <w:topLinePunct w:val="0"/>
        <w:autoSpaceDE w:val="0"/>
        <w:autoSpaceDN w:val="0"/>
        <w:bidi w:val="0"/>
        <w:adjustRightInd w:val="0"/>
        <w:snapToGrid w:val="0"/>
        <w:spacing w:before="255" w:line="560" w:lineRule="exact"/>
        <w:ind w:firstLine="720" w:firstLineChars="200"/>
        <w:jc w:val="both"/>
        <w:textAlignment w:val="baseline"/>
        <w:outlineLvl w:val="0"/>
        <w:rPr>
          <w:rFonts w:hint="eastAsia" w:ascii="仿宋_GB2312" w:hAnsi="仿宋_GB2312" w:eastAsia="仿宋_GB2312" w:cs="仿宋_GB2312"/>
          <w:spacing w:val="25"/>
          <w:sz w:val="32"/>
          <w:szCs w:val="32"/>
        </w:rPr>
      </w:pPr>
      <w:r>
        <w:rPr>
          <w:rFonts w:hint="eastAsia" w:ascii="仿宋_GB2312" w:hAnsi="仿宋_GB2312" w:eastAsia="仿宋_GB2312" w:cs="仿宋_GB2312"/>
          <w:spacing w:val="25"/>
          <w:sz w:val="31"/>
          <w:szCs w:val="31"/>
        </w:rPr>
        <w:t>1.主干道上有禁止行人行走隔离带的（包括禁止通行的双实线、单实线等交通标志），测量从隔离带最近开口处过斑马线、天桥等行人可安全步行通道，以直线距离为测量标准，申请点与参照零售点间距=a+b+c。（如图9.1</w:t>
      </w:r>
      <w:r>
        <w:rPr>
          <w:rFonts w:hint="eastAsia" w:ascii="仿宋_GB2312" w:hAnsi="仿宋_GB2312" w:eastAsia="仿宋_GB2312" w:cs="仿宋_GB2312"/>
          <w:spacing w:val="25"/>
          <w:sz w:val="31"/>
          <w:szCs w:val="31"/>
          <w:lang w:eastAsia="zh-CN"/>
        </w:rPr>
        <w:t>）</w:t>
      </w:r>
    </w:p>
    <w:p w14:paraId="7A5F4C65">
      <w:pPr>
        <w:spacing w:line="240" w:lineRule="auto"/>
        <w:ind w:firstLine="0"/>
        <w:jc w:val="center"/>
        <w:rPr>
          <w:position w:val="-63"/>
        </w:rPr>
      </w:pPr>
    </w:p>
    <w:p w14:paraId="0A20BC16">
      <w:pPr>
        <w:spacing w:line="240" w:lineRule="auto"/>
        <w:ind w:firstLine="0"/>
        <w:jc w:val="center"/>
        <w:rPr>
          <w:rFonts w:ascii="Arial"/>
          <w:sz w:val="21"/>
        </w:rPr>
      </w:pPr>
      <w:r>
        <w:rPr>
          <w:position w:val="-63"/>
        </w:rPr>
        <w:drawing>
          <wp:inline distT="0" distB="0" distL="0" distR="0">
            <wp:extent cx="3063240" cy="1697355"/>
            <wp:effectExtent l="0" t="0" r="3810" b="17145"/>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5"/>
                    <a:stretch>
                      <a:fillRect/>
                    </a:stretch>
                  </pic:blipFill>
                  <pic:spPr>
                    <a:xfrm>
                      <a:off x="0" y="0"/>
                      <a:ext cx="3063546" cy="1697355"/>
                    </a:xfrm>
                    <a:prstGeom prst="rect">
                      <a:avLst/>
                    </a:prstGeom>
                  </pic:spPr>
                </pic:pic>
              </a:graphicData>
            </a:graphic>
          </wp:inline>
        </w:drawing>
      </w:r>
    </w:p>
    <w:p w14:paraId="74045C94">
      <w:pPr>
        <w:pStyle w:val="4"/>
        <w:spacing w:before="100" w:line="225" w:lineRule="auto"/>
        <w:ind w:left="3990"/>
        <w:jc w:val="both"/>
        <w:outlineLvl w:val="0"/>
        <w:rPr>
          <w:sz w:val="28"/>
          <w:szCs w:val="28"/>
        </w:rPr>
      </w:pPr>
      <w:r>
        <w:rPr>
          <w:spacing w:val="-9"/>
          <w:sz w:val="28"/>
          <w:szCs w:val="28"/>
        </w:rPr>
        <w:t>图</w:t>
      </w:r>
      <w:r>
        <w:rPr>
          <w:spacing w:val="-22"/>
          <w:sz w:val="28"/>
          <w:szCs w:val="28"/>
        </w:rPr>
        <w:t xml:space="preserve"> </w:t>
      </w:r>
      <w:r>
        <w:rPr>
          <w:spacing w:val="-9"/>
          <w:sz w:val="28"/>
          <w:szCs w:val="28"/>
        </w:rPr>
        <w:t>9.1</w:t>
      </w:r>
    </w:p>
    <w:p w14:paraId="1B36B017">
      <w:pPr>
        <w:pStyle w:val="4"/>
        <w:spacing w:before="139" w:line="302" w:lineRule="auto"/>
        <w:ind w:firstLine="691"/>
        <w:jc w:val="both"/>
        <w:rPr>
          <w:sz w:val="31"/>
          <w:szCs w:val="31"/>
        </w:rPr>
      </w:pPr>
      <w:r>
        <w:rPr>
          <w:rFonts w:hint="eastAsia" w:ascii="仿宋_GB2312" w:hAnsi="仿宋_GB2312" w:eastAsia="仿宋_GB2312" w:cs="仿宋_GB2312"/>
          <w:spacing w:val="25"/>
          <w:sz w:val="31"/>
          <w:szCs w:val="31"/>
        </w:rPr>
        <w:t>2.无隔离带（包括无任何禁止通行交通标志的路段或有可通行的单虚线），但两个零售点之间有斑马线的，按照“边对边”过斑马线垂直距离为测量标准。申请点与参照零售点间距=a+b+c。（如图9.2）</w:t>
      </w:r>
    </w:p>
    <w:p w14:paraId="03174B9E">
      <w:pPr>
        <w:spacing w:line="240" w:lineRule="auto"/>
        <w:ind w:firstLine="0"/>
        <w:jc w:val="center"/>
      </w:pPr>
      <w:r>
        <w:rPr>
          <w:position w:val="-59"/>
        </w:rPr>
        <w:drawing>
          <wp:inline distT="0" distB="0" distL="0" distR="0">
            <wp:extent cx="3260725" cy="2012315"/>
            <wp:effectExtent l="0" t="0" r="15875" b="6985"/>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6"/>
                    <a:stretch>
                      <a:fillRect/>
                    </a:stretch>
                  </pic:blipFill>
                  <pic:spPr>
                    <a:xfrm>
                      <a:off x="0" y="0"/>
                      <a:ext cx="3261305" cy="2012315"/>
                    </a:xfrm>
                    <a:prstGeom prst="rect">
                      <a:avLst/>
                    </a:prstGeom>
                  </pic:spPr>
                </pic:pic>
              </a:graphicData>
            </a:graphic>
          </wp:inline>
        </w:drawing>
      </w:r>
    </w:p>
    <w:p w14:paraId="0B833018">
      <w:pPr>
        <w:spacing w:line="260" w:lineRule="auto"/>
        <w:jc w:val="both"/>
        <w:rPr>
          <w:rFonts w:ascii="Arial"/>
          <w:sz w:val="21"/>
        </w:rPr>
      </w:pPr>
    </w:p>
    <w:p w14:paraId="4951629B">
      <w:pPr>
        <w:pStyle w:val="4"/>
        <w:spacing w:before="101" w:line="225" w:lineRule="auto"/>
        <w:ind w:left="4246"/>
        <w:jc w:val="both"/>
        <w:outlineLvl w:val="0"/>
        <w:rPr>
          <w:sz w:val="28"/>
          <w:szCs w:val="28"/>
        </w:rPr>
      </w:pPr>
      <w:r>
        <w:rPr>
          <w:spacing w:val="-9"/>
          <w:sz w:val="28"/>
          <w:szCs w:val="28"/>
        </w:rPr>
        <w:t>图</w:t>
      </w:r>
      <w:r>
        <w:rPr>
          <w:rFonts w:hint="eastAsia"/>
          <w:spacing w:val="-9"/>
          <w:sz w:val="28"/>
          <w:szCs w:val="28"/>
          <w:lang w:val="en-US" w:eastAsia="zh-CN"/>
        </w:rPr>
        <w:t xml:space="preserve"> </w:t>
      </w:r>
      <w:r>
        <w:rPr>
          <w:spacing w:val="-9"/>
          <w:sz w:val="28"/>
          <w:szCs w:val="28"/>
        </w:rPr>
        <w:t>9.2</w:t>
      </w:r>
    </w:p>
    <w:p w14:paraId="45D325A1">
      <w:pPr>
        <w:pStyle w:val="4"/>
        <w:spacing w:before="139" w:line="302" w:lineRule="auto"/>
        <w:ind w:firstLine="691"/>
        <w:jc w:val="both"/>
        <w:rPr>
          <w:rFonts w:hint="eastAsia" w:ascii="仿宋_GB2312" w:hAnsi="仿宋_GB2312" w:eastAsia="仿宋_GB2312" w:cs="仿宋_GB2312"/>
          <w:spacing w:val="25"/>
          <w:sz w:val="31"/>
          <w:szCs w:val="31"/>
        </w:rPr>
      </w:pPr>
      <w:r>
        <w:rPr>
          <w:rFonts w:hint="eastAsia" w:ascii="仿宋_GB2312" w:hAnsi="仿宋_GB2312" w:eastAsia="仿宋_GB2312" w:cs="仿宋_GB2312"/>
          <w:spacing w:val="25"/>
          <w:sz w:val="31"/>
          <w:szCs w:val="31"/>
        </w:rPr>
        <w:t>（十）各类综合性商品批发市场、专业市场、集贸市场内部距离测量示意图，申请点与参照零售点间距=a+b+c</w:t>
      </w:r>
      <w:r>
        <w:rPr>
          <w:rFonts w:hint="eastAsia" w:ascii="仿宋_GB2312" w:hAnsi="仿宋_GB2312" w:eastAsia="仿宋_GB2312" w:cs="仿宋_GB2312"/>
          <w:spacing w:val="25"/>
          <w:sz w:val="31"/>
          <w:szCs w:val="31"/>
          <w:lang w:eastAsia="zh-CN"/>
        </w:rPr>
        <w:t>。（</w:t>
      </w:r>
      <w:r>
        <w:rPr>
          <w:rFonts w:hint="eastAsia" w:ascii="仿宋_GB2312" w:hAnsi="仿宋_GB2312" w:eastAsia="仿宋_GB2312" w:cs="仿宋_GB2312"/>
          <w:spacing w:val="25"/>
          <w:sz w:val="31"/>
          <w:szCs w:val="31"/>
        </w:rPr>
        <w:t>如</w:t>
      </w:r>
      <w:r>
        <w:rPr>
          <w:rFonts w:hint="eastAsia" w:ascii="仿宋_GB2312" w:hAnsi="仿宋_GB2312" w:eastAsia="仿宋_GB2312" w:cs="仿宋_GB2312"/>
          <w:spacing w:val="25"/>
          <w:sz w:val="31"/>
          <w:szCs w:val="31"/>
          <w:lang w:eastAsia="zh-CN"/>
        </w:rPr>
        <w:t>图</w:t>
      </w:r>
      <w:r>
        <w:rPr>
          <w:rFonts w:hint="eastAsia" w:ascii="仿宋_GB2312" w:hAnsi="仿宋_GB2312" w:eastAsia="仿宋_GB2312" w:cs="仿宋_GB2312"/>
          <w:spacing w:val="25"/>
          <w:sz w:val="31"/>
          <w:szCs w:val="31"/>
          <w:lang w:val="en-US" w:eastAsia="zh-CN"/>
        </w:rPr>
        <w:t>10）</w:t>
      </w:r>
    </w:p>
    <w:p w14:paraId="22CAAF8E">
      <w:pPr>
        <w:spacing w:line="240" w:lineRule="auto"/>
        <w:ind w:firstLine="0"/>
        <w:jc w:val="center"/>
      </w:pPr>
      <w:r>
        <w:rPr>
          <w:position w:val="-70"/>
        </w:rPr>
        <w:drawing>
          <wp:inline distT="0" distB="0" distL="0" distR="0">
            <wp:extent cx="3850640" cy="2597150"/>
            <wp:effectExtent l="0" t="0" r="16510" b="1270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7"/>
                    <a:stretch>
                      <a:fillRect/>
                    </a:stretch>
                  </pic:blipFill>
                  <pic:spPr>
                    <a:xfrm>
                      <a:off x="0" y="0"/>
                      <a:ext cx="3851085" cy="2597150"/>
                    </a:xfrm>
                    <a:prstGeom prst="rect">
                      <a:avLst/>
                    </a:prstGeom>
                  </pic:spPr>
                </pic:pic>
              </a:graphicData>
            </a:graphic>
          </wp:inline>
        </w:drawing>
      </w:r>
    </w:p>
    <w:p w14:paraId="1B7AB7F1">
      <w:pPr>
        <w:pStyle w:val="4"/>
        <w:spacing w:before="257" w:line="225" w:lineRule="auto"/>
        <w:ind w:left="4072"/>
        <w:jc w:val="both"/>
        <w:outlineLvl w:val="0"/>
      </w:pPr>
      <w:r>
        <w:rPr>
          <w:spacing w:val="-19"/>
          <w:sz w:val="28"/>
          <w:szCs w:val="28"/>
        </w:rPr>
        <w:t>图</w:t>
      </w:r>
      <w:r>
        <w:rPr>
          <w:rFonts w:hint="eastAsia"/>
          <w:spacing w:val="-19"/>
          <w:sz w:val="28"/>
          <w:szCs w:val="28"/>
          <w:lang w:val="en-US" w:eastAsia="zh-CN"/>
        </w:rPr>
        <w:t xml:space="preserve"> </w:t>
      </w:r>
      <w:r>
        <w:rPr>
          <w:spacing w:val="-19"/>
          <w:sz w:val="28"/>
          <w:szCs w:val="28"/>
        </w:rPr>
        <w:t>10</w:t>
      </w:r>
    </w:p>
    <w:p w14:paraId="7500F4AF">
      <w:pPr>
        <w:pStyle w:val="4"/>
        <w:keepNext w:val="0"/>
        <w:keepLines w:val="0"/>
        <w:pageBreakBefore w:val="0"/>
        <w:widowControl/>
        <w:kinsoku w:val="0"/>
        <w:wordWrap/>
        <w:overflowPunct/>
        <w:topLinePunct w:val="0"/>
        <w:autoSpaceDE w:val="0"/>
        <w:autoSpaceDN w:val="0"/>
        <w:bidi w:val="0"/>
        <w:adjustRightInd w:val="0"/>
        <w:snapToGrid w:val="0"/>
        <w:spacing w:before="142" w:line="560" w:lineRule="exact"/>
        <w:ind w:firstLine="629"/>
        <w:jc w:val="both"/>
        <w:textAlignment w:val="baseline"/>
        <w:rPr>
          <w:sz w:val="31"/>
          <w:szCs w:val="31"/>
        </w:rPr>
      </w:pPr>
      <w:r>
        <w:rPr>
          <w:rFonts w:hint="eastAsia" w:ascii="仿宋_GB2312" w:hAnsi="仿宋_GB2312" w:eastAsia="仿宋_GB2312" w:cs="仿宋_GB2312"/>
          <w:spacing w:val="25"/>
          <w:sz w:val="31"/>
          <w:szCs w:val="31"/>
        </w:rPr>
        <w:t>（十一）申请点与参照零售点的经营场所之间有台阶</w:t>
      </w:r>
      <w:r>
        <w:rPr>
          <w:rFonts w:hint="eastAsia" w:ascii="仿宋_GB2312" w:hAnsi="仿宋_GB2312" w:eastAsia="仿宋_GB2312" w:cs="仿宋_GB2312"/>
          <w:spacing w:val="25"/>
          <w:sz w:val="31"/>
          <w:szCs w:val="31"/>
          <w:lang w:eastAsia="zh-CN"/>
        </w:rPr>
        <w:t>、</w:t>
      </w:r>
      <w:r>
        <w:rPr>
          <w:rFonts w:hint="eastAsia" w:ascii="仿宋_GB2312" w:hAnsi="仿宋_GB2312" w:eastAsia="仿宋_GB2312" w:cs="仿宋_GB2312"/>
          <w:spacing w:val="25"/>
          <w:sz w:val="31"/>
          <w:szCs w:val="31"/>
        </w:rPr>
        <w:t>楼梯的，以其平面坡长进行测量；有电梯的，以层高进行测量；楼梯与电梯并存的，以最短距离的为准。（如图11</w:t>
      </w:r>
      <w:r>
        <w:rPr>
          <w:rFonts w:hint="eastAsia" w:ascii="仿宋_GB2312" w:hAnsi="仿宋_GB2312" w:eastAsia="仿宋_GB2312" w:cs="仿宋_GB2312"/>
          <w:spacing w:val="25"/>
          <w:sz w:val="31"/>
          <w:szCs w:val="31"/>
          <w:lang w:eastAsia="zh-CN"/>
        </w:rPr>
        <w:t>）</w:t>
      </w:r>
    </w:p>
    <w:p w14:paraId="7A95B4DB">
      <w:pPr>
        <w:spacing w:line="240" w:lineRule="auto"/>
        <w:ind w:firstLine="0"/>
        <w:jc w:val="center"/>
      </w:pPr>
      <w:r>
        <w:rPr>
          <w:position w:val="-69"/>
        </w:rPr>
        <w:drawing>
          <wp:inline distT="0" distB="0" distL="0" distR="0">
            <wp:extent cx="5163185" cy="1851660"/>
            <wp:effectExtent l="0" t="0" r="18415" b="1524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8"/>
                    <a:stretch>
                      <a:fillRect/>
                    </a:stretch>
                  </pic:blipFill>
                  <pic:spPr>
                    <a:xfrm>
                      <a:off x="0" y="0"/>
                      <a:ext cx="5163227" cy="1851660"/>
                    </a:xfrm>
                    <a:prstGeom prst="rect">
                      <a:avLst/>
                    </a:prstGeom>
                  </pic:spPr>
                </pic:pic>
              </a:graphicData>
            </a:graphic>
          </wp:inline>
        </w:drawing>
      </w:r>
    </w:p>
    <w:p w14:paraId="7D935440">
      <w:pPr>
        <w:pStyle w:val="4"/>
        <w:spacing w:before="281" w:line="225" w:lineRule="auto"/>
        <w:ind w:left="4411"/>
        <w:jc w:val="both"/>
        <w:outlineLvl w:val="0"/>
        <w:rPr>
          <w:sz w:val="28"/>
          <w:szCs w:val="28"/>
        </w:rPr>
      </w:pPr>
      <w:r>
        <w:rPr>
          <w:spacing w:val="-18"/>
          <w:sz w:val="28"/>
          <w:szCs w:val="28"/>
        </w:rPr>
        <w:t>图 11</w:t>
      </w:r>
    </w:p>
    <w:p w14:paraId="08E32797">
      <w:pPr>
        <w:pStyle w:val="4"/>
        <w:keepNext w:val="0"/>
        <w:keepLines w:val="0"/>
        <w:pageBreakBefore w:val="0"/>
        <w:widowControl/>
        <w:kinsoku w:val="0"/>
        <w:wordWrap/>
        <w:overflowPunct/>
        <w:topLinePunct w:val="0"/>
        <w:autoSpaceDE w:val="0"/>
        <w:autoSpaceDN w:val="0"/>
        <w:bidi w:val="0"/>
        <w:adjustRightInd w:val="0"/>
        <w:snapToGrid w:val="0"/>
        <w:spacing w:before="141" w:line="560" w:lineRule="exact"/>
        <w:ind w:left="667"/>
        <w:jc w:val="both"/>
        <w:textAlignment w:val="baseline"/>
        <w:outlineLvl w:val="2"/>
        <w:rPr>
          <w:rFonts w:hint="eastAsia" w:ascii="仿宋_GB2312" w:hAnsi="仿宋_GB2312" w:eastAsia="仿宋_GB2312" w:cs="仿宋_GB2312"/>
          <w:sz w:val="31"/>
          <w:szCs w:val="31"/>
        </w:rPr>
      </w:pPr>
      <w:r>
        <w:rPr>
          <w:rFonts w:hint="eastAsia" w:ascii="仿宋_GB2312" w:hAnsi="仿宋_GB2312" w:eastAsia="仿宋_GB2312" w:cs="仿宋_GB2312"/>
          <w:spacing w:val="19"/>
          <w:sz w:val="31"/>
          <w:szCs w:val="31"/>
        </w:rPr>
        <w:t>（十二）申请点或零售点多门情况</w:t>
      </w:r>
    </w:p>
    <w:p w14:paraId="2FA2EF74">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7" w:right="25" w:firstLine="719"/>
        <w:jc w:val="both"/>
        <w:textAlignment w:val="baseline"/>
        <w:rPr>
          <w:rFonts w:hint="eastAsia" w:ascii="仿宋_GB2312" w:hAnsi="仿宋_GB2312" w:eastAsia="仿宋_GB2312" w:cs="仿宋_GB2312"/>
          <w:sz w:val="31"/>
          <w:szCs w:val="31"/>
        </w:rPr>
      </w:pPr>
      <w:r>
        <w:rPr>
          <w:rFonts w:hint="eastAsia" w:ascii="仿宋_GB2312" w:hAnsi="仿宋_GB2312" w:eastAsia="仿宋_GB2312" w:cs="仿宋_GB2312"/>
          <w:spacing w:val="22"/>
          <w:sz w:val="31"/>
          <w:szCs w:val="31"/>
        </w:rPr>
        <w:t>申请人经营场所门面多面（多间）贯通且多面经营的</w:t>
      </w:r>
      <w:r>
        <w:rPr>
          <w:rFonts w:hint="eastAsia" w:ascii="仿宋_GB2312" w:hAnsi="仿宋_GB2312" w:eastAsia="仿宋_GB2312" w:cs="仿宋_GB2312"/>
          <w:spacing w:val="22"/>
          <w:sz w:val="31"/>
          <w:szCs w:val="31"/>
          <w:lang w:eastAsia="zh-CN"/>
        </w:rPr>
        <w:t>，</w:t>
      </w:r>
      <w:r>
        <w:rPr>
          <w:rFonts w:hint="eastAsia" w:ascii="仿宋_GB2312" w:hAnsi="仿宋_GB2312" w:eastAsia="仿宋_GB2312" w:cs="仿宋_GB2312"/>
          <w:spacing w:val="24"/>
          <w:sz w:val="31"/>
          <w:szCs w:val="31"/>
        </w:rPr>
        <w:t>测量起始点的选取规则是：申请人与参照零售点之间距离最</w:t>
      </w:r>
      <w:r>
        <w:rPr>
          <w:rFonts w:hint="eastAsia" w:ascii="仿宋_GB2312" w:hAnsi="仿宋_GB2312" w:eastAsia="仿宋_GB2312" w:cs="仿宋_GB2312"/>
          <w:spacing w:val="23"/>
          <w:sz w:val="31"/>
          <w:szCs w:val="31"/>
        </w:rPr>
        <w:t>近的门面为起始点测量。</w:t>
      </w:r>
    </w:p>
    <w:p w14:paraId="5634BC44">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7" w:right="25" w:firstLine="719"/>
        <w:jc w:val="both"/>
        <w:textAlignment w:val="baseline"/>
        <w:rPr>
          <w:rFonts w:hint="eastAsia" w:ascii="仿宋_GB2312" w:hAnsi="仿宋_GB2312" w:eastAsia="仿宋_GB2312" w:cs="仿宋_GB2312"/>
          <w:spacing w:val="24"/>
          <w:sz w:val="31"/>
          <w:szCs w:val="31"/>
        </w:rPr>
      </w:pPr>
      <w:r>
        <w:rPr>
          <w:rFonts w:hint="eastAsia" w:ascii="仿宋_GB2312" w:hAnsi="仿宋_GB2312" w:eastAsia="仿宋_GB2312" w:cs="仿宋_GB2312"/>
          <w:spacing w:val="24"/>
          <w:sz w:val="31"/>
          <w:szCs w:val="31"/>
        </w:rPr>
        <w:t>1.道路同侧情况</w:t>
      </w:r>
    </w:p>
    <w:p w14:paraId="42BDD5D3">
      <w:pPr>
        <w:pStyle w:val="4"/>
        <w:keepNext w:val="0"/>
        <w:keepLines w:val="0"/>
        <w:pageBreakBefore w:val="0"/>
        <w:widowControl/>
        <w:kinsoku w:val="0"/>
        <w:wordWrap/>
        <w:overflowPunct/>
        <w:topLinePunct w:val="0"/>
        <w:autoSpaceDE w:val="0"/>
        <w:autoSpaceDN w:val="0"/>
        <w:bidi w:val="0"/>
        <w:adjustRightInd w:val="0"/>
        <w:snapToGrid w:val="0"/>
        <w:spacing w:before="101" w:line="560" w:lineRule="exact"/>
        <w:ind w:left="7" w:right="25" w:firstLine="719"/>
        <w:jc w:val="both"/>
        <w:textAlignment w:val="baseline"/>
        <w:rPr>
          <w:rFonts w:hint="eastAsia" w:ascii="仿宋_GB2312" w:hAnsi="仿宋_GB2312" w:eastAsia="仿宋_GB2312" w:cs="仿宋_GB2312"/>
          <w:spacing w:val="24"/>
          <w:sz w:val="32"/>
          <w:szCs w:val="32"/>
        </w:rPr>
      </w:pPr>
      <w:r>
        <w:rPr>
          <w:rFonts w:hint="eastAsia" w:ascii="仿宋_GB2312" w:hAnsi="仿宋_GB2312" w:eastAsia="仿宋_GB2312" w:cs="仿宋_GB2312"/>
          <w:spacing w:val="24"/>
          <w:sz w:val="31"/>
          <w:szCs w:val="31"/>
        </w:rPr>
        <w:t>申请点出入口较多，取与最近零售点经营场所最短的出入口进行测量。（如图12.1）</w:t>
      </w:r>
    </w:p>
    <w:p w14:paraId="10C8A910">
      <w:pPr>
        <w:spacing w:line="240" w:lineRule="auto"/>
        <w:ind w:firstLine="0"/>
        <w:jc w:val="center"/>
      </w:pPr>
      <w:r>
        <w:rPr>
          <w:position w:val="-69"/>
        </w:rPr>
        <w:drawing>
          <wp:inline distT="0" distB="0" distL="0" distR="0">
            <wp:extent cx="4333875" cy="1481455"/>
            <wp:effectExtent l="0" t="0" r="9525" b="4445"/>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9"/>
                    <a:stretch>
                      <a:fillRect/>
                    </a:stretch>
                  </pic:blipFill>
                  <pic:spPr>
                    <a:xfrm>
                      <a:off x="0" y="0"/>
                      <a:ext cx="4334185" cy="1481455"/>
                    </a:xfrm>
                    <a:prstGeom prst="rect">
                      <a:avLst/>
                    </a:prstGeom>
                  </pic:spPr>
                </pic:pic>
              </a:graphicData>
            </a:graphic>
          </wp:inline>
        </w:drawing>
      </w:r>
    </w:p>
    <w:p w14:paraId="500DF193">
      <w:pPr>
        <w:pStyle w:val="4"/>
        <w:spacing w:before="281" w:line="225" w:lineRule="auto"/>
        <w:ind w:left="4258"/>
        <w:jc w:val="both"/>
        <w:outlineLvl w:val="0"/>
        <w:rPr>
          <w:sz w:val="28"/>
          <w:szCs w:val="28"/>
        </w:rPr>
      </w:pPr>
      <w:r>
        <w:rPr>
          <w:spacing w:val="-12"/>
          <w:sz w:val="28"/>
          <w:szCs w:val="28"/>
        </w:rPr>
        <w:t>图</w:t>
      </w:r>
      <w:r>
        <w:rPr>
          <w:spacing w:val="-38"/>
          <w:sz w:val="28"/>
          <w:szCs w:val="28"/>
        </w:rPr>
        <w:t xml:space="preserve"> </w:t>
      </w:r>
      <w:r>
        <w:rPr>
          <w:spacing w:val="-12"/>
          <w:sz w:val="28"/>
          <w:szCs w:val="28"/>
        </w:rPr>
        <w:t>12.1</w:t>
      </w:r>
    </w:p>
    <w:p w14:paraId="3681AB86">
      <w:pPr>
        <w:pStyle w:val="4"/>
        <w:spacing w:before="140" w:line="220" w:lineRule="auto"/>
        <w:ind w:left="653"/>
        <w:jc w:val="both"/>
      </w:pPr>
      <w:r>
        <w:rPr>
          <w:spacing w:val="5"/>
        </w:rPr>
        <w:t>2.十字路口情况</w:t>
      </w:r>
    </w:p>
    <w:p w14:paraId="49CB284A">
      <w:pPr>
        <w:pStyle w:val="4"/>
        <w:spacing w:before="215" w:line="346" w:lineRule="auto"/>
        <w:ind w:firstLine="632"/>
        <w:jc w:val="both"/>
        <w:rPr>
          <w:rFonts w:ascii="Arial"/>
          <w:sz w:val="21"/>
        </w:rPr>
      </w:pPr>
      <w:r>
        <w:rPr>
          <w:spacing w:val="9"/>
        </w:rPr>
        <w:t>（1）申请点与参照零售点在十字路口中轴线同一</w:t>
      </w:r>
      <w:r>
        <w:rPr>
          <w:spacing w:val="8"/>
        </w:rPr>
        <w:t>半侧的道</w:t>
      </w:r>
      <w:r>
        <w:rPr>
          <w:spacing w:val="16"/>
        </w:rPr>
        <w:t>路对侧的，取申请点至零售点最近一侧的门边，测量可安全步</w:t>
      </w:r>
      <w:r>
        <w:rPr>
          <w:spacing w:val="17"/>
        </w:rPr>
        <w:t>行的最短距离。具体测量办法视有无交通信号灯、人行横道或</w:t>
      </w:r>
      <w:r>
        <w:rPr>
          <w:spacing w:val="1"/>
        </w:rPr>
        <w:t>过街设施的路段以及障碍物情况而定。（如</w:t>
      </w:r>
      <w:r>
        <w:t>图</w:t>
      </w:r>
      <w:r>
        <w:rPr>
          <w:rFonts w:hint="eastAsia"/>
          <w:lang w:val="en-US" w:eastAsia="zh-CN"/>
        </w:rPr>
        <w:t xml:space="preserve"> </w:t>
      </w:r>
      <w:r>
        <w:t>12.2）</w:t>
      </w:r>
    </w:p>
    <w:p w14:paraId="68F56EE3">
      <w:pPr>
        <w:spacing w:line="240" w:lineRule="auto"/>
        <w:ind w:firstLine="0"/>
        <w:jc w:val="center"/>
      </w:pPr>
      <w:r>
        <w:rPr>
          <w:position w:val="-69"/>
        </w:rPr>
        <w:drawing>
          <wp:inline distT="0" distB="0" distL="0" distR="0">
            <wp:extent cx="3153410" cy="1487170"/>
            <wp:effectExtent l="0" t="0" r="8890" b="1778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0"/>
                    <a:stretch>
                      <a:fillRect/>
                    </a:stretch>
                  </pic:blipFill>
                  <pic:spPr>
                    <a:xfrm>
                      <a:off x="0" y="0"/>
                      <a:ext cx="3153410" cy="1487170"/>
                    </a:xfrm>
                    <a:prstGeom prst="rect">
                      <a:avLst/>
                    </a:prstGeom>
                  </pic:spPr>
                </pic:pic>
              </a:graphicData>
            </a:graphic>
          </wp:inline>
        </w:drawing>
      </w:r>
    </w:p>
    <w:p w14:paraId="72E146C4">
      <w:pPr>
        <w:pStyle w:val="4"/>
        <w:spacing w:before="187" w:line="225" w:lineRule="auto"/>
        <w:ind w:left="4255"/>
        <w:jc w:val="both"/>
        <w:outlineLvl w:val="0"/>
        <w:rPr>
          <w:sz w:val="28"/>
          <w:szCs w:val="28"/>
        </w:rPr>
      </w:pPr>
      <w:r>
        <w:rPr>
          <w:spacing w:val="-12"/>
          <w:sz w:val="28"/>
          <w:szCs w:val="28"/>
        </w:rPr>
        <w:t>图</w:t>
      </w:r>
      <w:r>
        <w:rPr>
          <w:spacing w:val="-38"/>
          <w:sz w:val="28"/>
          <w:szCs w:val="28"/>
        </w:rPr>
        <w:t xml:space="preserve"> </w:t>
      </w:r>
      <w:r>
        <w:rPr>
          <w:spacing w:val="-12"/>
          <w:sz w:val="28"/>
          <w:szCs w:val="28"/>
        </w:rPr>
        <w:t>12.2</w:t>
      </w:r>
    </w:p>
    <w:p w14:paraId="2298D95A">
      <w:pPr>
        <w:pStyle w:val="4"/>
        <w:spacing w:before="215" w:line="346" w:lineRule="auto"/>
        <w:ind w:firstLine="632"/>
        <w:jc w:val="both"/>
        <w:rPr>
          <w:rFonts w:hint="eastAsia"/>
          <w:spacing w:val="9"/>
        </w:rPr>
      </w:pPr>
      <w:r>
        <w:rPr>
          <w:rFonts w:hint="eastAsia"/>
          <w:spacing w:val="9"/>
        </w:rPr>
        <w:t>（2）申请点与参照零售点位于十字路口对角位置的，且路口中间设有交通信号灯、人行横道或过街设施的，应按照交通规则，通过人行横道或过街设施，按申请点最近一侧门边至零售点最近一侧门边可安全步行最短距离。（如图</w:t>
      </w:r>
      <w:r>
        <w:rPr>
          <w:rFonts w:hint="eastAsia"/>
          <w:spacing w:val="9"/>
          <w:lang w:val="en-US" w:eastAsia="zh-CN"/>
        </w:rPr>
        <w:t xml:space="preserve"> </w:t>
      </w:r>
      <w:r>
        <w:rPr>
          <w:rFonts w:hint="eastAsia"/>
          <w:spacing w:val="9"/>
        </w:rPr>
        <w:t>12.3存在多条线路取其中可安全步行最短距离线路测量）</w:t>
      </w:r>
    </w:p>
    <w:p w14:paraId="3D0A524C">
      <w:pPr>
        <w:spacing w:line="240" w:lineRule="auto"/>
        <w:ind w:firstLine="0"/>
        <w:jc w:val="center"/>
      </w:pPr>
      <w:r>
        <w:rPr>
          <w:position w:val="-79"/>
        </w:rPr>
        <w:drawing>
          <wp:inline distT="0" distB="0" distL="0" distR="0">
            <wp:extent cx="3740785" cy="1675765"/>
            <wp:effectExtent l="0" t="0" r="12065" b="635"/>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1"/>
                    <a:stretch>
                      <a:fillRect/>
                    </a:stretch>
                  </pic:blipFill>
                  <pic:spPr>
                    <a:xfrm>
                      <a:off x="0" y="0"/>
                      <a:ext cx="3740785" cy="1675765"/>
                    </a:xfrm>
                    <a:prstGeom prst="rect">
                      <a:avLst/>
                    </a:prstGeom>
                  </pic:spPr>
                </pic:pic>
              </a:graphicData>
            </a:graphic>
          </wp:inline>
        </w:drawing>
      </w:r>
    </w:p>
    <w:p w14:paraId="1CA35445">
      <w:pPr>
        <w:pStyle w:val="4"/>
        <w:spacing w:before="197" w:line="225" w:lineRule="auto"/>
        <w:ind w:left="4255"/>
        <w:jc w:val="both"/>
        <w:outlineLvl w:val="0"/>
        <w:rPr>
          <w:sz w:val="28"/>
          <w:szCs w:val="28"/>
        </w:rPr>
      </w:pPr>
      <w:r>
        <w:rPr>
          <w:spacing w:val="-12"/>
          <w:sz w:val="28"/>
          <w:szCs w:val="28"/>
        </w:rPr>
        <w:t>图</w:t>
      </w:r>
      <w:r>
        <w:rPr>
          <w:spacing w:val="-38"/>
          <w:sz w:val="28"/>
          <w:szCs w:val="28"/>
        </w:rPr>
        <w:t xml:space="preserve"> </w:t>
      </w:r>
      <w:r>
        <w:rPr>
          <w:spacing w:val="-12"/>
          <w:sz w:val="28"/>
          <w:szCs w:val="28"/>
        </w:rPr>
        <w:t>12.3</w:t>
      </w:r>
    </w:p>
    <w:p w14:paraId="4272CDE5">
      <w:pPr>
        <w:pStyle w:val="4"/>
        <w:keepNext w:val="0"/>
        <w:keepLines w:val="0"/>
        <w:pageBreakBefore w:val="0"/>
        <w:widowControl/>
        <w:kinsoku w:val="0"/>
        <w:wordWrap/>
        <w:overflowPunct/>
        <w:topLinePunct w:val="0"/>
        <w:autoSpaceDE w:val="0"/>
        <w:autoSpaceDN w:val="0"/>
        <w:bidi w:val="0"/>
        <w:adjustRightInd w:val="0"/>
        <w:snapToGrid w:val="0"/>
        <w:spacing w:before="142" w:line="560" w:lineRule="exact"/>
        <w:ind w:left="3" w:right="17" w:firstLine="671"/>
        <w:jc w:val="both"/>
        <w:textAlignment w:val="baseline"/>
        <w:rPr>
          <w:rFonts w:hint="eastAsia" w:ascii="仿宋_GB2312" w:hAnsi="仿宋_GB2312" w:eastAsia="仿宋_GB2312" w:cs="仿宋_GB2312"/>
          <w:spacing w:val="26"/>
        </w:rPr>
      </w:pPr>
      <w:r>
        <w:rPr>
          <w:rFonts w:hint="eastAsia" w:ascii="仿宋_GB2312" w:hAnsi="仿宋_GB2312" w:eastAsia="仿宋_GB2312" w:cs="仿宋_GB2312"/>
          <w:spacing w:val="26"/>
        </w:rPr>
        <w:t>（3）申请点与参照零售点位于十字路口对角位置，且路口中间未设有交通信号灯、人行横道或过街设施的，按申请点至零售点最近一侧的门边，测量可安全步行最短距离。（如图 12.4存在多条线路，取其中一条可安全步行最短距离线路测量）</w:t>
      </w:r>
    </w:p>
    <w:p w14:paraId="49805174">
      <w:pPr>
        <w:spacing w:line="240" w:lineRule="auto"/>
        <w:ind w:firstLine="0"/>
        <w:jc w:val="center"/>
      </w:pPr>
      <w:r>
        <w:rPr>
          <w:position w:val="-86"/>
        </w:rPr>
        <w:drawing>
          <wp:inline distT="0" distB="0" distL="0" distR="0">
            <wp:extent cx="3481705" cy="1884680"/>
            <wp:effectExtent l="0" t="0" r="4445" b="127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32"/>
                    <a:stretch>
                      <a:fillRect/>
                    </a:stretch>
                  </pic:blipFill>
                  <pic:spPr>
                    <a:xfrm>
                      <a:off x="0" y="0"/>
                      <a:ext cx="3481705" cy="1884680"/>
                    </a:xfrm>
                    <a:prstGeom prst="rect">
                      <a:avLst/>
                    </a:prstGeom>
                  </pic:spPr>
                </pic:pic>
              </a:graphicData>
            </a:graphic>
          </wp:inline>
        </w:drawing>
      </w:r>
    </w:p>
    <w:p w14:paraId="29B4A37A">
      <w:pPr>
        <w:pStyle w:val="4"/>
        <w:spacing w:before="177" w:line="225" w:lineRule="auto"/>
        <w:ind w:left="4262"/>
        <w:jc w:val="both"/>
        <w:rPr>
          <w:sz w:val="28"/>
          <w:szCs w:val="28"/>
        </w:rPr>
      </w:pPr>
      <w:r>
        <w:rPr>
          <w:spacing w:val="-12"/>
          <w:sz w:val="28"/>
          <w:szCs w:val="28"/>
        </w:rPr>
        <w:t>图</w:t>
      </w:r>
      <w:r>
        <w:rPr>
          <w:spacing w:val="-38"/>
          <w:sz w:val="28"/>
          <w:szCs w:val="28"/>
        </w:rPr>
        <w:t xml:space="preserve"> </w:t>
      </w:r>
      <w:r>
        <w:rPr>
          <w:spacing w:val="-12"/>
          <w:sz w:val="28"/>
          <w:szCs w:val="28"/>
        </w:rPr>
        <w:t>12.4</w:t>
      </w:r>
    </w:p>
    <w:p w14:paraId="3ED20A2E">
      <w:pPr>
        <w:pStyle w:val="4"/>
        <w:keepNext w:val="0"/>
        <w:keepLines w:val="0"/>
        <w:pageBreakBefore w:val="0"/>
        <w:widowControl/>
        <w:kinsoku w:val="0"/>
        <w:wordWrap/>
        <w:overflowPunct/>
        <w:topLinePunct w:val="0"/>
        <w:autoSpaceDE w:val="0"/>
        <w:autoSpaceDN w:val="0"/>
        <w:bidi w:val="0"/>
        <w:adjustRightInd w:val="0"/>
        <w:snapToGrid w:val="0"/>
        <w:spacing w:before="142" w:line="560" w:lineRule="exact"/>
        <w:ind w:left="3" w:right="17" w:firstLine="671"/>
        <w:jc w:val="both"/>
        <w:textAlignment w:val="baseline"/>
        <w:rPr>
          <w:rFonts w:hint="eastAsia" w:ascii="仿宋_GB2312" w:hAnsi="仿宋_GB2312" w:eastAsia="仿宋_GB2312" w:cs="仿宋_GB2312"/>
        </w:rPr>
      </w:pPr>
      <w:r>
        <w:rPr>
          <w:rFonts w:hint="eastAsia" w:ascii="仿宋_GB2312" w:hAnsi="仿宋_GB2312" w:eastAsia="仿宋_GB2312" w:cs="仿宋_GB2312"/>
          <w:spacing w:val="26"/>
        </w:rPr>
        <w:t>（十三）封闭式小区内部、广场等区域零售点</w:t>
      </w:r>
      <w:r>
        <w:rPr>
          <w:rFonts w:hint="eastAsia" w:ascii="仿宋_GB2312" w:hAnsi="仿宋_GB2312" w:eastAsia="仿宋_GB2312" w:cs="仿宋_GB2312"/>
          <w:spacing w:val="25"/>
        </w:rPr>
        <w:t>的间距测</w:t>
      </w:r>
      <w:r>
        <w:rPr>
          <w:rFonts w:hint="eastAsia" w:ascii="仿宋_GB2312" w:hAnsi="仿宋_GB2312" w:eastAsia="仿宋_GB2312" w:cs="仿宋_GB2312"/>
          <w:spacing w:val="29"/>
        </w:rPr>
        <w:t>量方法均以原设计道路、人行通道正常安全步行的</w:t>
      </w:r>
      <w:r>
        <w:rPr>
          <w:rFonts w:hint="eastAsia" w:ascii="仿宋_GB2312" w:hAnsi="仿宋_GB2312" w:eastAsia="仿宋_GB2312" w:cs="仿宋_GB2312"/>
          <w:spacing w:val="28"/>
        </w:rPr>
        <w:t>最短距离</w:t>
      </w:r>
      <w:r>
        <w:rPr>
          <w:rFonts w:hint="eastAsia" w:ascii="仿宋_GB2312" w:hAnsi="仿宋_GB2312" w:eastAsia="仿宋_GB2312" w:cs="仿宋_GB2312"/>
          <w:spacing w:val="17"/>
        </w:rPr>
        <w:t>进行测量。</w:t>
      </w:r>
    </w:p>
    <w:p w14:paraId="5F10AB7E">
      <w:pPr>
        <w:pStyle w:val="4"/>
        <w:keepNext w:val="0"/>
        <w:keepLines w:val="0"/>
        <w:pageBreakBefore w:val="0"/>
        <w:widowControl/>
        <w:kinsoku w:val="0"/>
        <w:wordWrap/>
        <w:overflowPunct/>
        <w:topLinePunct w:val="0"/>
        <w:autoSpaceDE w:val="0"/>
        <w:autoSpaceDN w:val="0"/>
        <w:bidi w:val="0"/>
        <w:adjustRightInd w:val="0"/>
        <w:snapToGrid w:val="0"/>
        <w:spacing w:before="205" w:line="560" w:lineRule="exact"/>
        <w:ind w:left="16" w:right="17" w:firstLine="658"/>
        <w:jc w:val="both"/>
        <w:textAlignment w:val="baseline"/>
        <w:rPr>
          <w:rFonts w:hint="eastAsia" w:ascii="仿宋_GB2312" w:hAnsi="仿宋_GB2312" w:eastAsia="仿宋_GB2312" w:cs="仿宋_GB2312"/>
        </w:rPr>
      </w:pPr>
      <w:r>
        <w:rPr>
          <w:rFonts w:hint="eastAsia" w:ascii="仿宋_GB2312" w:hAnsi="仿宋_GB2312" w:eastAsia="仿宋_GB2312" w:cs="仿宋_GB2312"/>
          <w:spacing w:val="22"/>
        </w:rPr>
        <w:t>（十四）特殊地形测量：因地形、地貌或设计等</w:t>
      </w:r>
      <w:r>
        <w:rPr>
          <w:rFonts w:hint="eastAsia" w:ascii="仿宋_GB2312" w:hAnsi="仿宋_GB2312" w:eastAsia="仿宋_GB2312" w:cs="仿宋_GB2312"/>
          <w:spacing w:val="21"/>
        </w:rPr>
        <w:t>原因导致道路、通道成不规则形态，通过前述方法无法测量的，以</w:t>
      </w:r>
      <w:r>
        <w:rPr>
          <w:rFonts w:hint="eastAsia" w:ascii="仿宋_GB2312" w:hAnsi="仿宋_GB2312" w:eastAsia="仿宋_GB2312" w:cs="仿宋_GB2312"/>
          <w:spacing w:val="24"/>
        </w:rPr>
        <w:t>可安全步行最短距离进行测量。</w:t>
      </w:r>
    </w:p>
    <w:p w14:paraId="478CF984">
      <w:pPr>
        <w:spacing w:line="304" w:lineRule="auto"/>
        <w:jc w:val="both"/>
        <w:sectPr>
          <w:headerReference r:id="rId5" w:type="default"/>
          <w:footerReference r:id="rId6" w:type="default"/>
          <w:pgSz w:w="11906" w:h="16838"/>
          <w:pgMar w:top="2098" w:right="1474" w:bottom="1984" w:left="1587" w:header="0" w:footer="0" w:gutter="0"/>
          <w:cols w:space="720" w:num="1"/>
        </w:sectPr>
      </w:pPr>
    </w:p>
    <w:p w14:paraId="27E5097C">
      <w:pPr>
        <w:spacing w:before="100" w:line="228" w:lineRule="auto"/>
        <w:ind w:left="636"/>
        <w:jc w:val="both"/>
        <w:rPr>
          <w:rFonts w:ascii="黑体" w:hAnsi="黑体" w:eastAsia="黑体" w:cs="黑体"/>
          <w:sz w:val="31"/>
          <w:szCs w:val="31"/>
        </w:rPr>
      </w:pPr>
      <w:r>
        <w:rPr>
          <w:rFonts w:ascii="黑体" w:hAnsi="黑体" w:eastAsia="黑体" w:cs="黑体"/>
          <w:spacing w:val="9"/>
          <w:sz w:val="31"/>
          <w:szCs w:val="31"/>
        </w:rPr>
        <w:t>附件2</w:t>
      </w:r>
    </w:p>
    <w:p w14:paraId="0254D583">
      <w:pPr>
        <w:spacing w:before="51" w:line="238" w:lineRule="auto"/>
        <w:ind w:left="3311"/>
        <w:jc w:val="both"/>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云南省红塔区烟草制品零售点合理布局公示表</w:t>
      </w:r>
    </w:p>
    <w:p w14:paraId="1B599D18">
      <w:pPr>
        <w:spacing w:before="176" w:line="287" w:lineRule="exact"/>
        <w:jc w:val="both"/>
        <w:rPr>
          <w:rFonts w:ascii="宋体" w:hAnsi="宋体" w:eastAsia="宋体" w:cs="宋体"/>
          <w:sz w:val="21"/>
          <w:szCs w:val="21"/>
        </w:rPr>
      </w:pPr>
      <w:r>
        <w:rPr>
          <w:rFonts w:ascii="宋体" w:hAnsi="宋体" w:eastAsia="宋体" w:cs="宋体"/>
          <w:spacing w:val="-2"/>
          <w:position w:val="1"/>
          <w:sz w:val="21"/>
          <w:szCs w:val="21"/>
        </w:rPr>
        <w:t>单位：红塔区烟草专卖局                                                          公示时间：</w:t>
      </w:r>
      <w:r>
        <w:rPr>
          <w:rFonts w:hint="eastAsia" w:ascii="Arial" w:hAnsi="Arial" w:eastAsia="Arial" w:cs="Arial"/>
          <w:color w:val="0000FF"/>
          <w:spacing w:val="-2"/>
          <w:position w:val="1"/>
          <w:sz w:val="21"/>
          <w:szCs w:val="21"/>
        </w:rPr>
        <w:t>202</w:t>
      </w:r>
      <w:r>
        <w:rPr>
          <w:rFonts w:hint="eastAsia" w:eastAsia="宋体" w:cs="Arial"/>
          <w:color w:val="0000FF"/>
          <w:spacing w:val="-2"/>
          <w:position w:val="1"/>
          <w:sz w:val="21"/>
          <w:szCs w:val="21"/>
          <w:lang w:val="en-US" w:eastAsia="zh-CN"/>
        </w:rPr>
        <w:t>6</w:t>
      </w:r>
      <w:r>
        <w:rPr>
          <w:rFonts w:hint="eastAsia" w:ascii="Arial" w:hAnsi="Arial" w:eastAsia="Arial" w:cs="Arial"/>
          <w:color w:val="0000FF"/>
          <w:spacing w:val="-2"/>
          <w:position w:val="1"/>
          <w:sz w:val="21"/>
          <w:szCs w:val="21"/>
        </w:rPr>
        <w:t>年</w:t>
      </w:r>
      <w:r>
        <w:rPr>
          <w:rFonts w:hint="eastAsia" w:eastAsia="宋体" w:cs="Arial"/>
          <w:color w:val="0000FF"/>
          <w:spacing w:val="-2"/>
          <w:position w:val="1"/>
          <w:sz w:val="21"/>
          <w:szCs w:val="21"/>
          <w:lang w:val="en-US" w:eastAsia="zh-CN"/>
        </w:rPr>
        <w:t>XX</w:t>
      </w:r>
      <w:r>
        <w:rPr>
          <w:rFonts w:hint="eastAsia" w:ascii="Arial" w:hAnsi="Arial" w:eastAsia="Arial" w:cs="Arial"/>
          <w:color w:val="0000FF"/>
          <w:spacing w:val="-2"/>
          <w:position w:val="1"/>
          <w:sz w:val="21"/>
          <w:szCs w:val="21"/>
        </w:rPr>
        <w:t>月</w:t>
      </w:r>
      <w:r>
        <w:rPr>
          <w:rFonts w:hint="eastAsia" w:eastAsia="宋体" w:cs="Arial"/>
          <w:color w:val="0000FF"/>
          <w:spacing w:val="-2"/>
          <w:position w:val="1"/>
          <w:sz w:val="21"/>
          <w:szCs w:val="21"/>
          <w:lang w:val="en-US" w:eastAsia="zh-CN"/>
        </w:rPr>
        <w:t>XX</w:t>
      </w:r>
      <w:r>
        <w:rPr>
          <w:rFonts w:hint="eastAsia" w:ascii="Arial" w:hAnsi="Arial" w:eastAsia="Arial" w:cs="Arial"/>
          <w:color w:val="0000FF"/>
          <w:spacing w:val="-2"/>
          <w:position w:val="1"/>
          <w:sz w:val="21"/>
          <w:szCs w:val="21"/>
        </w:rPr>
        <w:t>日-</w:t>
      </w:r>
      <w:r>
        <w:rPr>
          <w:rFonts w:hint="eastAsia" w:eastAsia="宋体" w:cs="Arial"/>
          <w:color w:val="0000FF"/>
          <w:spacing w:val="-2"/>
          <w:position w:val="1"/>
          <w:sz w:val="21"/>
          <w:szCs w:val="21"/>
          <w:lang w:val="en-US" w:eastAsia="zh-CN"/>
        </w:rPr>
        <w:t>XX</w:t>
      </w:r>
      <w:r>
        <w:rPr>
          <w:rFonts w:hint="eastAsia" w:ascii="Arial" w:hAnsi="Arial" w:eastAsia="Arial" w:cs="Arial"/>
          <w:color w:val="0000FF"/>
          <w:spacing w:val="-2"/>
          <w:position w:val="1"/>
          <w:sz w:val="21"/>
          <w:szCs w:val="21"/>
        </w:rPr>
        <w:t>年</w:t>
      </w:r>
      <w:r>
        <w:rPr>
          <w:rFonts w:hint="eastAsia" w:eastAsia="宋体" w:cs="Arial"/>
          <w:color w:val="0000FF"/>
          <w:spacing w:val="-2"/>
          <w:position w:val="1"/>
          <w:sz w:val="21"/>
          <w:szCs w:val="21"/>
          <w:lang w:val="en-US" w:eastAsia="zh-CN"/>
        </w:rPr>
        <w:t>XX</w:t>
      </w:r>
      <w:r>
        <w:rPr>
          <w:rFonts w:hint="eastAsia" w:ascii="Arial" w:hAnsi="Arial" w:eastAsia="Arial" w:cs="Arial"/>
          <w:color w:val="0000FF"/>
          <w:spacing w:val="-2"/>
          <w:position w:val="1"/>
          <w:sz w:val="21"/>
          <w:szCs w:val="21"/>
        </w:rPr>
        <w:t>月</w:t>
      </w:r>
      <w:r>
        <w:rPr>
          <w:rFonts w:hint="eastAsia" w:eastAsia="宋体" w:cs="Arial"/>
          <w:color w:val="0000FF"/>
          <w:spacing w:val="-2"/>
          <w:position w:val="1"/>
          <w:sz w:val="21"/>
          <w:szCs w:val="21"/>
          <w:lang w:val="en-US" w:eastAsia="zh-CN"/>
        </w:rPr>
        <w:t>XX</w:t>
      </w:r>
      <w:r>
        <w:rPr>
          <w:rFonts w:hint="eastAsia" w:ascii="Arial" w:hAnsi="Arial" w:eastAsia="Arial" w:cs="Arial"/>
          <w:color w:val="0000FF"/>
          <w:spacing w:val="-2"/>
          <w:position w:val="1"/>
          <w:sz w:val="21"/>
          <w:szCs w:val="21"/>
        </w:rPr>
        <w:t>日</w:t>
      </w:r>
    </w:p>
    <w:p w14:paraId="787D6411">
      <w:pPr>
        <w:spacing w:line="61" w:lineRule="exact"/>
        <w:jc w:val="both"/>
      </w:pPr>
    </w:p>
    <w:tbl>
      <w:tblPr>
        <w:tblStyle w:val="10"/>
        <w:tblW w:w="15506" w:type="dxa"/>
        <w:tblInd w:w="4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13"/>
        <w:gridCol w:w="1398"/>
        <w:gridCol w:w="1635"/>
        <w:gridCol w:w="1253"/>
        <w:gridCol w:w="1410"/>
        <w:gridCol w:w="1395"/>
        <w:gridCol w:w="1582"/>
        <w:gridCol w:w="3510"/>
        <w:gridCol w:w="1275"/>
        <w:gridCol w:w="1135"/>
      </w:tblGrid>
      <w:tr w14:paraId="0A1F5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0" w:hRule="atLeast"/>
        </w:trPr>
        <w:tc>
          <w:tcPr>
            <w:tcW w:w="913" w:type="dxa"/>
            <w:vAlign w:val="top"/>
          </w:tcPr>
          <w:p w14:paraId="48612DBC">
            <w:pPr>
              <w:pStyle w:val="11"/>
              <w:spacing w:before="115" w:line="222" w:lineRule="auto"/>
              <w:ind w:left="221"/>
              <w:jc w:val="both"/>
              <w:rPr>
                <w:b/>
                <w:bCs/>
                <w:sz w:val="21"/>
                <w:szCs w:val="21"/>
              </w:rPr>
            </w:pPr>
            <w:r>
              <w:rPr>
                <w:b/>
                <w:bCs/>
                <w:spacing w:val="-3"/>
                <w:sz w:val="21"/>
                <w:szCs w:val="21"/>
              </w:rPr>
              <w:t>名称</w:t>
            </w:r>
          </w:p>
        </w:tc>
        <w:tc>
          <w:tcPr>
            <w:tcW w:w="3033" w:type="dxa"/>
            <w:gridSpan w:val="2"/>
            <w:vAlign w:val="top"/>
          </w:tcPr>
          <w:p w14:paraId="0972E546">
            <w:pPr>
              <w:pStyle w:val="11"/>
              <w:spacing w:before="114" w:line="220" w:lineRule="auto"/>
              <w:jc w:val="center"/>
              <w:rPr>
                <w:b/>
                <w:bCs/>
                <w:sz w:val="21"/>
                <w:szCs w:val="21"/>
              </w:rPr>
            </w:pPr>
            <w:r>
              <w:rPr>
                <w:b/>
                <w:bCs/>
                <w:spacing w:val="-1"/>
                <w:sz w:val="21"/>
                <w:szCs w:val="21"/>
              </w:rPr>
              <w:t>单元网格划分情况</w:t>
            </w:r>
          </w:p>
        </w:tc>
        <w:tc>
          <w:tcPr>
            <w:tcW w:w="4058" w:type="dxa"/>
            <w:gridSpan w:val="3"/>
            <w:vAlign w:val="top"/>
          </w:tcPr>
          <w:p w14:paraId="5F60F63F">
            <w:pPr>
              <w:pStyle w:val="11"/>
              <w:spacing w:before="114" w:line="220" w:lineRule="auto"/>
              <w:jc w:val="center"/>
              <w:rPr>
                <w:b/>
                <w:bCs/>
                <w:sz w:val="21"/>
                <w:szCs w:val="21"/>
              </w:rPr>
            </w:pPr>
            <w:r>
              <w:rPr>
                <w:b/>
                <w:bCs/>
                <w:spacing w:val="-1"/>
                <w:sz w:val="21"/>
                <w:szCs w:val="21"/>
              </w:rPr>
              <w:t>单元网格数量情况</w:t>
            </w:r>
          </w:p>
        </w:tc>
        <w:tc>
          <w:tcPr>
            <w:tcW w:w="5092" w:type="dxa"/>
            <w:gridSpan w:val="2"/>
            <w:vAlign w:val="top"/>
          </w:tcPr>
          <w:p w14:paraId="228F666F">
            <w:pPr>
              <w:pStyle w:val="11"/>
              <w:spacing w:before="114" w:line="220" w:lineRule="auto"/>
              <w:jc w:val="center"/>
              <w:rPr>
                <w:b/>
                <w:bCs/>
                <w:sz w:val="21"/>
                <w:szCs w:val="21"/>
              </w:rPr>
            </w:pPr>
            <w:r>
              <w:rPr>
                <w:b/>
                <w:bCs/>
                <w:spacing w:val="-1"/>
                <w:sz w:val="21"/>
                <w:szCs w:val="21"/>
              </w:rPr>
              <w:t>单元网格距离情况</w:t>
            </w:r>
          </w:p>
        </w:tc>
        <w:tc>
          <w:tcPr>
            <w:tcW w:w="1275" w:type="dxa"/>
            <w:vAlign w:val="top"/>
          </w:tcPr>
          <w:p w14:paraId="4BF9DAB3">
            <w:pPr>
              <w:pStyle w:val="11"/>
              <w:spacing w:before="114" w:line="221" w:lineRule="auto"/>
              <w:jc w:val="center"/>
              <w:rPr>
                <w:b/>
                <w:bCs/>
                <w:sz w:val="21"/>
                <w:szCs w:val="21"/>
              </w:rPr>
            </w:pPr>
            <w:r>
              <w:rPr>
                <w:b/>
                <w:bCs/>
                <w:spacing w:val="-3"/>
                <w:sz w:val="21"/>
                <w:szCs w:val="21"/>
              </w:rPr>
              <w:t>总量情况</w:t>
            </w:r>
          </w:p>
        </w:tc>
        <w:tc>
          <w:tcPr>
            <w:tcW w:w="1135" w:type="dxa"/>
            <w:vMerge w:val="restart"/>
            <w:tcBorders>
              <w:bottom w:val="nil"/>
            </w:tcBorders>
            <w:vAlign w:val="top"/>
          </w:tcPr>
          <w:p w14:paraId="4C1FA7C7">
            <w:pPr>
              <w:spacing w:line="396" w:lineRule="auto"/>
              <w:jc w:val="both"/>
              <w:rPr>
                <w:rFonts w:ascii="Arial"/>
                <w:sz w:val="21"/>
                <w:szCs w:val="21"/>
              </w:rPr>
            </w:pPr>
          </w:p>
          <w:p w14:paraId="7F0EFAAF">
            <w:pPr>
              <w:pStyle w:val="11"/>
              <w:spacing w:before="78" w:line="221" w:lineRule="auto"/>
              <w:jc w:val="center"/>
              <w:rPr>
                <w:sz w:val="21"/>
                <w:szCs w:val="21"/>
              </w:rPr>
            </w:pPr>
            <w:r>
              <w:rPr>
                <w:b/>
                <w:bCs/>
                <w:spacing w:val="-3"/>
                <w:sz w:val="21"/>
                <w:szCs w:val="21"/>
              </w:rPr>
              <w:t>备注</w:t>
            </w:r>
          </w:p>
        </w:tc>
      </w:tr>
      <w:tr w14:paraId="0823C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6" w:hRule="atLeast"/>
        </w:trPr>
        <w:tc>
          <w:tcPr>
            <w:tcW w:w="913" w:type="dxa"/>
            <w:vMerge w:val="restart"/>
            <w:tcBorders>
              <w:bottom w:val="nil"/>
            </w:tcBorders>
            <w:vAlign w:val="center"/>
          </w:tcPr>
          <w:p w14:paraId="7C4BF420">
            <w:pPr>
              <w:pStyle w:val="11"/>
              <w:spacing w:before="71" w:line="226" w:lineRule="auto"/>
              <w:ind w:left="133"/>
              <w:jc w:val="both"/>
              <w:rPr>
                <w:rFonts w:hint="eastAsia" w:ascii="宋体" w:hAnsi="宋体" w:eastAsia="宋体" w:cs="宋体"/>
                <w:sz w:val="21"/>
                <w:szCs w:val="21"/>
              </w:rPr>
            </w:pPr>
            <w:r>
              <w:rPr>
                <w:rFonts w:hint="eastAsia" w:ascii="宋体" w:hAnsi="宋体" w:eastAsia="宋体" w:cs="宋体"/>
                <w:spacing w:val="-2"/>
                <w:sz w:val="21"/>
                <w:szCs w:val="21"/>
              </w:rPr>
              <w:t>红塔区</w:t>
            </w:r>
          </w:p>
        </w:tc>
        <w:tc>
          <w:tcPr>
            <w:tcW w:w="1398" w:type="dxa"/>
            <w:vAlign w:val="center"/>
          </w:tcPr>
          <w:p w14:paraId="5518FC8D">
            <w:pPr>
              <w:pStyle w:val="11"/>
              <w:spacing w:before="240" w:line="226" w:lineRule="auto"/>
              <w:jc w:val="center"/>
              <w:rPr>
                <w:rFonts w:hint="eastAsia" w:ascii="宋体" w:hAnsi="宋体" w:eastAsia="宋体" w:cs="宋体"/>
                <w:sz w:val="21"/>
                <w:szCs w:val="21"/>
              </w:rPr>
            </w:pPr>
            <w:r>
              <w:rPr>
                <w:rFonts w:hint="eastAsia" w:ascii="宋体" w:hAnsi="宋体" w:eastAsia="宋体" w:cs="宋体"/>
                <w:spacing w:val="-1"/>
                <w:sz w:val="21"/>
                <w:szCs w:val="21"/>
              </w:rPr>
              <w:t>名称</w:t>
            </w:r>
          </w:p>
        </w:tc>
        <w:tc>
          <w:tcPr>
            <w:tcW w:w="1635" w:type="dxa"/>
            <w:vAlign w:val="center"/>
          </w:tcPr>
          <w:p w14:paraId="4525BB41">
            <w:pPr>
              <w:pStyle w:val="11"/>
              <w:spacing w:before="239" w:line="225" w:lineRule="auto"/>
              <w:jc w:val="center"/>
              <w:rPr>
                <w:rFonts w:hint="eastAsia" w:ascii="宋体" w:hAnsi="宋体" w:eastAsia="宋体" w:cs="宋体"/>
                <w:sz w:val="21"/>
                <w:szCs w:val="21"/>
              </w:rPr>
            </w:pPr>
            <w:r>
              <w:rPr>
                <w:rFonts w:hint="eastAsia" w:ascii="宋体" w:hAnsi="宋体" w:eastAsia="宋体" w:cs="宋体"/>
                <w:spacing w:val="-5"/>
                <w:sz w:val="21"/>
                <w:szCs w:val="21"/>
              </w:rPr>
              <w:t>区域描述</w:t>
            </w:r>
          </w:p>
        </w:tc>
        <w:tc>
          <w:tcPr>
            <w:tcW w:w="1253" w:type="dxa"/>
            <w:vAlign w:val="center"/>
          </w:tcPr>
          <w:p w14:paraId="6B26C8B3">
            <w:pPr>
              <w:pStyle w:val="11"/>
              <w:spacing w:before="89" w:line="224" w:lineRule="auto"/>
              <w:jc w:val="center"/>
              <w:rPr>
                <w:rFonts w:hint="eastAsia" w:ascii="宋体" w:hAnsi="宋体" w:eastAsia="宋体" w:cs="宋体"/>
                <w:sz w:val="21"/>
                <w:szCs w:val="21"/>
              </w:rPr>
            </w:pPr>
            <w:r>
              <w:rPr>
                <w:rFonts w:hint="eastAsia" w:ascii="宋体" w:hAnsi="宋体" w:eastAsia="宋体" w:cs="宋体"/>
                <w:sz w:val="21"/>
                <w:szCs w:val="21"/>
              </w:rPr>
              <w:t>规划数</w:t>
            </w:r>
          </w:p>
          <w:p w14:paraId="5C135394">
            <w:pPr>
              <w:pStyle w:val="11"/>
              <w:spacing w:before="19" w:line="224" w:lineRule="auto"/>
              <w:jc w:val="center"/>
              <w:rPr>
                <w:rFonts w:hint="eastAsia" w:ascii="宋体" w:hAnsi="宋体" w:eastAsia="宋体" w:cs="宋体"/>
                <w:sz w:val="21"/>
                <w:szCs w:val="21"/>
              </w:rPr>
            </w:pPr>
            <w:r>
              <w:rPr>
                <w:rFonts w:hint="eastAsia" w:ascii="宋体" w:hAnsi="宋体" w:eastAsia="宋体" w:cs="宋体"/>
                <w:spacing w:val="-6"/>
                <w:sz w:val="21"/>
                <w:szCs w:val="21"/>
              </w:rPr>
              <w:t>（个）</w:t>
            </w:r>
          </w:p>
        </w:tc>
        <w:tc>
          <w:tcPr>
            <w:tcW w:w="1410" w:type="dxa"/>
            <w:vAlign w:val="center"/>
          </w:tcPr>
          <w:p w14:paraId="3E1DD10E">
            <w:pPr>
              <w:pStyle w:val="11"/>
              <w:spacing w:before="89" w:line="224" w:lineRule="auto"/>
              <w:jc w:val="center"/>
              <w:rPr>
                <w:rFonts w:hint="eastAsia" w:ascii="宋体" w:hAnsi="宋体" w:eastAsia="宋体" w:cs="宋体"/>
                <w:sz w:val="21"/>
                <w:szCs w:val="21"/>
              </w:rPr>
            </w:pPr>
            <w:r>
              <w:rPr>
                <w:rFonts w:hint="eastAsia" w:ascii="宋体" w:hAnsi="宋体" w:eastAsia="宋体" w:cs="宋体"/>
                <w:sz w:val="21"/>
                <w:szCs w:val="21"/>
              </w:rPr>
              <w:t>当前实际数</w:t>
            </w:r>
          </w:p>
          <w:p w14:paraId="524BF4E4">
            <w:pPr>
              <w:pStyle w:val="11"/>
              <w:spacing w:before="89" w:line="224" w:lineRule="auto"/>
              <w:jc w:val="center"/>
              <w:rPr>
                <w:rFonts w:hint="eastAsia" w:ascii="宋体" w:hAnsi="宋体" w:eastAsia="宋体" w:cs="宋体"/>
                <w:sz w:val="21"/>
                <w:szCs w:val="21"/>
              </w:rPr>
            </w:pPr>
            <w:r>
              <w:rPr>
                <w:rFonts w:hint="eastAsia" w:ascii="宋体" w:hAnsi="宋体" w:eastAsia="宋体" w:cs="宋体"/>
                <w:sz w:val="21"/>
                <w:szCs w:val="21"/>
              </w:rPr>
              <w:t>（个）</w:t>
            </w:r>
          </w:p>
        </w:tc>
        <w:tc>
          <w:tcPr>
            <w:tcW w:w="1395" w:type="dxa"/>
            <w:vAlign w:val="center"/>
          </w:tcPr>
          <w:p w14:paraId="6C62FC12">
            <w:pPr>
              <w:pStyle w:val="11"/>
              <w:spacing w:before="89" w:line="225" w:lineRule="auto"/>
              <w:jc w:val="center"/>
              <w:rPr>
                <w:rFonts w:hint="eastAsia" w:ascii="宋体" w:hAnsi="宋体" w:eastAsia="宋体" w:cs="宋体"/>
                <w:sz w:val="21"/>
                <w:szCs w:val="21"/>
              </w:rPr>
            </w:pPr>
            <w:r>
              <w:rPr>
                <w:rFonts w:hint="eastAsia" w:ascii="宋体" w:hAnsi="宋体" w:eastAsia="宋体" w:cs="宋体"/>
                <w:sz w:val="21"/>
                <w:szCs w:val="21"/>
              </w:rPr>
              <w:t>余量</w:t>
            </w:r>
          </w:p>
          <w:p w14:paraId="07C67F45">
            <w:pPr>
              <w:pStyle w:val="11"/>
              <w:spacing w:before="18" w:line="224" w:lineRule="auto"/>
              <w:jc w:val="center"/>
              <w:rPr>
                <w:rFonts w:hint="eastAsia" w:ascii="宋体" w:hAnsi="宋体" w:eastAsia="宋体" w:cs="宋体"/>
                <w:sz w:val="21"/>
                <w:szCs w:val="21"/>
              </w:rPr>
            </w:pPr>
            <w:r>
              <w:rPr>
                <w:rFonts w:hint="eastAsia" w:ascii="宋体" w:hAnsi="宋体" w:eastAsia="宋体" w:cs="宋体"/>
                <w:spacing w:val="-6"/>
                <w:sz w:val="21"/>
                <w:szCs w:val="21"/>
              </w:rPr>
              <w:t>（个）</w:t>
            </w:r>
          </w:p>
        </w:tc>
        <w:tc>
          <w:tcPr>
            <w:tcW w:w="1582" w:type="dxa"/>
            <w:vAlign w:val="center"/>
          </w:tcPr>
          <w:p w14:paraId="5BABE12C">
            <w:pPr>
              <w:pStyle w:val="11"/>
              <w:spacing w:before="89" w:line="224" w:lineRule="auto"/>
              <w:jc w:val="center"/>
              <w:rPr>
                <w:rFonts w:hint="eastAsia" w:ascii="宋体" w:hAnsi="宋体" w:eastAsia="宋体" w:cs="宋体"/>
                <w:sz w:val="21"/>
                <w:szCs w:val="21"/>
              </w:rPr>
            </w:pPr>
            <w:r>
              <w:rPr>
                <w:rFonts w:hint="eastAsia" w:ascii="宋体" w:hAnsi="宋体" w:eastAsia="宋体" w:cs="宋体"/>
                <w:sz w:val="21"/>
                <w:szCs w:val="21"/>
              </w:rPr>
              <w:t>零售点间距</w:t>
            </w:r>
          </w:p>
          <w:p w14:paraId="3A167C1E">
            <w:pPr>
              <w:pStyle w:val="11"/>
              <w:spacing w:before="19" w:line="224" w:lineRule="auto"/>
              <w:jc w:val="center"/>
              <w:rPr>
                <w:rFonts w:hint="eastAsia" w:ascii="宋体" w:hAnsi="宋体" w:eastAsia="宋体" w:cs="宋体"/>
                <w:sz w:val="21"/>
                <w:szCs w:val="21"/>
              </w:rPr>
            </w:pPr>
            <w:r>
              <w:rPr>
                <w:rFonts w:hint="eastAsia" w:ascii="宋体" w:hAnsi="宋体" w:eastAsia="宋体" w:cs="宋体"/>
                <w:spacing w:val="-6"/>
                <w:sz w:val="21"/>
                <w:szCs w:val="21"/>
              </w:rPr>
              <w:t>（米）</w:t>
            </w:r>
          </w:p>
        </w:tc>
        <w:tc>
          <w:tcPr>
            <w:tcW w:w="3510" w:type="dxa"/>
            <w:vAlign w:val="center"/>
          </w:tcPr>
          <w:p w14:paraId="4C46C01D">
            <w:pPr>
              <w:pStyle w:val="11"/>
              <w:spacing w:before="89" w:line="224" w:lineRule="auto"/>
              <w:ind w:left="129"/>
              <w:jc w:val="center"/>
              <w:rPr>
                <w:rFonts w:hint="eastAsia" w:ascii="宋体" w:hAnsi="宋体" w:eastAsia="宋体" w:cs="宋体"/>
                <w:sz w:val="21"/>
                <w:szCs w:val="21"/>
              </w:rPr>
            </w:pPr>
            <w:r>
              <w:rPr>
                <w:rFonts w:hint="eastAsia" w:ascii="宋体" w:hAnsi="宋体" w:eastAsia="宋体" w:cs="宋体"/>
                <w:spacing w:val="-1"/>
                <w:sz w:val="21"/>
                <w:szCs w:val="21"/>
              </w:rPr>
              <w:t>其他条件</w:t>
            </w:r>
            <w:r>
              <w:rPr>
                <w:rFonts w:hint="eastAsia" w:ascii="宋体" w:hAnsi="宋体" w:eastAsia="宋体" w:cs="宋体"/>
                <w:sz w:val="21"/>
                <w:szCs w:val="21"/>
              </w:rPr>
              <w:t>描述</w:t>
            </w:r>
          </w:p>
        </w:tc>
        <w:tc>
          <w:tcPr>
            <w:tcW w:w="1275" w:type="dxa"/>
            <w:vAlign w:val="center"/>
          </w:tcPr>
          <w:p w14:paraId="6B72E720">
            <w:pPr>
              <w:pStyle w:val="11"/>
              <w:spacing w:before="89" w:line="224" w:lineRule="auto"/>
              <w:jc w:val="center"/>
              <w:rPr>
                <w:rFonts w:hint="eastAsia" w:ascii="宋体" w:hAnsi="宋体" w:eastAsia="宋体" w:cs="宋体"/>
                <w:sz w:val="21"/>
                <w:szCs w:val="21"/>
              </w:rPr>
            </w:pPr>
            <w:r>
              <w:rPr>
                <w:rFonts w:hint="eastAsia" w:ascii="宋体" w:hAnsi="宋体" w:eastAsia="宋体" w:cs="宋体"/>
                <w:sz w:val="21"/>
                <w:szCs w:val="21"/>
              </w:rPr>
              <w:t>红塔区总量规划数</w:t>
            </w:r>
            <w:r>
              <w:rPr>
                <w:rFonts w:hint="eastAsia" w:ascii="宋体" w:hAnsi="宋体" w:eastAsia="宋体" w:cs="宋体"/>
                <w:spacing w:val="-6"/>
                <w:sz w:val="21"/>
                <w:szCs w:val="21"/>
              </w:rPr>
              <w:t>（个）</w:t>
            </w:r>
          </w:p>
        </w:tc>
        <w:tc>
          <w:tcPr>
            <w:tcW w:w="1135" w:type="dxa"/>
            <w:vMerge w:val="continue"/>
            <w:tcBorders>
              <w:top w:val="nil"/>
            </w:tcBorders>
            <w:vAlign w:val="center"/>
          </w:tcPr>
          <w:p w14:paraId="40C10F4B">
            <w:pPr>
              <w:jc w:val="center"/>
              <w:rPr>
                <w:rFonts w:hint="eastAsia" w:ascii="宋体" w:hAnsi="宋体" w:eastAsia="宋体" w:cs="宋体"/>
                <w:sz w:val="21"/>
                <w:szCs w:val="21"/>
              </w:rPr>
            </w:pPr>
          </w:p>
        </w:tc>
      </w:tr>
      <w:tr w14:paraId="5C32B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5" w:hRule="atLeast"/>
        </w:trPr>
        <w:tc>
          <w:tcPr>
            <w:tcW w:w="913" w:type="dxa"/>
            <w:vMerge w:val="continue"/>
            <w:tcBorders>
              <w:top w:val="nil"/>
              <w:bottom w:val="nil"/>
            </w:tcBorders>
            <w:vAlign w:val="center"/>
          </w:tcPr>
          <w:p w14:paraId="55B3D002">
            <w:pPr>
              <w:jc w:val="both"/>
              <w:rPr>
                <w:rFonts w:hint="eastAsia" w:ascii="宋体" w:hAnsi="宋体" w:eastAsia="宋体" w:cs="宋体"/>
                <w:sz w:val="21"/>
                <w:szCs w:val="21"/>
              </w:rPr>
            </w:pPr>
          </w:p>
        </w:tc>
        <w:tc>
          <w:tcPr>
            <w:tcW w:w="1398" w:type="dxa"/>
            <w:vAlign w:val="center"/>
          </w:tcPr>
          <w:p w14:paraId="0B122BD0">
            <w:pPr>
              <w:pStyle w:val="11"/>
              <w:spacing w:before="72" w:line="224" w:lineRule="auto"/>
              <w:ind w:left="105"/>
              <w:jc w:val="center"/>
              <w:rPr>
                <w:rFonts w:hint="eastAsia" w:ascii="宋体" w:hAnsi="宋体" w:eastAsia="宋体" w:cs="宋体"/>
                <w:sz w:val="21"/>
                <w:szCs w:val="21"/>
              </w:rPr>
            </w:pPr>
            <w:r>
              <w:rPr>
                <w:rFonts w:hint="eastAsia" w:ascii="宋体" w:hAnsi="宋体" w:eastAsia="宋体" w:cs="宋体"/>
                <w:spacing w:val="-1"/>
                <w:sz w:val="21"/>
                <w:szCs w:val="21"/>
              </w:rPr>
              <w:t>最小单元网格1</w:t>
            </w:r>
          </w:p>
        </w:tc>
        <w:tc>
          <w:tcPr>
            <w:tcW w:w="1635" w:type="dxa"/>
            <w:vAlign w:val="center"/>
          </w:tcPr>
          <w:p w14:paraId="1BF55170">
            <w:pPr>
              <w:pStyle w:val="11"/>
              <w:spacing w:before="36"/>
              <w:ind w:right="120"/>
              <w:jc w:val="center"/>
              <w:rPr>
                <w:rFonts w:hint="eastAsia" w:ascii="宋体" w:hAnsi="宋体" w:eastAsia="宋体" w:cs="宋体"/>
                <w:sz w:val="21"/>
                <w:szCs w:val="21"/>
              </w:rPr>
            </w:pPr>
            <w:r>
              <w:rPr>
                <w:rFonts w:hint="eastAsia" w:ascii="宋体" w:hAnsi="宋体" w:eastAsia="宋体" w:cs="宋体"/>
                <w:sz w:val="21"/>
                <w:szCs w:val="21"/>
              </w:rPr>
              <w:t>玉兴街道-玉带</w:t>
            </w:r>
            <w:r>
              <w:rPr>
                <w:rFonts w:hint="eastAsia" w:ascii="宋体" w:hAnsi="宋体" w:eastAsia="宋体" w:cs="宋体"/>
                <w:spacing w:val="2"/>
                <w:sz w:val="21"/>
                <w:szCs w:val="21"/>
              </w:rPr>
              <w:t xml:space="preserve"> </w:t>
            </w:r>
            <w:r>
              <w:rPr>
                <w:rFonts w:hint="eastAsia" w:ascii="宋体" w:hAnsi="宋体" w:eastAsia="宋体" w:cs="宋体"/>
                <w:spacing w:val="-1"/>
                <w:sz w:val="21"/>
                <w:szCs w:val="21"/>
              </w:rPr>
              <w:t>街道-凤凰街道-李棋街道</w:t>
            </w:r>
          </w:p>
        </w:tc>
        <w:tc>
          <w:tcPr>
            <w:tcW w:w="1253" w:type="dxa"/>
            <w:vAlign w:val="center"/>
          </w:tcPr>
          <w:p w14:paraId="071EDC7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2290</w:t>
            </w:r>
          </w:p>
        </w:tc>
        <w:tc>
          <w:tcPr>
            <w:tcW w:w="1410" w:type="dxa"/>
            <w:vAlign w:val="center"/>
          </w:tcPr>
          <w:p w14:paraId="5D2D1482">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1985</w:t>
            </w:r>
          </w:p>
        </w:tc>
        <w:tc>
          <w:tcPr>
            <w:tcW w:w="1395" w:type="dxa"/>
            <w:vAlign w:val="center"/>
          </w:tcPr>
          <w:p w14:paraId="4D67718A">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305</w:t>
            </w:r>
          </w:p>
        </w:tc>
        <w:tc>
          <w:tcPr>
            <w:tcW w:w="1582" w:type="dxa"/>
            <w:vAlign w:val="center"/>
          </w:tcPr>
          <w:p w14:paraId="48776BF6">
            <w:pPr>
              <w:pStyle w:val="11"/>
              <w:spacing w:before="72" w:line="291" w:lineRule="exact"/>
              <w:ind w:left="654"/>
              <w:jc w:val="both"/>
              <w:rPr>
                <w:rFonts w:hint="eastAsia" w:ascii="宋体" w:hAnsi="宋体" w:eastAsia="宋体" w:cs="宋体"/>
                <w:sz w:val="21"/>
                <w:szCs w:val="21"/>
              </w:rPr>
            </w:pPr>
            <w:r>
              <w:rPr>
                <w:rFonts w:hint="eastAsia" w:ascii="宋体" w:hAnsi="宋体" w:eastAsia="宋体" w:cs="宋体"/>
                <w:spacing w:val="-5"/>
                <w:position w:val="1"/>
                <w:sz w:val="21"/>
                <w:szCs w:val="21"/>
              </w:rPr>
              <w:t>100</w:t>
            </w:r>
          </w:p>
        </w:tc>
        <w:tc>
          <w:tcPr>
            <w:tcW w:w="3510" w:type="dxa"/>
            <w:vMerge w:val="restart"/>
            <w:vAlign w:val="center"/>
          </w:tcPr>
          <w:p w14:paraId="40FB8F42">
            <w:pPr>
              <w:ind w:firstLine="420" w:firstLineChars="200"/>
              <w:jc w:val="both"/>
              <w:rPr>
                <w:rFonts w:hint="eastAsia" w:ascii="宋体" w:hAnsi="宋体" w:eastAsia="宋体" w:cs="宋体"/>
                <w:color w:val="0000FF"/>
                <w:sz w:val="21"/>
                <w:szCs w:val="21"/>
              </w:rPr>
            </w:pPr>
            <w:r>
              <w:rPr>
                <w:rFonts w:hint="eastAsia" w:ascii="宋体" w:hAnsi="宋体" w:eastAsia="宋体" w:cs="宋体"/>
                <w:color w:val="0000FF"/>
                <w:sz w:val="21"/>
                <w:szCs w:val="21"/>
                <w:lang w:val="en-US" w:eastAsia="zh-CN"/>
              </w:rPr>
              <w:t>1</w:t>
            </w:r>
            <w:r>
              <w:rPr>
                <w:rFonts w:hint="eastAsia" w:ascii="宋体" w:hAnsi="宋体" w:eastAsia="宋体" w:cs="宋体"/>
                <w:color w:val="0000FF"/>
                <w:sz w:val="21"/>
                <w:szCs w:val="21"/>
              </w:rPr>
              <w:t>.人口较为集中、相对独立的综合性商（农）贸市场或区域，根据该区域内固定商铺数量，每20户设置1个零售点，且零售点不受距离限制，设置零售点总数最多不超过10户。若该区域内固定商铺数量不足20户，且无零售点的，可设置1个零售点</w:t>
            </w:r>
            <w:r>
              <w:rPr>
                <w:rFonts w:hint="eastAsia" w:ascii="宋体" w:hAnsi="宋体" w:eastAsia="宋体" w:cs="宋体"/>
                <w:color w:val="0000FF"/>
                <w:sz w:val="21"/>
                <w:szCs w:val="21"/>
                <w:lang w:eastAsia="zh-CN"/>
              </w:rPr>
              <w:t>（</w:t>
            </w:r>
            <w:r>
              <w:rPr>
                <w:rFonts w:hint="eastAsia" w:ascii="宋体" w:hAnsi="宋体" w:eastAsia="宋体" w:cs="宋体"/>
                <w:color w:val="0000FF"/>
                <w:sz w:val="21"/>
                <w:szCs w:val="21"/>
                <w:lang w:val="en-US" w:eastAsia="zh-CN"/>
              </w:rPr>
              <w:t>内外相通的临街商铺需同时符合内外布局要求</w:t>
            </w:r>
            <w:r>
              <w:rPr>
                <w:rFonts w:hint="eastAsia" w:ascii="宋体" w:hAnsi="宋体" w:eastAsia="宋体" w:cs="宋体"/>
                <w:color w:val="0000FF"/>
                <w:sz w:val="21"/>
                <w:szCs w:val="21"/>
                <w:lang w:eastAsia="zh-CN"/>
              </w:rPr>
              <w:t>）</w:t>
            </w:r>
            <w:r>
              <w:rPr>
                <w:rFonts w:hint="eastAsia" w:ascii="宋体" w:hAnsi="宋体" w:eastAsia="宋体" w:cs="宋体"/>
                <w:color w:val="0000FF"/>
                <w:sz w:val="21"/>
                <w:szCs w:val="21"/>
              </w:rPr>
              <w:t>。</w:t>
            </w:r>
          </w:p>
          <w:p w14:paraId="188FEC54">
            <w:pPr>
              <w:ind w:firstLine="420" w:firstLineChars="200"/>
              <w:jc w:val="both"/>
              <w:rPr>
                <w:rFonts w:hint="eastAsia" w:ascii="宋体" w:hAnsi="宋体" w:eastAsia="宋体" w:cs="宋体"/>
                <w:sz w:val="21"/>
                <w:szCs w:val="21"/>
                <w:lang w:eastAsia="zh-CN"/>
              </w:rPr>
            </w:pPr>
            <w:r>
              <w:rPr>
                <w:rFonts w:hint="eastAsia" w:ascii="宋体" w:hAnsi="宋体" w:eastAsia="宋体" w:cs="宋体"/>
                <w:color w:val="0000FF"/>
                <w:sz w:val="21"/>
                <w:szCs w:val="21"/>
              </w:rPr>
              <w:t>2.农村区域烟草制品零售点的设置。按居住人口数布局，原则上以行政村为单位，行政村总人口在600人以内的设置1个零售点，每增加600人可增设1个零售点，零售点间距不低于</w:t>
            </w:r>
            <w:r>
              <w:rPr>
                <w:rFonts w:hint="eastAsia" w:ascii="宋体" w:hAnsi="宋体" w:eastAsia="宋体" w:cs="宋体"/>
                <w:color w:val="0000FF"/>
                <w:sz w:val="21"/>
                <w:szCs w:val="21"/>
                <w:lang w:val="en-US" w:eastAsia="zh-CN"/>
              </w:rPr>
              <w:t>100</w:t>
            </w:r>
            <w:r>
              <w:rPr>
                <w:rFonts w:hint="eastAsia" w:ascii="宋体" w:hAnsi="宋体" w:eastAsia="宋体" w:cs="宋体"/>
                <w:color w:val="0000FF"/>
                <w:sz w:val="21"/>
                <w:szCs w:val="21"/>
              </w:rPr>
              <w:t>米</w:t>
            </w:r>
            <w:r>
              <w:rPr>
                <w:rFonts w:hint="eastAsia" w:ascii="宋体" w:hAnsi="宋体" w:eastAsia="宋体" w:cs="宋体"/>
                <w:color w:val="0000FF"/>
                <w:sz w:val="21"/>
                <w:szCs w:val="21"/>
                <w:lang w:eastAsia="zh-CN"/>
              </w:rPr>
              <w:t>，</w:t>
            </w:r>
            <w:r>
              <w:rPr>
                <w:rFonts w:hint="eastAsia" w:ascii="宋体" w:hAnsi="宋体" w:eastAsia="宋体" w:cs="宋体"/>
                <w:color w:val="0000FF"/>
                <w:sz w:val="21"/>
                <w:szCs w:val="21"/>
              </w:rPr>
              <w:t>以此类推</w:t>
            </w:r>
            <w:r>
              <w:rPr>
                <w:rFonts w:hint="eastAsia" w:ascii="宋体" w:hAnsi="宋体" w:eastAsia="宋体" w:cs="宋体"/>
                <w:color w:val="0000FF"/>
                <w:sz w:val="21"/>
                <w:szCs w:val="21"/>
                <w:lang w:eastAsia="zh-CN"/>
              </w:rPr>
              <w:t>。</w:t>
            </w:r>
          </w:p>
        </w:tc>
        <w:tc>
          <w:tcPr>
            <w:tcW w:w="1275" w:type="dxa"/>
            <w:vMerge w:val="restart"/>
            <w:tcBorders>
              <w:bottom w:val="nil"/>
            </w:tcBorders>
            <w:vAlign w:val="center"/>
          </w:tcPr>
          <w:p w14:paraId="715947E2">
            <w:pPr>
              <w:pStyle w:val="11"/>
              <w:spacing w:before="71" w:line="291" w:lineRule="exact"/>
              <w:jc w:val="center"/>
              <w:rPr>
                <w:rFonts w:hint="eastAsia" w:ascii="宋体" w:hAnsi="宋体" w:eastAsia="宋体" w:cs="宋体"/>
                <w:sz w:val="21"/>
                <w:szCs w:val="21"/>
                <w:lang w:val="en-US" w:eastAsia="zh-CN"/>
              </w:rPr>
            </w:pPr>
            <w:r>
              <w:rPr>
                <w:rFonts w:hint="eastAsia" w:ascii="宋体" w:hAnsi="宋体" w:eastAsia="宋体" w:cs="宋体"/>
                <w:spacing w:val="-2"/>
                <w:position w:val="1"/>
                <w:sz w:val="21"/>
                <w:szCs w:val="21"/>
                <w:lang w:val="en-US" w:eastAsia="zh-CN"/>
              </w:rPr>
              <w:t>3984</w:t>
            </w:r>
          </w:p>
        </w:tc>
        <w:tc>
          <w:tcPr>
            <w:tcW w:w="1135" w:type="dxa"/>
            <w:vMerge w:val="restart"/>
            <w:vAlign w:val="center"/>
          </w:tcPr>
          <w:p w14:paraId="0C197EE2">
            <w:pPr>
              <w:bidi w:val="0"/>
              <w:jc w:val="center"/>
              <w:rPr>
                <w:rFonts w:hint="eastAsia" w:eastAsia="宋体"/>
                <w:lang w:eastAsia="zh-CN"/>
              </w:rPr>
            </w:pPr>
            <w:r>
              <w:rPr>
                <w:rFonts w:hint="eastAsia" w:eastAsia="宋体"/>
                <w:lang w:eastAsia="zh-CN"/>
              </w:rPr>
              <w:t>与政府行政区划一致</w:t>
            </w:r>
          </w:p>
        </w:tc>
      </w:tr>
      <w:tr w14:paraId="26896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2" w:hRule="atLeast"/>
        </w:trPr>
        <w:tc>
          <w:tcPr>
            <w:tcW w:w="913" w:type="dxa"/>
            <w:vMerge w:val="continue"/>
            <w:tcBorders>
              <w:top w:val="nil"/>
              <w:bottom w:val="nil"/>
            </w:tcBorders>
            <w:vAlign w:val="top"/>
          </w:tcPr>
          <w:p w14:paraId="215696E8">
            <w:pPr>
              <w:jc w:val="both"/>
              <w:rPr>
                <w:rFonts w:hint="eastAsia" w:ascii="宋体" w:hAnsi="宋体" w:eastAsia="宋体" w:cs="宋体"/>
                <w:sz w:val="21"/>
                <w:szCs w:val="21"/>
              </w:rPr>
            </w:pPr>
          </w:p>
        </w:tc>
        <w:tc>
          <w:tcPr>
            <w:tcW w:w="1398" w:type="dxa"/>
            <w:vAlign w:val="top"/>
          </w:tcPr>
          <w:p w14:paraId="68EAFE8C">
            <w:pPr>
              <w:pStyle w:val="11"/>
              <w:spacing w:before="160" w:line="224" w:lineRule="auto"/>
              <w:ind w:left="105"/>
              <w:jc w:val="center"/>
              <w:rPr>
                <w:rFonts w:hint="eastAsia" w:ascii="宋体" w:hAnsi="宋体" w:eastAsia="宋体" w:cs="宋体"/>
                <w:sz w:val="21"/>
                <w:szCs w:val="21"/>
              </w:rPr>
            </w:pPr>
            <w:r>
              <w:rPr>
                <w:rFonts w:hint="eastAsia" w:ascii="宋体" w:hAnsi="宋体" w:eastAsia="宋体" w:cs="宋体"/>
                <w:spacing w:val="-1"/>
                <w:sz w:val="21"/>
                <w:szCs w:val="21"/>
              </w:rPr>
              <w:t>最小单元网格2</w:t>
            </w:r>
          </w:p>
        </w:tc>
        <w:tc>
          <w:tcPr>
            <w:tcW w:w="1635" w:type="dxa"/>
            <w:vAlign w:val="top"/>
          </w:tcPr>
          <w:p w14:paraId="3A6BE667">
            <w:pPr>
              <w:pStyle w:val="11"/>
              <w:spacing w:before="160" w:line="224" w:lineRule="auto"/>
              <w:jc w:val="center"/>
              <w:rPr>
                <w:rFonts w:hint="eastAsia" w:ascii="宋体" w:hAnsi="宋体" w:eastAsia="宋体" w:cs="宋体"/>
                <w:sz w:val="21"/>
                <w:szCs w:val="21"/>
              </w:rPr>
            </w:pPr>
            <w:r>
              <w:rPr>
                <w:rFonts w:hint="eastAsia" w:ascii="宋体" w:hAnsi="宋体" w:eastAsia="宋体" w:cs="宋体"/>
                <w:spacing w:val="-1"/>
                <w:sz w:val="21"/>
                <w:szCs w:val="21"/>
              </w:rPr>
              <w:t>北城街道</w:t>
            </w:r>
          </w:p>
        </w:tc>
        <w:tc>
          <w:tcPr>
            <w:tcW w:w="1253" w:type="dxa"/>
            <w:vAlign w:val="center"/>
          </w:tcPr>
          <w:p w14:paraId="4B4C726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378</w:t>
            </w:r>
          </w:p>
        </w:tc>
        <w:tc>
          <w:tcPr>
            <w:tcW w:w="1410" w:type="dxa"/>
            <w:vAlign w:val="center"/>
          </w:tcPr>
          <w:p w14:paraId="4BCFBBAC">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541</w:t>
            </w:r>
          </w:p>
        </w:tc>
        <w:tc>
          <w:tcPr>
            <w:tcW w:w="1395" w:type="dxa"/>
            <w:vAlign w:val="center"/>
          </w:tcPr>
          <w:p w14:paraId="24C8F76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0</w:t>
            </w:r>
          </w:p>
        </w:tc>
        <w:tc>
          <w:tcPr>
            <w:tcW w:w="1582" w:type="dxa"/>
            <w:vAlign w:val="top"/>
          </w:tcPr>
          <w:p w14:paraId="77F56E55">
            <w:pPr>
              <w:pStyle w:val="11"/>
              <w:spacing w:before="160" w:line="291" w:lineRule="exact"/>
              <w:ind w:left="654"/>
              <w:jc w:val="both"/>
              <w:rPr>
                <w:rFonts w:hint="eastAsia" w:ascii="宋体" w:hAnsi="宋体" w:eastAsia="宋体" w:cs="宋体"/>
                <w:sz w:val="21"/>
                <w:szCs w:val="21"/>
              </w:rPr>
            </w:pPr>
            <w:r>
              <w:rPr>
                <w:rFonts w:hint="eastAsia" w:ascii="宋体" w:hAnsi="宋体" w:eastAsia="宋体" w:cs="宋体"/>
                <w:spacing w:val="-5"/>
                <w:position w:val="1"/>
                <w:sz w:val="21"/>
                <w:szCs w:val="21"/>
              </w:rPr>
              <w:t>100</w:t>
            </w:r>
          </w:p>
        </w:tc>
        <w:tc>
          <w:tcPr>
            <w:tcW w:w="3510" w:type="dxa"/>
            <w:vMerge w:val="continue"/>
            <w:vAlign w:val="top"/>
          </w:tcPr>
          <w:p w14:paraId="1254EB0F">
            <w:pPr>
              <w:jc w:val="center"/>
              <w:rPr>
                <w:rFonts w:hint="eastAsia" w:ascii="宋体" w:hAnsi="宋体" w:eastAsia="宋体" w:cs="宋体"/>
                <w:sz w:val="21"/>
                <w:szCs w:val="21"/>
              </w:rPr>
            </w:pPr>
          </w:p>
        </w:tc>
        <w:tc>
          <w:tcPr>
            <w:tcW w:w="1275" w:type="dxa"/>
            <w:vMerge w:val="continue"/>
            <w:tcBorders>
              <w:top w:val="nil"/>
              <w:bottom w:val="nil"/>
            </w:tcBorders>
            <w:vAlign w:val="top"/>
          </w:tcPr>
          <w:p w14:paraId="54EB61A2">
            <w:pPr>
              <w:jc w:val="center"/>
              <w:rPr>
                <w:rFonts w:hint="eastAsia" w:ascii="宋体" w:hAnsi="宋体" w:eastAsia="宋体" w:cs="宋体"/>
                <w:sz w:val="21"/>
                <w:szCs w:val="21"/>
              </w:rPr>
            </w:pPr>
          </w:p>
        </w:tc>
        <w:tc>
          <w:tcPr>
            <w:tcW w:w="1135" w:type="dxa"/>
            <w:vMerge w:val="continue"/>
            <w:vAlign w:val="top"/>
          </w:tcPr>
          <w:p w14:paraId="40679672">
            <w:pPr>
              <w:pStyle w:val="11"/>
              <w:spacing w:before="160" w:line="223" w:lineRule="auto"/>
              <w:ind w:left="119"/>
              <w:jc w:val="center"/>
              <w:rPr>
                <w:rFonts w:hint="eastAsia" w:ascii="宋体" w:hAnsi="宋体" w:eastAsia="宋体" w:cs="宋体"/>
                <w:sz w:val="21"/>
                <w:szCs w:val="21"/>
              </w:rPr>
            </w:pPr>
          </w:p>
        </w:tc>
      </w:tr>
      <w:tr w14:paraId="60839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3" w:hRule="atLeast"/>
        </w:trPr>
        <w:tc>
          <w:tcPr>
            <w:tcW w:w="913" w:type="dxa"/>
            <w:vMerge w:val="continue"/>
            <w:tcBorders>
              <w:top w:val="nil"/>
              <w:bottom w:val="nil"/>
            </w:tcBorders>
            <w:vAlign w:val="top"/>
          </w:tcPr>
          <w:p w14:paraId="61DC9D28">
            <w:pPr>
              <w:jc w:val="both"/>
              <w:rPr>
                <w:rFonts w:hint="eastAsia" w:ascii="宋体" w:hAnsi="宋体" w:eastAsia="宋体" w:cs="宋体"/>
                <w:sz w:val="21"/>
                <w:szCs w:val="21"/>
              </w:rPr>
            </w:pPr>
          </w:p>
        </w:tc>
        <w:tc>
          <w:tcPr>
            <w:tcW w:w="1398" w:type="dxa"/>
            <w:vAlign w:val="top"/>
          </w:tcPr>
          <w:p w14:paraId="4003EED1">
            <w:pPr>
              <w:pStyle w:val="11"/>
              <w:spacing w:before="155" w:line="224" w:lineRule="auto"/>
              <w:ind w:left="105"/>
              <w:jc w:val="center"/>
              <w:rPr>
                <w:rFonts w:hint="eastAsia" w:ascii="宋体" w:hAnsi="宋体" w:eastAsia="宋体" w:cs="宋体"/>
                <w:sz w:val="21"/>
                <w:szCs w:val="21"/>
              </w:rPr>
            </w:pPr>
            <w:r>
              <w:rPr>
                <w:rFonts w:hint="eastAsia" w:ascii="宋体" w:hAnsi="宋体" w:eastAsia="宋体" w:cs="宋体"/>
                <w:spacing w:val="-1"/>
                <w:sz w:val="21"/>
                <w:szCs w:val="21"/>
              </w:rPr>
              <w:t>最小单元网格3</w:t>
            </w:r>
          </w:p>
        </w:tc>
        <w:tc>
          <w:tcPr>
            <w:tcW w:w="1635" w:type="dxa"/>
            <w:vAlign w:val="top"/>
          </w:tcPr>
          <w:p w14:paraId="0DC159EE">
            <w:pPr>
              <w:pStyle w:val="11"/>
              <w:spacing w:before="155" w:line="224" w:lineRule="auto"/>
              <w:jc w:val="center"/>
              <w:rPr>
                <w:rFonts w:hint="eastAsia" w:ascii="宋体" w:hAnsi="宋体" w:eastAsia="宋体" w:cs="宋体"/>
                <w:sz w:val="21"/>
                <w:szCs w:val="21"/>
              </w:rPr>
            </w:pPr>
            <w:r>
              <w:rPr>
                <w:rFonts w:hint="eastAsia" w:ascii="宋体" w:hAnsi="宋体" w:eastAsia="宋体" w:cs="宋体"/>
                <w:sz w:val="21"/>
                <w:szCs w:val="21"/>
              </w:rPr>
              <w:t>春和街道</w:t>
            </w:r>
          </w:p>
        </w:tc>
        <w:tc>
          <w:tcPr>
            <w:tcW w:w="1253" w:type="dxa"/>
            <w:vAlign w:val="center"/>
          </w:tcPr>
          <w:p w14:paraId="78C092E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435</w:t>
            </w:r>
          </w:p>
        </w:tc>
        <w:tc>
          <w:tcPr>
            <w:tcW w:w="1410" w:type="dxa"/>
            <w:vAlign w:val="center"/>
          </w:tcPr>
          <w:p w14:paraId="1412107A">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441</w:t>
            </w:r>
          </w:p>
        </w:tc>
        <w:tc>
          <w:tcPr>
            <w:tcW w:w="1395" w:type="dxa"/>
            <w:vAlign w:val="center"/>
          </w:tcPr>
          <w:p w14:paraId="4932E78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0</w:t>
            </w:r>
          </w:p>
        </w:tc>
        <w:tc>
          <w:tcPr>
            <w:tcW w:w="1582" w:type="dxa"/>
            <w:vAlign w:val="top"/>
          </w:tcPr>
          <w:p w14:paraId="00B9888D">
            <w:pPr>
              <w:pStyle w:val="11"/>
              <w:spacing w:before="155" w:line="291" w:lineRule="exact"/>
              <w:ind w:left="654"/>
              <w:jc w:val="both"/>
              <w:rPr>
                <w:rFonts w:hint="eastAsia" w:ascii="宋体" w:hAnsi="宋体" w:eastAsia="宋体" w:cs="宋体"/>
                <w:sz w:val="21"/>
                <w:szCs w:val="21"/>
              </w:rPr>
            </w:pPr>
            <w:r>
              <w:rPr>
                <w:rFonts w:hint="eastAsia" w:ascii="宋体" w:hAnsi="宋体" w:eastAsia="宋体" w:cs="宋体"/>
                <w:spacing w:val="-5"/>
                <w:position w:val="1"/>
                <w:sz w:val="21"/>
                <w:szCs w:val="21"/>
              </w:rPr>
              <w:t>100</w:t>
            </w:r>
          </w:p>
        </w:tc>
        <w:tc>
          <w:tcPr>
            <w:tcW w:w="3510" w:type="dxa"/>
            <w:vMerge w:val="continue"/>
            <w:vAlign w:val="top"/>
          </w:tcPr>
          <w:p w14:paraId="262C3231">
            <w:pPr>
              <w:jc w:val="center"/>
              <w:rPr>
                <w:rFonts w:hint="eastAsia" w:ascii="宋体" w:hAnsi="宋体" w:eastAsia="宋体" w:cs="宋体"/>
                <w:sz w:val="21"/>
                <w:szCs w:val="21"/>
              </w:rPr>
            </w:pPr>
          </w:p>
        </w:tc>
        <w:tc>
          <w:tcPr>
            <w:tcW w:w="1275" w:type="dxa"/>
            <w:vMerge w:val="continue"/>
            <w:tcBorders>
              <w:top w:val="nil"/>
              <w:bottom w:val="nil"/>
            </w:tcBorders>
            <w:vAlign w:val="top"/>
          </w:tcPr>
          <w:p w14:paraId="785D6A55">
            <w:pPr>
              <w:jc w:val="center"/>
              <w:rPr>
                <w:rFonts w:hint="eastAsia" w:ascii="宋体" w:hAnsi="宋体" w:eastAsia="宋体" w:cs="宋体"/>
                <w:sz w:val="21"/>
                <w:szCs w:val="21"/>
              </w:rPr>
            </w:pPr>
          </w:p>
        </w:tc>
        <w:tc>
          <w:tcPr>
            <w:tcW w:w="1135" w:type="dxa"/>
            <w:vMerge w:val="continue"/>
            <w:vAlign w:val="top"/>
          </w:tcPr>
          <w:p w14:paraId="7EA58201">
            <w:pPr>
              <w:pStyle w:val="11"/>
              <w:spacing w:before="155" w:line="223" w:lineRule="auto"/>
              <w:ind w:left="119"/>
              <w:jc w:val="center"/>
              <w:rPr>
                <w:rFonts w:hint="eastAsia" w:ascii="宋体" w:hAnsi="宋体" w:eastAsia="宋体" w:cs="宋体"/>
                <w:sz w:val="21"/>
                <w:szCs w:val="21"/>
              </w:rPr>
            </w:pPr>
          </w:p>
        </w:tc>
      </w:tr>
      <w:tr w14:paraId="1B6C4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2" w:hRule="atLeast"/>
        </w:trPr>
        <w:tc>
          <w:tcPr>
            <w:tcW w:w="913" w:type="dxa"/>
            <w:vMerge w:val="continue"/>
            <w:tcBorders>
              <w:top w:val="nil"/>
              <w:bottom w:val="nil"/>
            </w:tcBorders>
            <w:vAlign w:val="top"/>
          </w:tcPr>
          <w:p w14:paraId="5586111D">
            <w:pPr>
              <w:jc w:val="both"/>
              <w:rPr>
                <w:rFonts w:hint="eastAsia" w:ascii="宋体" w:hAnsi="宋体" w:eastAsia="宋体" w:cs="宋体"/>
                <w:sz w:val="21"/>
                <w:szCs w:val="21"/>
              </w:rPr>
            </w:pPr>
          </w:p>
        </w:tc>
        <w:tc>
          <w:tcPr>
            <w:tcW w:w="1398" w:type="dxa"/>
            <w:vAlign w:val="top"/>
          </w:tcPr>
          <w:p w14:paraId="5E7109C0">
            <w:pPr>
              <w:pStyle w:val="11"/>
              <w:spacing w:before="164" w:line="224" w:lineRule="auto"/>
              <w:ind w:left="105"/>
              <w:jc w:val="center"/>
              <w:rPr>
                <w:rFonts w:hint="eastAsia" w:ascii="宋体" w:hAnsi="宋体" w:eastAsia="宋体" w:cs="宋体"/>
                <w:sz w:val="21"/>
                <w:szCs w:val="21"/>
              </w:rPr>
            </w:pPr>
            <w:r>
              <w:rPr>
                <w:rFonts w:hint="eastAsia" w:ascii="宋体" w:hAnsi="宋体" w:eastAsia="宋体" w:cs="宋体"/>
                <w:spacing w:val="-1"/>
                <w:sz w:val="21"/>
                <w:szCs w:val="21"/>
              </w:rPr>
              <w:t>最小单元网格4</w:t>
            </w:r>
          </w:p>
        </w:tc>
        <w:tc>
          <w:tcPr>
            <w:tcW w:w="1635" w:type="dxa"/>
            <w:vAlign w:val="top"/>
          </w:tcPr>
          <w:p w14:paraId="3A1C1558">
            <w:pPr>
              <w:pStyle w:val="11"/>
              <w:spacing w:before="164" w:line="224" w:lineRule="auto"/>
              <w:jc w:val="center"/>
              <w:rPr>
                <w:rFonts w:hint="eastAsia" w:ascii="宋体" w:hAnsi="宋体" w:eastAsia="宋体" w:cs="宋体"/>
                <w:sz w:val="21"/>
                <w:szCs w:val="21"/>
              </w:rPr>
            </w:pPr>
            <w:r>
              <w:rPr>
                <w:rFonts w:hint="eastAsia" w:ascii="宋体" w:hAnsi="宋体" w:eastAsia="宋体" w:cs="宋体"/>
                <w:sz w:val="21"/>
                <w:szCs w:val="21"/>
              </w:rPr>
              <w:t>大营街街道</w:t>
            </w:r>
          </w:p>
        </w:tc>
        <w:tc>
          <w:tcPr>
            <w:tcW w:w="1253" w:type="dxa"/>
            <w:vAlign w:val="center"/>
          </w:tcPr>
          <w:p w14:paraId="452EC2A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331</w:t>
            </w:r>
          </w:p>
        </w:tc>
        <w:tc>
          <w:tcPr>
            <w:tcW w:w="1410" w:type="dxa"/>
            <w:vAlign w:val="center"/>
          </w:tcPr>
          <w:p w14:paraId="5A481082">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326</w:t>
            </w:r>
          </w:p>
        </w:tc>
        <w:tc>
          <w:tcPr>
            <w:tcW w:w="1395" w:type="dxa"/>
            <w:vAlign w:val="center"/>
          </w:tcPr>
          <w:p w14:paraId="3556827F">
            <w:pPr>
              <w:keepNext w:val="0"/>
              <w:keepLines w:val="0"/>
              <w:widowControl/>
              <w:suppressLineNumbers w:val="0"/>
              <w:jc w:val="center"/>
              <w:textAlignment w:val="center"/>
              <w:rPr>
                <w:rFonts w:hint="eastAsia" w:ascii="宋体" w:hAnsi="宋体" w:eastAsia="宋体" w:cs="宋体"/>
                <w:sz w:val="21"/>
                <w:szCs w:val="21"/>
                <w:lang w:eastAsia="zh-CN"/>
              </w:rPr>
            </w:pPr>
            <w:r>
              <w:rPr>
                <w:rFonts w:hint="eastAsia" w:ascii="宋体" w:hAnsi="宋体" w:eastAsia="宋体" w:cs="宋体"/>
                <w:i w:val="0"/>
                <w:iCs w:val="0"/>
                <w:snapToGrid w:val="0"/>
                <w:color w:val="000000"/>
                <w:kern w:val="0"/>
                <w:sz w:val="22"/>
                <w:szCs w:val="22"/>
                <w:u w:val="none"/>
                <w:lang w:val="en-US" w:eastAsia="zh-CN" w:bidi="ar"/>
              </w:rPr>
              <w:t>5</w:t>
            </w:r>
          </w:p>
        </w:tc>
        <w:tc>
          <w:tcPr>
            <w:tcW w:w="1582" w:type="dxa"/>
            <w:vAlign w:val="top"/>
          </w:tcPr>
          <w:p w14:paraId="0590BA75">
            <w:pPr>
              <w:pStyle w:val="11"/>
              <w:spacing w:before="164" w:line="291" w:lineRule="exact"/>
              <w:ind w:left="654"/>
              <w:jc w:val="both"/>
              <w:rPr>
                <w:rFonts w:hint="eastAsia" w:ascii="宋体" w:hAnsi="宋体" w:eastAsia="宋体" w:cs="宋体"/>
                <w:sz w:val="21"/>
                <w:szCs w:val="21"/>
              </w:rPr>
            </w:pPr>
            <w:r>
              <w:rPr>
                <w:rFonts w:hint="eastAsia" w:ascii="宋体" w:hAnsi="宋体" w:eastAsia="宋体" w:cs="宋体"/>
                <w:spacing w:val="-5"/>
                <w:position w:val="1"/>
                <w:sz w:val="21"/>
                <w:szCs w:val="21"/>
              </w:rPr>
              <w:t>100</w:t>
            </w:r>
          </w:p>
        </w:tc>
        <w:tc>
          <w:tcPr>
            <w:tcW w:w="3510" w:type="dxa"/>
            <w:vMerge w:val="continue"/>
            <w:vAlign w:val="top"/>
          </w:tcPr>
          <w:p w14:paraId="027A9076">
            <w:pPr>
              <w:jc w:val="center"/>
              <w:rPr>
                <w:rFonts w:hint="eastAsia" w:ascii="宋体" w:hAnsi="宋体" w:eastAsia="宋体" w:cs="宋体"/>
                <w:sz w:val="21"/>
                <w:szCs w:val="21"/>
              </w:rPr>
            </w:pPr>
          </w:p>
        </w:tc>
        <w:tc>
          <w:tcPr>
            <w:tcW w:w="1275" w:type="dxa"/>
            <w:vMerge w:val="continue"/>
            <w:tcBorders>
              <w:top w:val="nil"/>
              <w:bottom w:val="nil"/>
            </w:tcBorders>
            <w:vAlign w:val="top"/>
          </w:tcPr>
          <w:p w14:paraId="5D2B7887">
            <w:pPr>
              <w:jc w:val="center"/>
              <w:rPr>
                <w:rFonts w:hint="eastAsia" w:ascii="宋体" w:hAnsi="宋体" w:eastAsia="宋体" w:cs="宋体"/>
                <w:sz w:val="21"/>
                <w:szCs w:val="21"/>
              </w:rPr>
            </w:pPr>
          </w:p>
        </w:tc>
        <w:tc>
          <w:tcPr>
            <w:tcW w:w="1135" w:type="dxa"/>
            <w:vMerge w:val="continue"/>
            <w:vAlign w:val="top"/>
          </w:tcPr>
          <w:p w14:paraId="52DCA44A">
            <w:pPr>
              <w:pStyle w:val="11"/>
              <w:spacing w:before="164" w:line="223" w:lineRule="auto"/>
              <w:ind w:left="119"/>
              <w:jc w:val="center"/>
              <w:rPr>
                <w:rFonts w:hint="eastAsia" w:ascii="宋体" w:hAnsi="宋体" w:eastAsia="宋体" w:cs="宋体"/>
                <w:sz w:val="21"/>
                <w:szCs w:val="21"/>
              </w:rPr>
            </w:pPr>
          </w:p>
        </w:tc>
      </w:tr>
      <w:tr w14:paraId="2FB4C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7" w:hRule="atLeast"/>
        </w:trPr>
        <w:tc>
          <w:tcPr>
            <w:tcW w:w="913" w:type="dxa"/>
            <w:vMerge w:val="continue"/>
            <w:tcBorders>
              <w:top w:val="nil"/>
              <w:bottom w:val="nil"/>
            </w:tcBorders>
            <w:vAlign w:val="top"/>
          </w:tcPr>
          <w:p w14:paraId="105DAE70">
            <w:pPr>
              <w:jc w:val="both"/>
              <w:rPr>
                <w:rFonts w:hint="eastAsia" w:ascii="宋体" w:hAnsi="宋体" w:eastAsia="宋体" w:cs="宋体"/>
                <w:sz w:val="21"/>
                <w:szCs w:val="21"/>
              </w:rPr>
            </w:pPr>
          </w:p>
        </w:tc>
        <w:tc>
          <w:tcPr>
            <w:tcW w:w="1398" w:type="dxa"/>
            <w:vAlign w:val="top"/>
          </w:tcPr>
          <w:p w14:paraId="57E76964">
            <w:pPr>
              <w:pStyle w:val="11"/>
              <w:spacing w:before="159" w:line="224" w:lineRule="auto"/>
              <w:ind w:left="105"/>
              <w:jc w:val="center"/>
              <w:rPr>
                <w:rFonts w:hint="eastAsia" w:ascii="宋体" w:hAnsi="宋体" w:eastAsia="宋体" w:cs="宋体"/>
                <w:sz w:val="21"/>
                <w:szCs w:val="21"/>
              </w:rPr>
            </w:pPr>
            <w:r>
              <w:rPr>
                <w:rFonts w:hint="eastAsia" w:ascii="宋体" w:hAnsi="宋体" w:eastAsia="宋体" w:cs="宋体"/>
                <w:spacing w:val="-1"/>
                <w:sz w:val="21"/>
                <w:szCs w:val="21"/>
              </w:rPr>
              <w:t>最小单元网格5</w:t>
            </w:r>
          </w:p>
        </w:tc>
        <w:tc>
          <w:tcPr>
            <w:tcW w:w="1635" w:type="dxa"/>
            <w:vAlign w:val="top"/>
          </w:tcPr>
          <w:p w14:paraId="4AE8F786">
            <w:pPr>
              <w:pStyle w:val="11"/>
              <w:spacing w:before="159" w:line="224" w:lineRule="auto"/>
              <w:jc w:val="center"/>
              <w:rPr>
                <w:rFonts w:hint="eastAsia" w:ascii="宋体" w:hAnsi="宋体" w:eastAsia="宋体" w:cs="宋体"/>
                <w:sz w:val="21"/>
                <w:szCs w:val="21"/>
              </w:rPr>
            </w:pPr>
            <w:r>
              <w:rPr>
                <w:rFonts w:hint="eastAsia" w:ascii="宋体" w:hAnsi="宋体" w:eastAsia="宋体" w:cs="宋体"/>
                <w:spacing w:val="-2"/>
                <w:sz w:val="21"/>
                <w:szCs w:val="21"/>
              </w:rPr>
              <w:t>高仓街道</w:t>
            </w:r>
          </w:p>
        </w:tc>
        <w:tc>
          <w:tcPr>
            <w:tcW w:w="1253" w:type="dxa"/>
            <w:vAlign w:val="center"/>
          </w:tcPr>
          <w:p w14:paraId="03A7FCD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153</w:t>
            </w:r>
          </w:p>
        </w:tc>
        <w:tc>
          <w:tcPr>
            <w:tcW w:w="1410" w:type="dxa"/>
            <w:vAlign w:val="center"/>
          </w:tcPr>
          <w:p w14:paraId="57DE7C76">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157</w:t>
            </w:r>
          </w:p>
        </w:tc>
        <w:tc>
          <w:tcPr>
            <w:tcW w:w="1395" w:type="dxa"/>
            <w:vAlign w:val="center"/>
          </w:tcPr>
          <w:p w14:paraId="3D0C494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0</w:t>
            </w:r>
          </w:p>
        </w:tc>
        <w:tc>
          <w:tcPr>
            <w:tcW w:w="1582" w:type="dxa"/>
            <w:vAlign w:val="top"/>
          </w:tcPr>
          <w:p w14:paraId="7A79D384">
            <w:pPr>
              <w:pStyle w:val="11"/>
              <w:spacing w:before="159" w:line="291" w:lineRule="exact"/>
              <w:ind w:left="654"/>
              <w:jc w:val="both"/>
              <w:rPr>
                <w:rFonts w:hint="eastAsia" w:ascii="宋体" w:hAnsi="宋体" w:eastAsia="宋体" w:cs="宋体"/>
                <w:sz w:val="21"/>
                <w:szCs w:val="21"/>
              </w:rPr>
            </w:pPr>
            <w:r>
              <w:rPr>
                <w:rFonts w:hint="eastAsia" w:ascii="宋体" w:hAnsi="宋体" w:eastAsia="宋体" w:cs="宋体"/>
                <w:spacing w:val="-5"/>
                <w:position w:val="1"/>
                <w:sz w:val="21"/>
                <w:szCs w:val="21"/>
              </w:rPr>
              <w:t>100</w:t>
            </w:r>
          </w:p>
        </w:tc>
        <w:tc>
          <w:tcPr>
            <w:tcW w:w="3510" w:type="dxa"/>
            <w:vMerge w:val="continue"/>
            <w:vAlign w:val="top"/>
          </w:tcPr>
          <w:p w14:paraId="4BCC7DA6">
            <w:pPr>
              <w:jc w:val="center"/>
              <w:rPr>
                <w:rFonts w:hint="eastAsia" w:ascii="宋体" w:hAnsi="宋体" w:eastAsia="宋体" w:cs="宋体"/>
                <w:sz w:val="21"/>
                <w:szCs w:val="21"/>
              </w:rPr>
            </w:pPr>
          </w:p>
        </w:tc>
        <w:tc>
          <w:tcPr>
            <w:tcW w:w="1275" w:type="dxa"/>
            <w:vMerge w:val="continue"/>
            <w:tcBorders>
              <w:top w:val="nil"/>
              <w:bottom w:val="nil"/>
            </w:tcBorders>
            <w:vAlign w:val="top"/>
          </w:tcPr>
          <w:p w14:paraId="12E31E05">
            <w:pPr>
              <w:jc w:val="center"/>
              <w:rPr>
                <w:rFonts w:hint="eastAsia" w:ascii="宋体" w:hAnsi="宋体" w:eastAsia="宋体" w:cs="宋体"/>
                <w:sz w:val="21"/>
                <w:szCs w:val="21"/>
              </w:rPr>
            </w:pPr>
          </w:p>
        </w:tc>
        <w:tc>
          <w:tcPr>
            <w:tcW w:w="1135" w:type="dxa"/>
            <w:vMerge w:val="continue"/>
            <w:vAlign w:val="top"/>
          </w:tcPr>
          <w:p w14:paraId="1DA70BCA">
            <w:pPr>
              <w:pStyle w:val="11"/>
              <w:spacing w:before="159" w:line="223" w:lineRule="auto"/>
              <w:ind w:left="119"/>
              <w:jc w:val="center"/>
              <w:rPr>
                <w:rFonts w:hint="eastAsia" w:ascii="宋体" w:hAnsi="宋体" w:eastAsia="宋体" w:cs="宋体"/>
                <w:sz w:val="21"/>
                <w:szCs w:val="21"/>
              </w:rPr>
            </w:pPr>
          </w:p>
        </w:tc>
      </w:tr>
      <w:tr w14:paraId="13E90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2" w:hRule="atLeast"/>
        </w:trPr>
        <w:tc>
          <w:tcPr>
            <w:tcW w:w="913" w:type="dxa"/>
            <w:vMerge w:val="continue"/>
            <w:tcBorders>
              <w:top w:val="nil"/>
              <w:bottom w:val="nil"/>
            </w:tcBorders>
            <w:vAlign w:val="top"/>
          </w:tcPr>
          <w:p w14:paraId="3F43D502">
            <w:pPr>
              <w:jc w:val="both"/>
              <w:rPr>
                <w:rFonts w:hint="eastAsia" w:ascii="宋体" w:hAnsi="宋体" w:eastAsia="宋体" w:cs="宋体"/>
                <w:sz w:val="21"/>
                <w:szCs w:val="21"/>
              </w:rPr>
            </w:pPr>
          </w:p>
        </w:tc>
        <w:tc>
          <w:tcPr>
            <w:tcW w:w="1398" w:type="dxa"/>
            <w:vAlign w:val="top"/>
          </w:tcPr>
          <w:p w14:paraId="650CB56F">
            <w:pPr>
              <w:pStyle w:val="11"/>
              <w:spacing w:before="168" w:line="224" w:lineRule="auto"/>
              <w:ind w:left="105"/>
              <w:jc w:val="center"/>
              <w:rPr>
                <w:rFonts w:hint="eastAsia" w:ascii="宋体" w:hAnsi="宋体" w:eastAsia="宋体" w:cs="宋体"/>
                <w:sz w:val="21"/>
                <w:szCs w:val="21"/>
              </w:rPr>
            </w:pPr>
            <w:r>
              <w:rPr>
                <w:rFonts w:hint="eastAsia" w:ascii="宋体" w:hAnsi="宋体" w:eastAsia="宋体" w:cs="宋体"/>
                <w:spacing w:val="-1"/>
                <w:sz w:val="21"/>
                <w:szCs w:val="21"/>
              </w:rPr>
              <w:t>最小单元网格6</w:t>
            </w:r>
          </w:p>
        </w:tc>
        <w:tc>
          <w:tcPr>
            <w:tcW w:w="1635" w:type="dxa"/>
            <w:vAlign w:val="top"/>
          </w:tcPr>
          <w:p w14:paraId="5A2B796C">
            <w:pPr>
              <w:pStyle w:val="11"/>
              <w:spacing w:before="168" w:line="224" w:lineRule="auto"/>
              <w:jc w:val="center"/>
              <w:rPr>
                <w:rFonts w:hint="eastAsia" w:ascii="宋体" w:hAnsi="宋体" w:eastAsia="宋体" w:cs="宋体"/>
                <w:sz w:val="21"/>
                <w:szCs w:val="21"/>
              </w:rPr>
            </w:pPr>
            <w:r>
              <w:rPr>
                <w:rFonts w:hint="eastAsia" w:ascii="宋体" w:hAnsi="宋体" w:eastAsia="宋体" w:cs="宋体"/>
                <w:sz w:val="21"/>
                <w:szCs w:val="21"/>
              </w:rPr>
              <w:t>研和街道</w:t>
            </w:r>
          </w:p>
        </w:tc>
        <w:tc>
          <w:tcPr>
            <w:tcW w:w="1253" w:type="dxa"/>
            <w:vAlign w:val="center"/>
          </w:tcPr>
          <w:p w14:paraId="1916F89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322</w:t>
            </w:r>
          </w:p>
        </w:tc>
        <w:tc>
          <w:tcPr>
            <w:tcW w:w="1410" w:type="dxa"/>
            <w:vAlign w:val="center"/>
          </w:tcPr>
          <w:p w14:paraId="6A821CA1">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292</w:t>
            </w:r>
          </w:p>
        </w:tc>
        <w:tc>
          <w:tcPr>
            <w:tcW w:w="1395" w:type="dxa"/>
            <w:vAlign w:val="center"/>
          </w:tcPr>
          <w:p w14:paraId="07F481E7">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snapToGrid w:val="0"/>
                <w:color w:val="000000"/>
                <w:kern w:val="0"/>
                <w:sz w:val="22"/>
                <w:szCs w:val="22"/>
                <w:u w:val="none"/>
                <w:lang w:val="en-US" w:eastAsia="zh-CN" w:bidi="ar"/>
              </w:rPr>
              <w:t>30</w:t>
            </w:r>
          </w:p>
        </w:tc>
        <w:tc>
          <w:tcPr>
            <w:tcW w:w="1582" w:type="dxa"/>
            <w:vAlign w:val="top"/>
          </w:tcPr>
          <w:p w14:paraId="76795500">
            <w:pPr>
              <w:pStyle w:val="11"/>
              <w:spacing w:before="168" w:line="291" w:lineRule="exact"/>
              <w:ind w:left="654"/>
              <w:jc w:val="both"/>
              <w:rPr>
                <w:rFonts w:hint="eastAsia" w:ascii="宋体" w:hAnsi="宋体" w:eastAsia="宋体" w:cs="宋体"/>
                <w:sz w:val="21"/>
                <w:szCs w:val="21"/>
              </w:rPr>
            </w:pPr>
            <w:r>
              <w:rPr>
                <w:rFonts w:hint="eastAsia" w:ascii="宋体" w:hAnsi="宋体" w:eastAsia="宋体" w:cs="宋体"/>
                <w:spacing w:val="-5"/>
                <w:position w:val="1"/>
                <w:sz w:val="21"/>
                <w:szCs w:val="21"/>
              </w:rPr>
              <w:t>100</w:t>
            </w:r>
          </w:p>
        </w:tc>
        <w:tc>
          <w:tcPr>
            <w:tcW w:w="3510" w:type="dxa"/>
            <w:vMerge w:val="continue"/>
            <w:vAlign w:val="top"/>
          </w:tcPr>
          <w:p w14:paraId="32336745">
            <w:pPr>
              <w:jc w:val="center"/>
              <w:rPr>
                <w:rFonts w:hint="eastAsia" w:ascii="宋体" w:hAnsi="宋体" w:eastAsia="宋体" w:cs="宋体"/>
                <w:sz w:val="21"/>
                <w:szCs w:val="21"/>
              </w:rPr>
            </w:pPr>
          </w:p>
        </w:tc>
        <w:tc>
          <w:tcPr>
            <w:tcW w:w="1275" w:type="dxa"/>
            <w:vMerge w:val="continue"/>
            <w:tcBorders>
              <w:top w:val="nil"/>
              <w:bottom w:val="nil"/>
            </w:tcBorders>
            <w:vAlign w:val="top"/>
          </w:tcPr>
          <w:p w14:paraId="6B4329EC">
            <w:pPr>
              <w:jc w:val="center"/>
              <w:rPr>
                <w:rFonts w:hint="eastAsia" w:ascii="宋体" w:hAnsi="宋体" w:eastAsia="宋体" w:cs="宋体"/>
                <w:sz w:val="21"/>
                <w:szCs w:val="21"/>
              </w:rPr>
            </w:pPr>
          </w:p>
        </w:tc>
        <w:tc>
          <w:tcPr>
            <w:tcW w:w="1135" w:type="dxa"/>
            <w:vMerge w:val="continue"/>
            <w:vAlign w:val="top"/>
          </w:tcPr>
          <w:p w14:paraId="0ECA7266">
            <w:pPr>
              <w:pStyle w:val="11"/>
              <w:spacing w:before="168" w:line="223" w:lineRule="auto"/>
              <w:ind w:left="119"/>
              <w:jc w:val="center"/>
              <w:rPr>
                <w:rFonts w:hint="eastAsia" w:ascii="宋体" w:hAnsi="宋体" w:eastAsia="宋体" w:cs="宋体"/>
                <w:sz w:val="21"/>
                <w:szCs w:val="21"/>
              </w:rPr>
            </w:pPr>
          </w:p>
        </w:tc>
      </w:tr>
      <w:tr w14:paraId="6E2F95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63" w:hRule="atLeast"/>
        </w:trPr>
        <w:tc>
          <w:tcPr>
            <w:tcW w:w="913" w:type="dxa"/>
            <w:vMerge w:val="continue"/>
            <w:tcBorders>
              <w:top w:val="nil"/>
              <w:bottom w:val="nil"/>
            </w:tcBorders>
            <w:vAlign w:val="top"/>
          </w:tcPr>
          <w:p w14:paraId="04C37040">
            <w:pPr>
              <w:jc w:val="both"/>
              <w:rPr>
                <w:rFonts w:hint="eastAsia" w:ascii="宋体" w:hAnsi="宋体" w:eastAsia="宋体" w:cs="宋体"/>
                <w:sz w:val="21"/>
                <w:szCs w:val="21"/>
              </w:rPr>
            </w:pPr>
          </w:p>
        </w:tc>
        <w:tc>
          <w:tcPr>
            <w:tcW w:w="1398" w:type="dxa"/>
            <w:vAlign w:val="top"/>
          </w:tcPr>
          <w:p w14:paraId="48B82841">
            <w:pPr>
              <w:pStyle w:val="11"/>
              <w:spacing w:before="163" w:line="224" w:lineRule="auto"/>
              <w:ind w:left="105"/>
              <w:jc w:val="center"/>
              <w:rPr>
                <w:rFonts w:hint="eastAsia" w:ascii="宋体" w:hAnsi="宋体" w:eastAsia="宋体" w:cs="宋体"/>
                <w:sz w:val="21"/>
                <w:szCs w:val="21"/>
              </w:rPr>
            </w:pPr>
            <w:r>
              <w:rPr>
                <w:rFonts w:hint="eastAsia" w:ascii="宋体" w:hAnsi="宋体" w:eastAsia="宋体" w:cs="宋体"/>
                <w:spacing w:val="-1"/>
                <w:sz w:val="21"/>
                <w:szCs w:val="21"/>
              </w:rPr>
              <w:t>最小单元网格7</w:t>
            </w:r>
          </w:p>
        </w:tc>
        <w:tc>
          <w:tcPr>
            <w:tcW w:w="1635" w:type="dxa"/>
            <w:vAlign w:val="top"/>
          </w:tcPr>
          <w:p w14:paraId="46326A93">
            <w:pPr>
              <w:pStyle w:val="11"/>
              <w:spacing w:before="162" w:line="225" w:lineRule="auto"/>
              <w:jc w:val="center"/>
              <w:rPr>
                <w:rFonts w:hint="eastAsia" w:ascii="宋体" w:hAnsi="宋体" w:eastAsia="宋体" w:cs="宋体"/>
                <w:sz w:val="21"/>
                <w:szCs w:val="21"/>
              </w:rPr>
            </w:pPr>
            <w:r>
              <w:rPr>
                <w:rFonts w:hint="eastAsia" w:ascii="宋体" w:hAnsi="宋体" w:eastAsia="宋体" w:cs="宋体"/>
                <w:spacing w:val="-2"/>
                <w:sz w:val="21"/>
                <w:szCs w:val="21"/>
              </w:rPr>
              <w:t>小石桥乡</w:t>
            </w:r>
          </w:p>
        </w:tc>
        <w:tc>
          <w:tcPr>
            <w:tcW w:w="1253" w:type="dxa"/>
            <w:vAlign w:val="center"/>
          </w:tcPr>
          <w:p w14:paraId="084EF9B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31</w:t>
            </w:r>
          </w:p>
        </w:tc>
        <w:tc>
          <w:tcPr>
            <w:tcW w:w="1410" w:type="dxa"/>
            <w:vAlign w:val="center"/>
          </w:tcPr>
          <w:p w14:paraId="6A12190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24</w:t>
            </w:r>
          </w:p>
        </w:tc>
        <w:tc>
          <w:tcPr>
            <w:tcW w:w="1395" w:type="dxa"/>
            <w:vAlign w:val="center"/>
          </w:tcPr>
          <w:p w14:paraId="175D288A">
            <w:pPr>
              <w:keepNext w:val="0"/>
              <w:keepLines w:val="0"/>
              <w:widowControl/>
              <w:suppressLineNumbers w:val="0"/>
              <w:jc w:val="center"/>
              <w:textAlignment w:val="center"/>
              <w:rPr>
                <w:rFonts w:hint="eastAsia" w:ascii="宋体" w:hAnsi="宋体" w:eastAsia="宋体" w:cs="宋体"/>
                <w:sz w:val="21"/>
                <w:szCs w:val="21"/>
                <w:lang w:eastAsia="zh-CN"/>
              </w:rPr>
            </w:pPr>
            <w:r>
              <w:rPr>
                <w:rFonts w:hint="eastAsia" w:ascii="宋体" w:hAnsi="宋体" w:eastAsia="宋体" w:cs="宋体"/>
                <w:i w:val="0"/>
                <w:iCs w:val="0"/>
                <w:snapToGrid w:val="0"/>
                <w:color w:val="000000"/>
                <w:kern w:val="0"/>
                <w:sz w:val="22"/>
                <w:szCs w:val="22"/>
                <w:u w:val="none"/>
                <w:lang w:val="en-US" w:eastAsia="zh-CN" w:bidi="ar"/>
              </w:rPr>
              <w:t>7</w:t>
            </w:r>
          </w:p>
        </w:tc>
        <w:tc>
          <w:tcPr>
            <w:tcW w:w="1582" w:type="dxa"/>
            <w:vAlign w:val="top"/>
          </w:tcPr>
          <w:p w14:paraId="0ECEFBF6">
            <w:pPr>
              <w:pStyle w:val="11"/>
              <w:spacing w:before="162" w:line="292" w:lineRule="exact"/>
              <w:ind w:left="654"/>
              <w:jc w:val="both"/>
              <w:rPr>
                <w:rFonts w:hint="eastAsia" w:ascii="宋体" w:hAnsi="宋体" w:eastAsia="宋体" w:cs="宋体"/>
                <w:sz w:val="21"/>
                <w:szCs w:val="21"/>
              </w:rPr>
            </w:pPr>
            <w:r>
              <w:rPr>
                <w:rFonts w:hint="eastAsia" w:ascii="宋体" w:hAnsi="宋体" w:eastAsia="宋体" w:cs="宋体"/>
                <w:spacing w:val="-5"/>
                <w:position w:val="1"/>
                <w:sz w:val="21"/>
                <w:szCs w:val="21"/>
              </w:rPr>
              <w:t>100</w:t>
            </w:r>
          </w:p>
        </w:tc>
        <w:tc>
          <w:tcPr>
            <w:tcW w:w="3510" w:type="dxa"/>
            <w:vMerge w:val="continue"/>
            <w:vAlign w:val="top"/>
          </w:tcPr>
          <w:p w14:paraId="5F1A05E3">
            <w:pPr>
              <w:jc w:val="center"/>
              <w:rPr>
                <w:rFonts w:hint="eastAsia" w:ascii="宋体" w:hAnsi="宋体" w:eastAsia="宋体" w:cs="宋体"/>
                <w:sz w:val="21"/>
                <w:szCs w:val="21"/>
              </w:rPr>
            </w:pPr>
          </w:p>
        </w:tc>
        <w:tc>
          <w:tcPr>
            <w:tcW w:w="1275" w:type="dxa"/>
            <w:vMerge w:val="continue"/>
            <w:tcBorders>
              <w:top w:val="nil"/>
              <w:bottom w:val="nil"/>
            </w:tcBorders>
            <w:vAlign w:val="top"/>
          </w:tcPr>
          <w:p w14:paraId="4CAD94D3">
            <w:pPr>
              <w:jc w:val="center"/>
              <w:rPr>
                <w:rFonts w:hint="eastAsia" w:ascii="宋体" w:hAnsi="宋体" w:eastAsia="宋体" w:cs="宋体"/>
                <w:sz w:val="21"/>
                <w:szCs w:val="21"/>
              </w:rPr>
            </w:pPr>
          </w:p>
        </w:tc>
        <w:tc>
          <w:tcPr>
            <w:tcW w:w="1135" w:type="dxa"/>
            <w:vMerge w:val="continue"/>
            <w:vAlign w:val="top"/>
          </w:tcPr>
          <w:p w14:paraId="69DB132A">
            <w:pPr>
              <w:pStyle w:val="11"/>
              <w:spacing w:before="163" w:line="223" w:lineRule="auto"/>
              <w:ind w:left="119"/>
              <w:jc w:val="center"/>
              <w:rPr>
                <w:rFonts w:hint="eastAsia" w:ascii="宋体" w:hAnsi="宋体" w:eastAsia="宋体" w:cs="宋体"/>
                <w:sz w:val="21"/>
                <w:szCs w:val="21"/>
              </w:rPr>
            </w:pPr>
          </w:p>
        </w:tc>
      </w:tr>
      <w:tr w14:paraId="11AAA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913" w:type="dxa"/>
            <w:vMerge w:val="continue"/>
            <w:tcBorders>
              <w:top w:val="nil"/>
            </w:tcBorders>
            <w:vAlign w:val="top"/>
          </w:tcPr>
          <w:p w14:paraId="628B5D1F">
            <w:pPr>
              <w:jc w:val="both"/>
              <w:rPr>
                <w:rFonts w:hint="eastAsia" w:ascii="宋体" w:hAnsi="宋体" w:eastAsia="宋体" w:cs="宋体"/>
                <w:sz w:val="21"/>
                <w:szCs w:val="21"/>
              </w:rPr>
            </w:pPr>
          </w:p>
        </w:tc>
        <w:tc>
          <w:tcPr>
            <w:tcW w:w="1398" w:type="dxa"/>
            <w:vAlign w:val="top"/>
          </w:tcPr>
          <w:p w14:paraId="7CBD3B10">
            <w:pPr>
              <w:pStyle w:val="11"/>
              <w:spacing w:before="172" w:line="224" w:lineRule="auto"/>
              <w:ind w:left="105"/>
              <w:jc w:val="center"/>
              <w:rPr>
                <w:rFonts w:hint="eastAsia" w:ascii="宋体" w:hAnsi="宋体" w:eastAsia="宋体" w:cs="宋体"/>
                <w:sz w:val="21"/>
                <w:szCs w:val="21"/>
              </w:rPr>
            </w:pPr>
            <w:r>
              <w:rPr>
                <w:rFonts w:hint="eastAsia" w:ascii="宋体" w:hAnsi="宋体" w:eastAsia="宋体" w:cs="宋体"/>
                <w:spacing w:val="-1"/>
                <w:sz w:val="21"/>
                <w:szCs w:val="21"/>
              </w:rPr>
              <w:t>最小单元网格8</w:t>
            </w:r>
          </w:p>
        </w:tc>
        <w:tc>
          <w:tcPr>
            <w:tcW w:w="1635" w:type="dxa"/>
            <w:vAlign w:val="top"/>
          </w:tcPr>
          <w:p w14:paraId="452DF8E1">
            <w:pPr>
              <w:pStyle w:val="11"/>
              <w:spacing w:before="172" w:line="226" w:lineRule="auto"/>
              <w:jc w:val="center"/>
              <w:rPr>
                <w:rFonts w:hint="eastAsia" w:ascii="宋体" w:hAnsi="宋体" w:eastAsia="宋体" w:cs="宋体"/>
                <w:sz w:val="21"/>
                <w:szCs w:val="21"/>
              </w:rPr>
            </w:pPr>
            <w:r>
              <w:rPr>
                <w:rFonts w:hint="eastAsia" w:ascii="宋体" w:hAnsi="宋体" w:eastAsia="宋体" w:cs="宋体"/>
                <w:sz w:val="21"/>
                <w:szCs w:val="21"/>
              </w:rPr>
              <w:t>洛河乡</w:t>
            </w:r>
          </w:p>
        </w:tc>
        <w:tc>
          <w:tcPr>
            <w:tcW w:w="1253" w:type="dxa"/>
            <w:vAlign w:val="center"/>
          </w:tcPr>
          <w:p w14:paraId="2BB4112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44</w:t>
            </w:r>
          </w:p>
        </w:tc>
        <w:tc>
          <w:tcPr>
            <w:tcW w:w="1410" w:type="dxa"/>
            <w:vAlign w:val="center"/>
          </w:tcPr>
          <w:p w14:paraId="57A58A6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55</w:t>
            </w:r>
          </w:p>
        </w:tc>
        <w:tc>
          <w:tcPr>
            <w:tcW w:w="1395" w:type="dxa"/>
            <w:vAlign w:val="center"/>
          </w:tcPr>
          <w:p w14:paraId="015F779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snapToGrid w:val="0"/>
                <w:color w:val="000000"/>
                <w:kern w:val="0"/>
                <w:sz w:val="22"/>
                <w:szCs w:val="22"/>
                <w:u w:val="none"/>
                <w:lang w:val="en-US" w:eastAsia="zh-CN" w:bidi="ar"/>
              </w:rPr>
              <w:t>0</w:t>
            </w:r>
            <w:bookmarkStart w:id="0" w:name="_GoBack"/>
            <w:bookmarkEnd w:id="0"/>
          </w:p>
        </w:tc>
        <w:tc>
          <w:tcPr>
            <w:tcW w:w="1582" w:type="dxa"/>
            <w:vAlign w:val="top"/>
          </w:tcPr>
          <w:p w14:paraId="4F4754CB">
            <w:pPr>
              <w:pStyle w:val="11"/>
              <w:spacing w:before="171" w:line="292" w:lineRule="exact"/>
              <w:ind w:left="654"/>
              <w:jc w:val="both"/>
              <w:rPr>
                <w:rFonts w:hint="eastAsia" w:ascii="宋体" w:hAnsi="宋体" w:eastAsia="宋体" w:cs="宋体"/>
                <w:sz w:val="21"/>
                <w:szCs w:val="21"/>
              </w:rPr>
            </w:pPr>
            <w:r>
              <w:rPr>
                <w:rFonts w:hint="eastAsia" w:ascii="宋体" w:hAnsi="宋体" w:eastAsia="宋体" w:cs="宋体"/>
                <w:spacing w:val="-5"/>
                <w:position w:val="1"/>
                <w:sz w:val="21"/>
                <w:szCs w:val="21"/>
              </w:rPr>
              <w:t>100</w:t>
            </w:r>
          </w:p>
        </w:tc>
        <w:tc>
          <w:tcPr>
            <w:tcW w:w="3510" w:type="dxa"/>
            <w:vMerge w:val="continue"/>
            <w:vAlign w:val="top"/>
          </w:tcPr>
          <w:p w14:paraId="34227665">
            <w:pPr>
              <w:jc w:val="center"/>
              <w:rPr>
                <w:rFonts w:hint="eastAsia" w:ascii="宋体" w:hAnsi="宋体" w:eastAsia="宋体" w:cs="宋体"/>
                <w:sz w:val="21"/>
                <w:szCs w:val="21"/>
              </w:rPr>
            </w:pPr>
          </w:p>
        </w:tc>
        <w:tc>
          <w:tcPr>
            <w:tcW w:w="1275" w:type="dxa"/>
            <w:vMerge w:val="continue"/>
            <w:tcBorders>
              <w:top w:val="nil"/>
            </w:tcBorders>
            <w:vAlign w:val="top"/>
          </w:tcPr>
          <w:p w14:paraId="0117F2F9">
            <w:pPr>
              <w:jc w:val="center"/>
              <w:rPr>
                <w:rFonts w:hint="eastAsia" w:ascii="宋体" w:hAnsi="宋体" w:eastAsia="宋体" w:cs="宋体"/>
                <w:sz w:val="21"/>
                <w:szCs w:val="21"/>
              </w:rPr>
            </w:pPr>
          </w:p>
        </w:tc>
        <w:tc>
          <w:tcPr>
            <w:tcW w:w="1135" w:type="dxa"/>
            <w:vMerge w:val="continue"/>
            <w:vAlign w:val="top"/>
          </w:tcPr>
          <w:p w14:paraId="01036447">
            <w:pPr>
              <w:pStyle w:val="11"/>
              <w:spacing w:before="172" w:line="223" w:lineRule="auto"/>
              <w:ind w:left="119"/>
              <w:jc w:val="center"/>
              <w:rPr>
                <w:rFonts w:hint="eastAsia" w:ascii="宋体" w:hAnsi="宋体" w:eastAsia="宋体" w:cs="宋体"/>
                <w:sz w:val="21"/>
                <w:szCs w:val="21"/>
              </w:rPr>
            </w:pPr>
          </w:p>
        </w:tc>
      </w:tr>
    </w:tbl>
    <w:p w14:paraId="1CADB8A3">
      <w:pPr>
        <w:spacing w:before="51" w:line="219" w:lineRule="auto"/>
        <w:ind w:left="632"/>
        <w:jc w:val="both"/>
        <w:rPr>
          <w:rFonts w:ascii="宋体" w:hAnsi="宋体" w:eastAsia="宋体" w:cs="宋体"/>
          <w:sz w:val="21"/>
          <w:szCs w:val="21"/>
        </w:rPr>
      </w:pPr>
      <w:r>
        <w:rPr>
          <w:rFonts w:ascii="宋体" w:hAnsi="宋体" w:eastAsia="宋体" w:cs="宋体"/>
          <w:spacing w:val="-2"/>
          <w:sz w:val="21"/>
          <w:szCs w:val="21"/>
        </w:rPr>
        <w:t>备注：1.本公示表的数据根据本县（市、区）零售点布局规划实行定期评价、动态管理。</w:t>
      </w:r>
    </w:p>
    <w:p w14:paraId="215B32D1">
      <w:pPr>
        <w:spacing w:before="38" w:line="219" w:lineRule="auto"/>
        <w:ind w:left="1263"/>
        <w:jc w:val="both"/>
        <w:rPr>
          <w:rFonts w:hint="default" w:ascii="宋体" w:hAnsi="宋体" w:eastAsia="宋体" w:cs="宋体"/>
          <w:color w:val="000000" w:themeColor="text1"/>
          <w:spacing w:val="-2"/>
          <w:sz w:val="21"/>
          <w:szCs w:val="21"/>
          <w:lang w:val="en-US" w:eastAsia="zh-CN"/>
          <w14:textFill>
            <w14:solidFill>
              <w14:schemeClr w14:val="tx1"/>
            </w14:solidFill>
          </w14:textFill>
        </w:rPr>
      </w:pPr>
      <w:r>
        <w:rPr>
          <w:rFonts w:hint="eastAsia" w:ascii="宋体" w:hAnsi="宋体" w:eastAsia="宋体" w:cs="宋体"/>
          <w:color w:val="000000" w:themeColor="text1"/>
          <w:spacing w:val="-2"/>
          <w:sz w:val="21"/>
          <w:szCs w:val="21"/>
          <w:lang w:val="en-US" w:eastAsia="zh-CN"/>
          <w14:textFill>
            <w14:solidFill>
              <w14:schemeClr w14:val="tx1"/>
            </w14:solidFill>
          </w14:textFill>
        </w:rPr>
        <w:t>2.本公示表不含雪茄烟专营零售点、电子烟数量。</w:t>
      </w:r>
    </w:p>
    <w:p w14:paraId="41E0A8AB">
      <w:pPr>
        <w:spacing w:before="38" w:line="219" w:lineRule="auto"/>
        <w:ind w:left="1263"/>
        <w:jc w:val="both"/>
        <w:rPr>
          <w:rFonts w:ascii="宋体" w:hAnsi="宋体" w:eastAsia="宋体" w:cs="宋体"/>
          <w:sz w:val="21"/>
          <w:szCs w:val="21"/>
        </w:rPr>
      </w:pPr>
      <w:r>
        <w:rPr>
          <w:rFonts w:hint="eastAsia" w:ascii="宋体" w:hAnsi="宋体" w:eastAsia="宋体" w:cs="宋体"/>
          <w:spacing w:val="-2"/>
          <w:sz w:val="21"/>
          <w:szCs w:val="21"/>
          <w:lang w:val="en-US" w:eastAsia="zh-CN"/>
        </w:rPr>
        <w:t>3</w:t>
      </w:r>
      <w:r>
        <w:rPr>
          <w:rFonts w:ascii="宋体" w:hAnsi="宋体" w:eastAsia="宋体" w:cs="宋体"/>
          <w:spacing w:val="-2"/>
          <w:sz w:val="21"/>
          <w:szCs w:val="21"/>
        </w:rPr>
        <w:t>.每季度根据经济发展、城乡建设、市场形势等变化情况对本表中的数据进行动态调整，规划数相应进行动态更新，以每季度最后一次公示的数据为准。</w:t>
      </w:r>
    </w:p>
    <w:p w14:paraId="68FC68E0">
      <w:pPr>
        <w:spacing w:before="52" w:line="219" w:lineRule="auto"/>
        <w:ind w:left="1250"/>
        <w:jc w:val="both"/>
        <w:rPr>
          <w:rFonts w:ascii="宋体" w:hAnsi="宋体" w:eastAsia="宋体" w:cs="宋体"/>
          <w:sz w:val="21"/>
          <w:szCs w:val="21"/>
        </w:rPr>
      </w:pPr>
      <w:r>
        <w:rPr>
          <w:rFonts w:hint="eastAsia" w:ascii="宋体" w:hAnsi="宋体" w:eastAsia="宋体" w:cs="宋体"/>
          <w:spacing w:val="-1"/>
          <w:sz w:val="21"/>
          <w:szCs w:val="21"/>
          <w:lang w:val="en-US" w:eastAsia="zh-CN"/>
        </w:rPr>
        <w:t>4</w:t>
      </w:r>
      <w:r>
        <w:rPr>
          <w:rFonts w:ascii="宋体" w:hAnsi="宋体" w:eastAsia="宋体" w:cs="宋体"/>
          <w:spacing w:val="-1"/>
          <w:sz w:val="21"/>
          <w:szCs w:val="21"/>
        </w:rPr>
        <w:t>.本数据由云南省红塔区烟草专卖局负责解释，</w:t>
      </w:r>
      <w:r>
        <w:rPr>
          <w:rFonts w:ascii="宋体" w:hAnsi="宋体" w:eastAsia="宋体" w:cs="宋体"/>
          <w:spacing w:val="-2"/>
          <w:sz w:val="21"/>
          <w:szCs w:val="21"/>
        </w:rPr>
        <w:t>咨询电话：0877-2773779。</w:t>
      </w:r>
    </w:p>
    <w:p w14:paraId="74BE03DB">
      <w:pPr>
        <w:spacing w:line="219" w:lineRule="auto"/>
        <w:jc w:val="both"/>
        <w:rPr>
          <w:rFonts w:ascii="宋体" w:hAnsi="宋体" w:eastAsia="宋体" w:cs="宋体"/>
          <w:sz w:val="18"/>
          <w:szCs w:val="18"/>
        </w:rPr>
        <w:sectPr>
          <w:pgSz w:w="16838" w:h="11906"/>
          <w:pgMar w:top="1011" w:right="869" w:bottom="400" w:left="410" w:header="0" w:footer="0" w:gutter="0"/>
          <w:cols w:space="720" w:num="1"/>
        </w:sectPr>
      </w:pPr>
    </w:p>
    <w:p w14:paraId="4C14B9C6">
      <w:pPr>
        <w:spacing w:before="100" w:line="228" w:lineRule="auto"/>
        <w:ind w:left="636"/>
        <w:jc w:val="both"/>
        <w:rPr>
          <w:rFonts w:hint="eastAsia" w:ascii="黑体" w:hAnsi="黑体" w:eastAsia="黑体" w:cs="黑体"/>
          <w:sz w:val="31"/>
          <w:szCs w:val="31"/>
          <w:lang w:eastAsia="zh-CN"/>
        </w:rPr>
      </w:pPr>
      <w:r>
        <w:rPr>
          <w:rFonts w:ascii="黑体" w:hAnsi="黑体" w:eastAsia="黑体" w:cs="黑体"/>
          <w:spacing w:val="9"/>
          <w:sz w:val="31"/>
          <w:szCs w:val="31"/>
        </w:rPr>
        <w:t>附件</w:t>
      </w:r>
      <w:r>
        <w:rPr>
          <w:rFonts w:hint="eastAsia" w:ascii="黑体" w:hAnsi="黑体" w:eastAsia="黑体" w:cs="黑体"/>
          <w:spacing w:val="9"/>
          <w:sz w:val="31"/>
          <w:szCs w:val="31"/>
          <w:lang w:val="en-US" w:eastAsia="zh-CN"/>
        </w:rPr>
        <w:t>3</w:t>
      </w:r>
    </w:p>
    <w:p w14:paraId="19922367">
      <w:pPr>
        <w:spacing w:before="36" w:line="218" w:lineRule="auto"/>
        <w:ind w:left="2645"/>
        <w:jc w:val="both"/>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云南省红塔区烟草制品零售点合理布局网格示意图</w:t>
      </w:r>
    </w:p>
    <w:p w14:paraId="535C69A1">
      <w:pPr>
        <w:spacing w:line="6974" w:lineRule="exact"/>
        <w:ind w:firstLine="944"/>
        <w:jc w:val="both"/>
      </w:pPr>
      <w:r>
        <w:rPr>
          <w:position w:val="-139"/>
        </w:rPr>
        <w:drawing>
          <wp:inline distT="0" distB="0" distL="0" distR="0">
            <wp:extent cx="8427085" cy="442849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33"/>
                    <a:stretch>
                      <a:fillRect/>
                    </a:stretch>
                  </pic:blipFill>
                  <pic:spPr>
                    <a:xfrm>
                      <a:off x="0" y="0"/>
                      <a:ext cx="8427583" cy="4428673"/>
                    </a:xfrm>
                    <a:prstGeom prst="rect">
                      <a:avLst/>
                    </a:prstGeom>
                  </pic:spPr>
                </pic:pic>
              </a:graphicData>
            </a:graphic>
          </wp:inline>
        </w:drawing>
      </w:r>
    </w:p>
    <w:p w14:paraId="7898A46E">
      <w:pPr>
        <w:spacing w:before="42" w:line="317" w:lineRule="auto"/>
        <w:jc w:val="center"/>
        <w:rPr>
          <w:rFonts w:hint="eastAsia" w:ascii="Arial Unicode MS" w:eastAsia="Arial Unicode MS"/>
          <w:sz w:val="44"/>
          <w:szCs w:val="44"/>
        </w:rPr>
      </w:pPr>
    </w:p>
    <w:p w14:paraId="78A502DB">
      <w:pPr>
        <w:spacing w:before="42" w:line="317" w:lineRule="auto"/>
        <w:ind w:firstLine="640" w:firstLineChars="200"/>
        <w:jc w:val="both"/>
        <w:rPr>
          <w:rFonts w:hint="default" w:ascii="Arial Unicode MS" w:eastAsia="Arial Unicode MS"/>
          <w:sz w:val="32"/>
          <w:szCs w:val="32"/>
          <w:lang w:val="en-US" w:eastAsia="zh-CN"/>
        </w:rPr>
      </w:pPr>
      <w:r>
        <w:rPr>
          <w:rFonts w:hint="eastAsia" w:ascii="Arial Unicode MS" w:eastAsia="Arial Unicode MS"/>
          <w:sz w:val="32"/>
          <w:szCs w:val="32"/>
          <w:lang w:eastAsia="zh-CN"/>
        </w:rPr>
        <w:t>附件</w:t>
      </w:r>
      <w:r>
        <w:rPr>
          <w:rFonts w:hint="eastAsia" w:ascii="Arial Unicode MS" w:eastAsia="Arial Unicode MS"/>
          <w:sz w:val="32"/>
          <w:szCs w:val="32"/>
          <w:lang w:val="en-US" w:eastAsia="zh-CN"/>
        </w:rPr>
        <w:t>4</w:t>
      </w:r>
    </w:p>
    <w:p w14:paraId="6383DA95">
      <w:pPr>
        <w:spacing w:before="36" w:line="218" w:lineRule="auto"/>
        <w:ind w:left="2645"/>
        <w:jc w:val="both"/>
        <w:outlineLvl w:val="0"/>
        <w:rPr>
          <w:rFonts w:hint="eastAsia" w:ascii="方正小标宋简体" w:hAnsi="方正小标宋简体" w:eastAsia="方正小标宋简体" w:cs="方正小标宋简体"/>
          <w:spacing w:val="9"/>
          <w:sz w:val="44"/>
          <w:szCs w:val="44"/>
          <w:lang w:eastAsia="zh-CN"/>
        </w:rPr>
      </w:pPr>
      <w:r>
        <w:rPr>
          <w:rFonts w:hint="default" w:ascii="方正小标宋简体" w:hAnsi="方正小标宋简体" w:eastAsia="方正小标宋简体" w:cs="方正小标宋简体"/>
          <w:spacing w:val="9"/>
          <w:sz w:val="44"/>
          <w:szCs w:val="44"/>
          <w:lang w:eastAsia="zh-CN"/>
        </w:rPr>
        <w:t>云南省红塔区雪茄烟专营零售点合理布局公示表</w:t>
      </w:r>
    </w:p>
    <w:p w14:paraId="21975DE6">
      <w:pPr>
        <w:ind w:firstLine="420" w:firstLineChars="200"/>
      </w:pPr>
      <w:r>
        <w:rPr>
          <w:rFonts w:hint="eastAsia"/>
        </w:rPr>
        <w:t>单位：云南省</w:t>
      </w:r>
      <w:r>
        <w:rPr>
          <w:rFonts w:hint="eastAsia"/>
          <w:lang w:eastAsia="zh-CN"/>
        </w:rPr>
        <w:t>玉溪市红塔</w:t>
      </w:r>
      <w:r>
        <w:rPr>
          <w:rFonts w:hint="eastAsia"/>
        </w:rPr>
        <w:t>区</w:t>
      </w:r>
      <w:r>
        <w:rPr>
          <w:rFonts w:hint="eastAsia" w:ascii="宋体" w:hAnsi="宋体" w:cs="宋体"/>
        </w:rPr>
        <w:t>烟草专卖局</w:t>
      </w:r>
      <w:r>
        <w:rPr>
          <w:rFonts w:hint="eastAsia"/>
        </w:rPr>
        <w:t xml:space="preserve">                         </w:t>
      </w:r>
      <w:r>
        <w:rPr>
          <w:rFonts w:hint="eastAsia"/>
          <w:lang w:val="en-US" w:eastAsia="zh-CN"/>
        </w:rPr>
        <w:t xml:space="preserve">        </w:t>
      </w:r>
      <w:r>
        <w:rPr>
          <w:rFonts w:hint="eastAsia"/>
        </w:rPr>
        <w:t xml:space="preserve">  </w:t>
      </w:r>
      <w:r>
        <w:rPr>
          <w:rFonts w:hint="eastAsia" w:eastAsia="宋体"/>
          <w:lang w:val="en-US" w:eastAsia="zh-CN"/>
        </w:rPr>
        <w:t xml:space="preserve">                                                                </w:t>
      </w:r>
      <w:r>
        <w:rPr>
          <w:rFonts w:hint="eastAsia"/>
        </w:rPr>
        <w:t>公示时间：</w:t>
      </w:r>
      <w:r>
        <w:rPr>
          <w:rFonts w:hint="eastAsia"/>
          <w:color w:val="0000FF"/>
        </w:rPr>
        <w:t>2026年XX月XX日-2026年XX月XX日</w:t>
      </w:r>
    </w:p>
    <w:tbl>
      <w:tblPr>
        <w:tblStyle w:val="8"/>
        <w:tblpPr w:leftFromText="180" w:rightFromText="180" w:vertAnchor="text" w:horzAnchor="page" w:tblpX="1011" w:tblpY="358"/>
        <w:tblOverlap w:val="never"/>
        <w:tblW w:w="136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35"/>
        <w:gridCol w:w="2490"/>
        <w:gridCol w:w="2250"/>
        <w:gridCol w:w="3033"/>
        <w:gridCol w:w="2006"/>
        <w:gridCol w:w="2170"/>
      </w:tblGrid>
      <w:tr w14:paraId="7E3D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17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2D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行政区域</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526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烟草专卖零售许可证数量（户）</w:t>
            </w:r>
          </w:p>
        </w:tc>
        <w:tc>
          <w:tcPr>
            <w:tcW w:w="72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2654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红塔区雪茄烟专营零售点规划数（个）</w:t>
            </w:r>
          </w:p>
        </w:tc>
        <w:tc>
          <w:tcPr>
            <w:tcW w:w="2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726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7AA21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7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BFA50">
            <w:pPr>
              <w:jc w:val="center"/>
              <w:rPr>
                <w:rFonts w:hint="eastAsia" w:ascii="宋体" w:hAnsi="宋体" w:eastAsia="宋体" w:cs="宋体"/>
                <w:i w:val="0"/>
                <w:iCs w:val="0"/>
                <w:color w:val="000000"/>
                <w:sz w:val="22"/>
                <w:szCs w:val="22"/>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E814F">
            <w:pPr>
              <w:jc w:val="center"/>
              <w:rPr>
                <w:rFonts w:hint="eastAsia" w:ascii="宋体" w:hAnsi="宋体" w:eastAsia="宋体" w:cs="宋体"/>
                <w:i w:val="0"/>
                <w:iCs w:val="0"/>
                <w:color w:val="000000"/>
                <w:sz w:val="22"/>
                <w:szCs w:val="22"/>
                <w:u w:val="none"/>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56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总量规划数（个）</w:t>
            </w:r>
          </w:p>
        </w:tc>
        <w:tc>
          <w:tcPr>
            <w:tcW w:w="3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16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当前实际数（个）</w:t>
            </w:r>
          </w:p>
          <w:p w14:paraId="3025E4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（截止2026年6月25日数据）</w:t>
            </w: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CD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余量（个）</w:t>
            </w:r>
          </w:p>
        </w:tc>
        <w:tc>
          <w:tcPr>
            <w:tcW w:w="2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4984E">
            <w:pPr>
              <w:jc w:val="center"/>
              <w:rPr>
                <w:rFonts w:hint="eastAsia" w:ascii="宋体" w:hAnsi="宋体" w:eastAsia="宋体" w:cs="宋体"/>
                <w:i w:val="0"/>
                <w:iCs w:val="0"/>
                <w:color w:val="000000"/>
                <w:sz w:val="22"/>
                <w:szCs w:val="22"/>
                <w:u w:val="none"/>
              </w:rPr>
            </w:pPr>
          </w:p>
        </w:tc>
      </w:tr>
      <w:tr w14:paraId="2B748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5" w:hRule="atLeast"/>
        </w:trPr>
        <w:tc>
          <w:tcPr>
            <w:tcW w:w="1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DE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红塔区</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233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3882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35E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194</w:t>
            </w:r>
          </w:p>
        </w:tc>
        <w:tc>
          <w:tcPr>
            <w:tcW w:w="3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029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86F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189</w:t>
            </w:r>
          </w:p>
        </w:tc>
        <w:tc>
          <w:tcPr>
            <w:tcW w:w="2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7F1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r>
    </w:tbl>
    <w:p w14:paraId="11440771">
      <w:pPr>
        <w:spacing w:before="42" w:line="219" w:lineRule="auto"/>
        <w:ind w:firstLine="416" w:firstLineChars="200"/>
        <w:rPr>
          <w:rFonts w:ascii="宋体" w:hAnsi="宋体" w:cs="宋体"/>
          <w:spacing w:val="-1"/>
        </w:rPr>
      </w:pPr>
    </w:p>
    <w:p w14:paraId="41C0C894">
      <w:pPr>
        <w:spacing w:before="42" w:line="219" w:lineRule="auto"/>
        <w:ind w:firstLine="416" w:firstLineChars="200"/>
        <w:rPr>
          <w:rFonts w:ascii="宋体" w:hAnsi="宋体" w:cs="宋体"/>
          <w:spacing w:val="-1"/>
        </w:rPr>
      </w:pPr>
      <w:r>
        <w:rPr>
          <w:rFonts w:ascii="宋体" w:hAnsi="宋体" w:cs="宋体"/>
          <w:spacing w:val="-1"/>
        </w:rPr>
        <w:t>备注：</w:t>
      </w:r>
    </w:p>
    <w:p w14:paraId="2EF63724">
      <w:pPr>
        <w:spacing w:before="42" w:line="219" w:lineRule="auto"/>
        <w:ind w:firstLine="416" w:firstLineChars="200"/>
        <w:rPr>
          <w:rFonts w:ascii="宋体" w:hAnsi="宋体" w:cs="宋体"/>
          <w:spacing w:val="-1"/>
        </w:rPr>
      </w:pPr>
      <w:r>
        <w:rPr>
          <w:rFonts w:hint="eastAsia" w:ascii="宋体" w:hAnsi="宋体" w:cs="宋体"/>
          <w:spacing w:val="-1"/>
        </w:rPr>
        <w:t>1.本公示表的数据根据</w:t>
      </w:r>
      <w:r>
        <w:rPr>
          <w:rFonts w:hint="eastAsia" w:ascii="宋体" w:hAnsi="宋体" w:cs="宋体"/>
          <w:spacing w:val="-1"/>
          <w:lang w:val="en-US" w:eastAsia="zh-CN"/>
        </w:rPr>
        <w:t>辖区雪茄烟</w:t>
      </w:r>
      <w:r>
        <w:rPr>
          <w:rFonts w:hint="eastAsia" w:ascii="宋体" w:hAnsi="宋体" w:cs="宋体"/>
          <w:spacing w:val="-1"/>
        </w:rPr>
        <w:t>零售点布局规划实行定期评价、动态管理。</w:t>
      </w:r>
    </w:p>
    <w:p w14:paraId="26D86A8F">
      <w:pPr>
        <w:spacing w:before="42" w:line="219" w:lineRule="auto"/>
        <w:ind w:left="628" w:leftChars="200" w:hanging="208" w:hangingChars="100"/>
        <w:rPr>
          <w:rFonts w:hint="eastAsia" w:ascii="宋体" w:hAnsi="宋体" w:eastAsia="宋体" w:cs="宋体"/>
          <w:spacing w:val="-1"/>
          <w:lang w:eastAsia="zh-CN"/>
        </w:rPr>
      </w:pPr>
      <w:r>
        <w:rPr>
          <w:rFonts w:hint="eastAsia" w:ascii="宋体" w:hAnsi="宋体" w:cs="宋体"/>
          <w:spacing w:val="-1"/>
        </w:rPr>
        <w:t>2.每季度根据上季度末烟草专卖零售许可证数量（不含电子烟、雪茄烟专营）不超过5%</w:t>
      </w:r>
      <w:r>
        <w:rPr>
          <w:rFonts w:hint="eastAsia" w:ascii="宋体" w:hAnsi="宋体" w:eastAsia="宋体" w:cs="宋体"/>
          <w:spacing w:val="-1"/>
          <w:lang w:eastAsia="zh-CN"/>
        </w:rPr>
        <w:t>的</w:t>
      </w:r>
      <w:r>
        <w:rPr>
          <w:rFonts w:hint="eastAsia" w:ascii="宋体" w:hAnsi="宋体" w:cs="宋体"/>
          <w:spacing w:val="-1"/>
        </w:rPr>
        <w:t>测算</w:t>
      </w:r>
      <w:r>
        <w:rPr>
          <w:rFonts w:hint="eastAsia" w:ascii="宋体" w:hAnsi="宋体" w:eastAsia="宋体" w:cs="宋体"/>
          <w:spacing w:val="-1"/>
          <w:lang w:eastAsia="zh-CN"/>
        </w:rPr>
        <w:t>比例进行动态调整，</w:t>
      </w:r>
      <w:r>
        <w:rPr>
          <w:rFonts w:hint="eastAsia" w:ascii="宋体" w:hAnsi="宋体" w:cs="宋体"/>
          <w:spacing w:val="-1"/>
        </w:rPr>
        <w:t>规划数相应进行动态更新，以每季度最后一次公示的数据为准</w:t>
      </w:r>
      <w:r>
        <w:rPr>
          <w:rFonts w:hint="eastAsia" w:ascii="宋体" w:hAnsi="宋体" w:eastAsia="宋体" w:cs="宋体"/>
          <w:spacing w:val="-1"/>
          <w:lang w:eastAsia="zh-CN"/>
        </w:rPr>
        <w:t>。</w:t>
      </w:r>
    </w:p>
    <w:p w14:paraId="56D7124E">
      <w:pPr>
        <w:ind w:firstLine="416" w:firstLineChars="200"/>
        <w:rPr>
          <w:rFonts w:hint="eastAsia" w:ascii="仿宋_GB2312" w:eastAsia="仿宋_GB2312" w:cs="仿宋_GB2312"/>
          <w:color w:val="000000"/>
          <w:sz w:val="31"/>
          <w:szCs w:val="31"/>
        </w:rPr>
      </w:pPr>
      <w:r>
        <w:rPr>
          <w:rFonts w:hint="eastAsia" w:ascii="宋体" w:hAnsi="宋体" w:cs="宋体"/>
          <w:spacing w:val="-1"/>
        </w:rPr>
        <w:t>3.本数据由云南省</w:t>
      </w:r>
      <w:r>
        <w:rPr>
          <w:rFonts w:hint="eastAsia" w:ascii="宋体" w:hAnsi="宋体" w:cs="宋体"/>
          <w:spacing w:val="-1"/>
          <w:lang w:eastAsia="zh-CN"/>
        </w:rPr>
        <w:t>玉溪市红塔区</w:t>
      </w:r>
      <w:r>
        <w:rPr>
          <w:rFonts w:hint="eastAsia" w:ascii="宋体" w:hAnsi="宋体" w:cs="宋体"/>
          <w:spacing w:val="-1"/>
        </w:rPr>
        <w:t>烟草专卖局负责解释，咨询电话：</w:t>
      </w:r>
      <w:r>
        <w:rPr>
          <w:rFonts w:ascii="宋体" w:hAnsi="宋体" w:cs="宋体"/>
          <w:spacing w:val="-1"/>
        </w:rPr>
        <w:t>087</w:t>
      </w:r>
      <w:r>
        <w:rPr>
          <w:rFonts w:hint="eastAsia" w:ascii="宋体" w:hAnsi="宋体" w:cs="宋体"/>
          <w:spacing w:val="-1"/>
          <w:lang w:val="en-US" w:eastAsia="zh-CN"/>
        </w:rPr>
        <w:t>7</w:t>
      </w:r>
      <w:r>
        <w:rPr>
          <w:rFonts w:ascii="宋体" w:hAnsi="宋体" w:cs="宋体"/>
          <w:spacing w:val="-1"/>
        </w:rPr>
        <w:t>-</w:t>
      </w:r>
      <w:r>
        <w:rPr>
          <w:rFonts w:hint="eastAsia" w:ascii="宋体" w:hAnsi="宋体" w:cs="宋体"/>
          <w:spacing w:val="-1"/>
          <w:lang w:val="en-US" w:eastAsia="zh-CN"/>
        </w:rPr>
        <w:t>2773779</w:t>
      </w:r>
      <w:r>
        <w:rPr>
          <w:rFonts w:hint="eastAsia" w:ascii="宋体" w:hAnsi="宋体" w:cs="宋体"/>
          <w:spacing w:val="-1"/>
        </w:rPr>
        <w:t>。</w:t>
      </w:r>
    </w:p>
    <w:p w14:paraId="49E70417">
      <w:pPr>
        <w:spacing w:line="6974" w:lineRule="exact"/>
        <w:jc w:val="both"/>
        <w:sectPr>
          <w:headerReference r:id="rId7" w:type="default"/>
          <w:pgSz w:w="16838" w:h="11906"/>
          <w:pgMar w:top="1986" w:right="2190" w:bottom="400" w:left="430" w:header="1495" w:footer="0" w:gutter="0"/>
          <w:cols w:space="720" w:num="1"/>
        </w:sectPr>
      </w:pPr>
    </w:p>
    <w:p w14:paraId="4A0A6D4E">
      <w:pPr>
        <w:spacing w:before="101" w:line="230" w:lineRule="auto"/>
        <w:ind w:left="16"/>
        <w:jc w:val="both"/>
        <w:rPr>
          <w:rFonts w:hint="eastAsia" w:ascii="黑体" w:hAnsi="黑体" w:eastAsia="黑体" w:cs="黑体"/>
          <w:sz w:val="31"/>
          <w:szCs w:val="31"/>
          <w:lang w:val="en-US" w:eastAsia="zh-CN"/>
        </w:rPr>
      </w:pPr>
      <w:r>
        <w:rPr>
          <w:rFonts w:ascii="黑体" w:hAnsi="黑体" w:eastAsia="黑体" w:cs="黑体"/>
          <w:spacing w:val="1"/>
          <w:sz w:val="31"/>
          <w:szCs w:val="31"/>
        </w:rPr>
        <w:t>附件</w:t>
      </w:r>
      <w:r>
        <w:rPr>
          <w:rFonts w:ascii="黑体" w:hAnsi="黑体" w:eastAsia="黑体" w:cs="黑体"/>
          <w:spacing w:val="-49"/>
          <w:sz w:val="31"/>
          <w:szCs w:val="31"/>
        </w:rPr>
        <w:t xml:space="preserve"> </w:t>
      </w:r>
      <w:r>
        <w:rPr>
          <w:rFonts w:hint="eastAsia" w:ascii="黑体" w:hAnsi="黑体" w:eastAsia="黑体" w:cs="黑体"/>
          <w:spacing w:val="-49"/>
          <w:sz w:val="31"/>
          <w:szCs w:val="31"/>
          <w:lang w:val="en-US" w:eastAsia="zh-CN"/>
        </w:rPr>
        <w:t>5</w:t>
      </w:r>
    </w:p>
    <w:p w14:paraId="37943CF4">
      <w:pPr>
        <w:spacing w:before="164" w:line="239" w:lineRule="auto"/>
        <w:ind w:left="1562"/>
        <w:jc w:val="both"/>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sz w:val="43"/>
          <w:szCs w:val="43"/>
        </w:rPr>
        <w:t>云南省红塔区烟草制品零售点</w:t>
      </w:r>
    </w:p>
    <w:p w14:paraId="388EF5C1">
      <w:pPr>
        <w:spacing w:before="260" w:line="207" w:lineRule="auto"/>
        <w:ind w:left="1117"/>
        <w:jc w:val="both"/>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合理布局规划数动态调整管理制度</w:t>
      </w:r>
    </w:p>
    <w:p w14:paraId="20A73AF2">
      <w:pPr>
        <w:spacing w:line="288" w:lineRule="auto"/>
        <w:jc w:val="both"/>
        <w:rPr>
          <w:rFonts w:ascii="Arial"/>
          <w:sz w:val="21"/>
        </w:rPr>
      </w:pPr>
    </w:p>
    <w:p w14:paraId="688B37C5">
      <w:pPr>
        <w:spacing w:line="288" w:lineRule="auto"/>
        <w:jc w:val="both"/>
        <w:rPr>
          <w:rFonts w:ascii="Arial"/>
          <w:sz w:val="21"/>
        </w:rPr>
      </w:pPr>
    </w:p>
    <w:p w14:paraId="4455DCF3">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rPr>
      </w:pPr>
      <w:r>
        <w:rPr>
          <w:rFonts w:ascii="黑体" w:hAnsi="黑体" w:eastAsia="黑体" w:cs="黑体"/>
          <w:snapToGrid w:val="0"/>
          <w:color w:val="000000"/>
          <w:spacing w:val="15"/>
          <w:kern w:val="0"/>
          <w:sz w:val="32"/>
          <w:szCs w:val="32"/>
          <w:lang w:val="en-US" w:eastAsia="en-US" w:bidi="ar-SA"/>
        </w:rPr>
        <w:t>第一条</w:t>
      </w:r>
      <w:r>
        <w:rPr>
          <w:rFonts w:ascii="黑体" w:hAnsi="黑体" w:eastAsia="黑体" w:cs="黑体"/>
          <w:spacing w:val="3"/>
        </w:rPr>
        <w:t xml:space="preserve">  </w:t>
      </w:r>
      <w:r>
        <w:rPr>
          <w:rFonts w:hint="eastAsia" w:ascii="仿宋_GB2312" w:hAnsi="仿宋_GB2312" w:eastAsia="仿宋_GB2312" w:cs="仿宋_GB2312"/>
          <w:spacing w:val="1"/>
        </w:rPr>
        <w:t>为建立合理布局规划管理动态调整机制，做好规范性文件的动态管理，保证《云南省红塔区烟草制品零售点合理布局规划》的科学性、合理性、前瞻性，依据《中华人民共和国行政许可法》《中华人民共和国未成年人保护法》《中华人民共和国烟草专卖法》《中华人民共和国烟草专卖法实施条例》《烟草专卖许可证管理办法》《烟草专卖许可证管理办法实施细则》等法律法规规章和规范性文件的规定，特制定本制度。</w:t>
      </w:r>
    </w:p>
    <w:p w14:paraId="2D71B520">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6" w:right="2" w:firstLine="671"/>
        <w:jc w:val="both"/>
        <w:textAlignment w:val="baseline"/>
        <w:rPr>
          <w:spacing w:val="1"/>
        </w:rPr>
      </w:pPr>
      <w:r>
        <w:rPr>
          <w:rFonts w:ascii="黑体" w:hAnsi="黑体" w:eastAsia="黑体" w:cs="黑体"/>
          <w:snapToGrid w:val="0"/>
          <w:color w:val="000000"/>
          <w:spacing w:val="15"/>
          <w:kern w:val="0"/>
          <w:sz w:val="32"/>
          <w:szCs w:val="32"/>
          <w:lang w:val="en-US" w:eastAsia="en-US" w:bidi="ar-SA"/>
        </w:rPr>
        <w:t>第二条</w:t>
      </w:r>
      <w:r>
        <w:rPr>
          <w:rFonts w:ascii="黑体" w:hAnsi="黑体" w:eastAsia="黑体" w:cs="黑体"/>
          <w:spacing w:val="9"/>
        </w:rPr>
        <w:t xml:space="preserve">  </w:t>
      </w:r>
      <w:r>
        <w:rPr>
          <w:rFonts w:hint="eastAsia" w:ascii="仿宋_GB2312" w:hAnsi="仿宋_GB2312" w:eastAsia="仿宋_GB2312" w:cs="仿宋_GB2312"/>
          <w:spacing w:val="1"/>
        </w:rPr>
        <w:t>根据《云南省红塔区烟草制品零售点合理布局规划》，红塔区烟草专卖局每季度根据本地人口数量、交通状况、经济发展水平、居民消费能力、消费购买习惯等变化情况，对辖区单元网格零售点合理布局规划数进行动态调整</w:t>
      </w:r>
      <w:r>
        <w:rPr>
          <w:spacing w:val="1"/>
        </w:rPr>
        <w:t>。</w:t>
      </w:r>
    </w:p>
    <w:p w14:paraId="44DFDF66">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3" w:firstLine="674"/>
        <w:jc w:val="both"/>
        <w:textAlignment w:val="baseline"/>
        <w:rPr>
          <w:spacing w:val="1"/>
        </w:rPr>
      </w:pPr>
      <w:r>
        <w:rPr>
          <w:rFonts w:ascii="黑体" w:hAnsi="黑体" w:eastAsia="黑体" w:cs="黑体"/>
          <w:snapToGrid w:val="0"/>
          <w:color w:val="000000"/>
          <w:spacing w:val="15"/>
          <w:kern w:val="0"/>
          <w:sz w:val="32"/>
          <w:szCs w:val="32"/>
          <w:lang w:val="en-US" w:eastAsia="en-US" w:bidi="ar-SA"/>
        </w:rPr>
        <w:t>第三条</w:t>
      </w:r>
      <w:r>
        <w:rPr>
          <w:rFonts w:ascii="黑体" w:hAnsi="黑体" w:eastAsia="黑体" w:cs="黑体"/>
          <w:spacing w:val="9"/>
        </w:rPr>
        <w:t xml:space="preserve">  </w:t>
      </w:r>
      <w:r>
        <w:rPr>
          <w:rFonts w:hint="eastAsia" w:ascii="仿宋_GB2312" w:hAnsi="仿宋_GB2312" w:eastAsia="仿宋_GB2312" w:cs="仿宋_GB2312"/>
          <w:spacing w:val="1"/>
        </w:rPr>
        <w:t>零售点合理布局规划数动态调整情况应提交红塔区烟草专卖局领导班子集体讨论决定。讨论通过的，应在五日内通过政府网站、行业网站及政务服务大厅等平台公示《云南省红塔区烟草制品零售点合理布局公示表》</w:t>
      </w:r>
      <w:r>
        <w:rPr>
          <w:rFonts w:hint="eastAsia" w:ascii="仿宋_GB2312" w:hAnsi="仿宋_GB2312" w:eastAsia="仿宋_GB2312" w:cs="仿宋_GB2312"/>
          <w:spacing w:val="1"/>
          <w:lang w:eastAsia="zh-CN"/>
        </w:rPr>
        <w:t>《云南省红塔区雪茄烟专营零售点合理布局公示表》</w:t>
      </w:r>
      <w:r>
        <w:rPr>
          <w:rFonts w:hint="eastAsia" w:ascii="仿宋_GB2312" w:hAnsi="仿宋_GB2312" w:eastAsia="仿宋_GB2312" w:cs="仿宋_GB2312"/>
          <w:spacing w:val="1"/>
        </w:rPr>
        <w:t>，同时报上一级烟草专卖局备案。</w:t>
      </w:r>
    </w:p>
    <w:p w14:paraId="52AE48F8">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3" w:firstLine="674"/>
        <w:jc w:val="both"/>
        <w:textAlignment w:val="baseline"/>
      </w:pPr>
      <w:r>
        <w:rPr>
          <w:rFonts w:ascii="黑体" w:hAnsi="黑体" w:eastAsia="黑体" w:cs="黑体"/>
          <w:snapToGrid w:val="0"/>
          <w:color w:val="000000"/>
          <w:spacing w:val="15"/>
          <w:kern w:val="0"/>
          <w:sz w:val="32"/>
          <w:szCs w:val="32"/>
          <w:lang w:val="en-US" w:eastAsia="en-US" w:bidi="ar-SA"/>
        </w:rPr>
        <w:t xml:space="preserve">第四条 </w:t>
      </w:r>
      <w:r>
        <w:rPr>
          <w:rFonts w:ascii="黑体" w:hAnsi="黑体" w:eastAsia="黑体" w:cs="黑体"/>
          <w:spacing w:val="9"/>
        </w:rPr>
        <w:t xml:space="preserve"> </w:t>
      </w:r>
      <w:r>
        <w:rPr>
          <w:rFonts w:hint="eastAsia" w:ascii="仿宋_GB2312" w:hAnsi="仿宋_GB2312" w:eastAsia="仿宋_GB2312" w:cs="仿宋_GB2312"/>
          <w:spacing w:val="1"/>
        </w:rPr>
        <w:t>零售点合理布局规划数动态调整情况于公示之日起三日后开始实施</w:t>
      </w:r>
      <w:r>
        <w:rPr>
          <w:spacing w:val="1"/>
        </w:rPr>
        <w:t>。</w:t>
      </w:r>
    </w:p>
    <w:p w14:paraId="7DA6F67D">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7" w:right="253" w:firstLine="669"/>
        <w:jc w:val="both"/>
        <w:textAlignment w:val="baseline"/>
        <w:rPr>
          <w:rFonts w:hint="eastAsia" w:ascii="仿宋_GB2312" w:hAnsi="仿宋_GB2312" w:eastAsia="仿宋_GB2312" w:cs="仿宋_GB2312"/>
          <w:spacing w:val="1"/>
        </w:rPr>
      </w:pPr>
      <w:r>
        <w:rPr>
          <w:rFonts w:ascii="黑体" w:hAnsi="黑体" w:eastAsia="黑体" w:cs="黑体"/>
          <w:snapToGrid w:val="0"/>
          <w:color w:val="000000"/>
          <w:spacing w:val="15"/>
          <w:kern w:val="0"/>
          <w:sz w:val="32"/>
          <w:szCs w:val="32"/>
          <w:lang w:val="en-US" w:eastAsia="en-US" w:bidi="ar-SA"/>
        </w:rPr>
        <w:t>第五条</w:t>
      </w:r>
      <w:r>
        <w:rPr>
          <w:rFonts w:ascii="黑体" w:hAnsi="黑体" w:eastAsia="黑体" w:cs="黑体"/>
          <w:spacing w:val="9"/>
        </w:rPr>
        <w:t xml:space="preserve">  </w:t>
      </w:r>
      <w:r>
        <w:rPr>
          <w:rFonts w:hint="eastAsia" w:ascii="仿宋_GB2312" w:hAnsi="仿宋_GB2312" w:eastAsia="仿宋_GB2312" w:cs="仿宋_GB2312"/>
          <w:spacing w:val="1"/>
        </w:rPr>
        <w:t>红塔区烟草专卖局每年年底向上一级烟草专卖局报告本年度烟草制品零售点合理布局规划数动态调整工作执行情况。</w:t>
      </w:r>
    </w:p>
    <w:p w14:paraId="5F1C2C8F">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3" w:firstLine="672"/>
        <w:jc w:val="both"/>
        <w:textAlignment w:val="baseline"/>
        <w:rPr>
          <w:rFonts w:hint="eastAsia" w:eastAsia="FangSong_GB2312"/>
          <w:spacing w:val="1"/>
          <w:lang w:eastAsia="zh-CN"/>
        </w:rPr>
      </w:pPr>
      <w:r>
        <w:rPr>
          <w:rFonts w:ascii="黑体" w:hAnsi="黑体" w:eastAsia="黑体" w:cs="黑体"/>
          <w:snapToGrid w:val="0"/>
          <w:color w:val="000000"/>
          <w:spacing w:val="15"/>
          <w:kern w:val="0"/>
          <w:sz w:val="32"/>
          <w:szCs w:val="32"/>
          <w:lang w:val="en-US" w:eastAsia="en-US" w:bidi="ar-SA"/>
        </w:rPr>
        <w:t>第六条</w:t>
      </w:r>
      <w:r>
        <w:rPr>
          <w:rFonts w:ascii="黑体" w:hAnsi="黑体" w:eastAsia="黑体" w:cs="黑体"/>
          <w:spacing w:val="3"/>
        </w:rPr>
        <w:t xml:space="preserve">  </w:t>
      </w:r>
      <w:r>
        <w:rPr>
          <w:rFonts w:hint="eastAsia" w:ascii="仿宋_GB2312" w:hAnsi="仿宋_GB2312" w:eastAsia="仿宋_GB2312" w:cs="仿宋_GB2312"/>
          <w:spacing w:val="1"/>
        </w:rPr>
        <w:t>本制度中按照年、月、日计算期间的，开始的当日不计入，自下一日开始计算。均以工作日计算，不含法定节假日</w:t>
      </w:r>
      <w:r>
        <w:rPr>
          <w:rFonts w:hint="eastAsia" w:ascii="仿宋_GB2312" w:hAnsi="仿宋_GB2312" w:eastAsia="仿宋_GB2312" w:cs="仿宋_GB2312"/>
          <w:spacing w:val="1"/>
          <w:lang w:eastAsia="zh-CN"/>
        </w:rPr>
        <w:t>。</w:t>
      </w:r>
    </w:p>
    <w:p w14:paraId="681AA058">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676"/>
        <w:jc w:val="both"/>
        <w:textAlignment w:val="baseline"/>
        <w:rPr>
          <w:spacing w:val="1"/>
        </w:rPr>
      </w:pPr>
      <w:r>
        <w:rPr>
          <w:rFonts w:ascii="黑体" w:hAnsi="黑体" w:eastAsia="黑体" w:cs="黑体"/>
          <w:snapToGrid w:val="0"/>
          <w:color w:val="000000"/>
          <w:spacing w:val="15"/>
          <w:kern w:val="0"/>
          <w:sz w:val="32"/>
          <w:szCs w:val="32"/>
          <w:lang w:val="en-US" w:eastAsia="en-US" w:bidi="ar-SA"/>
        </w:rPr>
        <w:t>第七条</w:t>
      </w:r>
      <w:r>
        <w:rPr>
          <w:rFonts w:ascii="黑体" w:hAnsi="黑体" w:eastAsia="黑体" w:cs="黑体"/>
          <w:spacing w:val="7"/>
        </w:rPr>
        <w:t xml:space="preserve">  </w:t>
      </w:r>
      <w:r>
        <w:rPr>
          <w:rFonts w:hint="eastAsia" w:ascii="仿宋_GB2312" w:hAnsi="仿宋_GB2312" w:eastAsia="仿宋_GB2312" w:cs="仿宋_GB2312"/>
          <w:spacing w:val="1"/>
        </w:rPr>
        <w:t>本制度由云南省红塔区烟草专卖局负责解释</w:t>
      </w:r>
      <w:r>
        <w:rPr>
          <w:spacing w:val="1"/>
        </w:rPr>
        <w:t>。</w:t>
      </w:r>
    </w:p>
    <w:p w14:paraId="126709F2">
      <w:pPr>
        <w:pStyle w:val="4"/>
        <w:keepNext w:val="0"/>
        <w:keepLines w:val="0"/>
        <w:pageBreakBefore w:val="0"/>
        <w:widowControl/>
        <w:kinsoku w:val="0"/>
        <w:wordWrap/>
        <w:overflowPunct/>
        <w:topLinePunct w:val="0"/>
        <w:autoSpaceDE w:val="0"/>
        <w:autoSpaceDN w:val="0"/>
        <w:bidi w:val="0"/>
        <w:adjustRightInd w:val="0"/>
        <w:snapToGrid w:val="0"/>
        <w:spacing w:line="560" w:lineRule="exact"/>
        <w:ind w:left="7" w:right="253" w:firstLine="669"/>
        <w:jc w:val="both"/>
        <w:textAlignment w:val="baseline"/>
        <w:rPr>
          <w:rFonts w:hint="eastAsia"/>
          <w:spacing w:val="1"/>
          <w:lang w:eastAsia="zh-CN"/>
        </w:rPr>
        <w:sectPr>
          <w:headerReference r:id="rId8" w:type="default"/>
          <w:footerReference r:id="rId9" w:type="default"/>
          <w:pgSz w:w="11906" w:h="16838"/>
          <w:pgMar w:top="2098" w:right="1474" w:bottom="1984" w:left="1587" w:header="0" w:footer="1186" w:gutter="0"/>
          <w:cols w:space="720" w:num="1"/>
        </w:sectPr>
      </w:pPr>
      <w:r>
        <w:rPr>
          <w:rFonts w:hint="eastAsia" w:ascii="黑体" w:hAnsi="黑体" w:eastAsia="黑体" w:cs="黑体"/>
          <w:spacing w:val="1"/>
          <w:lang w:val="en-US" w:eastAsia="en-US"/>
        </w:rPr>
        <w:t>第八条</w:t>
      </w:r>
      <w:r>
        <w:rPr>
          <w:spacing w:val="1"/>
          <w:lang w:val="en-US" w:eastAsia="en-US"/>
        </w:rPr>
        <w:t xml:space="preserve">  </w:t>
      </w:r>
      <w:r>
        <w:rPr>
          <w:rFonts w:hint="eastAsia" w:ascii="仿宋_GB2312" w:hAnsi="仿宋_GB2312" w:eastAsia="仿宋_GB2312" w:cs="仿宋_GB2312"/>
          <w:spacing w:val="1"/>
          <w:lang w:val="en-US" w:eastAsia="en-US"/>
        </w:rPr>
        <w:t>本制度自《云南省红塔区烟草制品零售点合理布局规划》实施之日起同时施行</w:t>
      </w:r>
      <w:r>
        <w:rPr>
          <w:rFonts w:hint="eastAsia"/>
          <w:spacing w:val="1"/>
          <w:lang w:eastAsia="zh-CN"/>
        </w:rPr>
        <w:t>。</w:t>
      </w:r>
    </w:p>
    <w:p w14:paraId="3A987F49">
      <w:pPr>
        <w:keepNext w:val="0"/>
        <w:keepLines w:val="0"/>
        <w:pageBreakBefore w:val="0"/>
        <w:widowControl/>
        <w:kinsoku w:val="0"/>
        <w:wordWrap/>
        <w:overflowPunct/>
        <w:topLinePunct w:val="0"/>
        <w:autoSpaceDE w:val="0"/>
        <w:autoSpaceDN w:val="0"/>
        <w:bidi w:val="0"/>
        <w:adjustRightInd w:val="0"/>
        <w:snapToGrid w:val="0"/>
        <w:spacing w:line="560" w:lineRule="exact"/>
        <w:ind w:left="0"/>
        <w:jc w:val="both"/>
        <w:textAlignment w:val="baseline"/>
        <w:rPr>
          <w:rFonts w:ascii="方正小标宋简体" w:hAnsi="方正小标宋简体" w:eastAsia="方正小标宋简体" w:cs="方正小标宋简体"/>
          <w:spacing w:val="8"/>
          <w:sz w:val="43"/>
          <w:szCs w:val="43"/>
        </w:rPr>
      </w:pPr>
      <w:r>
        <w:rPr>
          <w:rFonts w:ascii="黑体" w:hAnsi="黑体" w:eastAsia="黑体" w:cs="黑体"/>
          <w:spacing w:val="1"/>
          <w:sz w:val="31"/>
          <w:szCs w:val="31"/>
        </w:rPr>
        <w:t>附件</w:t>
      </w:r>
      <w:r>
        <w:rPr>
          <w:rFonts w:hint="eastAsia" w:ascii="黑体" w:hAnsi="黑体" w:eastAsia="黑体" w:cs="黑体"/>
          <w:spacing w:val="1"/>
          <w:sz w:val="31"/>
          <w:szCs w:val="31"/>
          <w:lang w:val="en-US" w:eastAsia="zh-CN"/>
        </w:rPr>
        <w:t>6</w:t>
      </w:r>
    </w:p>
    <w:p w14:paraId="3A42A160">
      <w:pPr>
        <w:keepNext w:val="0"/>
        <w:keepLines w:val="0"/>
        <w:pageBreakBefore w:val="0"/>
        <w:widowControl/>
        <w:kinsoku w:val="0"/>
        <w:wordWrap/>
        <w:overflowPunct/>
        <w:topLinePunct w:val="0"/>
        <w:autoSpaceDE w:val="0"/>
        <w:autoSpaceDN w:val="0"/>
        <w:bidi w:val="0"/>
        <w:adjustRightInd w:val="0"/>
        <w:snapToGrid w:val="0"/>
        <w:spacing w:before="143" w:line="560" w:lineRule="exact"/>
        <w:jc w:val="center"/>
        <w:textAlignment w:val="baseline"/>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sz w:val="43"/>
          <w:szCs w:val="43"/>
        </w:rPr>
        <w:t>云南省红塔区烟草制品零售点</w:t>
      </w:r>
    </w:p>
    <w:p w14:paraId="74EA2952">
      <w:pPr>
        <w:keepNext w:val="0"/>
        <w:keepLines w:val="0"/>
        <w:pageBreakBefore w:val="0"/>
        <w:widowControl/>
        <w:kinsoku w:val="0"/>
        <w:wordWrap/>
        <w:overflowPunct/>
        <w:topLinePunct w:val="0"/>
        <w:autoSpaceDE w:val="0"/>
        <w:autoSpaceDN w:val="0"/>
        <w:bidi w:val="0"/>
        <w:adjustRightInd w:val="0"/>
        <w:snapToGrid w:val="0"/>
        <w:spacing w:before="257" w:line="560" w:lineRule="exact"/>
        <w:ind w:left="3105"/>
        <w:jc w:val="both"/>
        <w:textAlignment w:val="baseline"/>
        <w:outlineLvl w:val="0"/>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8"/>
          <w:sz w:val="43"/>
          <w:szCs w:val="43"/>
        </w:rPr>
        <w:t>排队轮候制度</w:t>
      </w:r>
    </w:p>
    <w:p w14:paraId="3B64310A">
      <w:pPr>
        <w:keepNext w:val="0"/>
        <w:keepLines w:val="0"/>
        <w:pageBreakBefore w:val="0"/>
        <w:widowControl/>
        <w:kinsoku w:val="0"/>
        <w:wordWrap/>
        <w:overflowPunct/>
        <w:topLinePunct w:val="0"/>
        <w:autoSpaceDE w:val="0"/>
        <w:autoSpaceDN w:val="0"/>
        <w:bidi w:val="0"/>
        <w:adjustRightInd w:val="0"/>
        <w:snapToGrid w:val="0"/>
        <w:spacing w:line="560" w:lineRule="exact"/>
        <w:jc w:val="both"/>
        <w:textAlignment w:val="baseline"/>
        <w:rPr>
          <w:rFonts w:ascii="Arial"/>
          <w:sz w:val="21"/>
        </w:rPr>
      </w:pPr>
    </w:p>
    <w:p w14:paraId="0098F811">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一</w:t>
      </w:r>
      <w:r>
        <w:rPr>
          <w:rFonts w:hint="eastAsia" w:ascii="黑体" w:hAnsi="黑体" w:eastAsia="黑体" w:cs="黑体"/>
          <w:spacing w:val="1"/>
          <w:lang w:val="en-US" w:eastAsia="en-US"/>
        </w:rPr>
        <w:t>条</w:t>
      </w:r>
      <w:r>
        <w:rPr>
          <w:rFonts w:hint="eastAsia" w:ascii="黑体" w:hAnsi="黑体" w:eastAsia="黑体" w:cs="黑体"/>
          <w:spacing w:val="1"/>
        </w:rPr>
        <w:t xml:space="preserve"> </w:t>
      </w:r>
      <w:r>
        <w:rPr>
          <w:rFonts w:hint="eastAsia" w:ascii="仿宋_GB2312" w:hAnsi="仿宋_GB2312" w:eastAsia="仿宋_GB2312" w:cs="仿宋_GB2312"/>
          <w:spacing w:val="1"/>
        </w:rPr>
        <w:t xml:space="preserve"> 为坚持公平、公正、公开原则，规范实施《云南省红塔区烟草制品零售点合理布局规划》，根据《中华人民共和国行政许可法》《烟草专卖许可证管理办法》《烟草专卖许可证管理办法实施细则》等法律法规规章和规范性文件的规定，结合红塔区实际，制定本制度。</w:t>
      </w:r>
    </w:p>
    <w:p w14:paraId="347AFE73">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二</w:t>
      </w:r>
      <w:r>
        <w:rPr>
          <w:rFonts w:hint="eastAsia" w:ascii="黑体" w:hAnsi="黑体" w:eastAsia="黑体" w:cs="黑体"/>
          <w:spacing w:val="1"/>
          <w:lang w:val="en-US" w:eastAsia="en-US"/>
        </w:rPr>
        <w:t xml:space="preserve">条 </w:t>
      </w:r>
      <w:r>
        <w:rPr>
          <w:rFonts w:hint="eastAsia" w:ascii="仿宋_GB2312" w:hAnsi="仿宋_GB2312" w:eastAsia="仿宋_GB2312" w:cs="仿宋_GB2312"/>
          <w:spacing w:val="1"/>
        </w:rPr>
        <w:t xml:space="preserve"> 本制度适用于云南省红塔区行政辖区烟草制品零售点新办申请排队轮候管理。</w:t>
      </w:r>
    </w:p>
    <w:p w14:paraId="6274837E">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三</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本区行政辖区最小单元网格内的零售点实际数量大于或等于合理容量时不再设新的零售点。新办申请人应按本制度首先提出排队轮候申请，直至该最小单元网格内的零售点实际数量小于合理容量时，再按照排队轮候的顺序依次提交新办申请。</w:t>
      </w:r>
    </w:p>
    <w:p w14:paraId="605F2127">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lang w:eastAsia="zh-CN"/>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四</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在本制度首次施行时，根据本区行政辖区最小单元网格的合理容量公示情况，对符合排队轮候情形的最小单元网格</w:t>
      </w:r>
      <w:r>
        <w:rPr>
          <w:rFonts w:hint="eastAsia" w:ascii="仿宋_GB2312" w:hAnsi="仿宋_GB2312" w:eastAsia="仿宋_GB2312" w:cs="仿宋_GB2312"/>
          <w:spacing w:val="1"/>
          <w:lang w:eastAsia="zh-CN"/>
        </w:rPr>
        <w:t>，</w:t>
      </w:r>
      <w:r>
        <w:rPr>
          <w:rFonts w:hint="eastAsia" w:ascii="仿宋_GB2312" w:hAnsi="仿宋_GB2312" w:eastAsia="仿宋_GB2312" w:cs="仿宋_GB2312"/>
          <w:spacing w:val="1"/>
        </w:rPr>
        <w:t>发证机关采取集中抽签方式确定该最小单元网格首次排队轮候顺序</w:t>
      </w:r>
      <w:r>
        <w:rPr>
          <w:rFonts w:hint="eastAsia" w:ascii="仿宋_GB2312" w:hAnsi="仿宋_GB2312" w:eastAsia="仿宋_GB2312" w:cs="仿宋_GB2312"/>
          <w:spacing w:val="1"/>
          <w:lang w:eastAsia="zh-CN"/>
        </w:rPr>
        <w:t>。</w:t>
      </w:r>
    </w:p>
    <w:p w14:paraId="60B75BEF">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五</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集中抽签按照“提前申请—集中公证抽签—公示抽签结果”的程序进行。自本制度实施之日起五个工作日内，对外发布参与集中抽签的报名地点、时间和方式；自本制度实施之日起十个工作日内，对外发布集中公证抽签的地点、时间和方案</w:t>
      </w:r>
      <w:r>
        <w:rPr>
          <w:rFonts w:hint="eastAsia" w:ascii="仿宋_GB2312" w:hAnsi="仿宋_GB2312" w:eastAsia="仿宋_GB2312" w:cs="仿宋_GB2312"/>
          <w:spacing w:val="1"/>
          <w:lang w:eastAsia="zh-CN"/>
        </w:rPr>
        <w:t>；</w:t>
      </w:r>
      <w:r>
        <w:rPr>
          <w:rFonts w:hint="eastAsia" w:ascii="仿宋_GB2312" w:hAnsi="仿宋_GB2312" w:eastAsia="仿宋_GB2312" w:cs="仿宋_GB2312"/>
          <w:spacing w:val="1"/>
        </w:rPr>
        <w:t>自本制度实施之日起十五个工作日内，完成集中公证抽签。</w:t>
      </w:r>
    </w:p>
    <w:p w14:paraId="1F230E03">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5"/>
        <w:jc w:val="both"/>
        <w:textAlignment w:val="baseline"/>
        <w:rPr>
          <w:rFonts w:hint="eastAsia" w:ascii="仿宋_GB2312" w:hAnsi="仿宋_GB2312" w:eastAsia="仿宋_GB2312" w:cs="仿宋_GB2312"/>
          <w:spacing w:val="1"/>
        </w:rPr>
      </w:pPr>
      <w:r>
        <w:rPr>
          <w:rFonts w:hint="eastAsia" w:ascii="仿宋_GB2312" w:hAnsi="仿宋_GB2312" w:eastAsia="仿宋_GB2312" w:cs="仿宋_GB2312"/>
          <w:spacing w:val="1"/>
        </w:rPr>
        <w:t>集中公证抽签现场按照对外发布方案确定最小单元网格首次排队轮候顺序，并在完成集中公证抽签后二个工作日内公示。</w:t>
      </w:r>
    </w:p>
    <w:p w14:paraId="7221C927">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六</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零售点排队轮候采取最小单元网格管理。自愿加入排队轮候的申请人，应线上填写并提交《云南省红塔区烟草制品零售点排队轮候申请表》（详见附表）。申请人在填报信息时应准确、真实。</w:t>
      </w:r>
    </w:p>
    <w:p w14:paraId="4EBF131B">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七</w:t>
      </w:r>
      <w:r>
        <w:rPr>
          <w:rFonts w:hint="eastAsia" w:ascii="黑体" w:hAnsi="黑体" w:eastAsia="黑体" w:cs="黑体"/>
          <w:spacing w:val="1"/>
          <w:lang w:val="en-US" w:eastAsia="en-US"/>
        </w:rPr>
        <w:t>条</w:t>
      </w:r>
      <w:r>
        <w:rPr>
          <w:rFonts w:hint="eastAsia" w:ascii="仿宋_GB2312" w:hAnsi="仿宋_GB2312" w:eastAsia="仿宋_GB2312" w:cs="仿宋_GB2312"/>
          <w:spacing w:val="1"/>
          <w:lang w:val="en-US" w:eastAsia="zh-CN"/>
        </w:rPr>
        <w:t xml:space="preserve"> </w:t>
      </w:r>
      <w:r>
        <w:rPr>
          <w:rFonts w:hint="eastAsia" w:ascii="仿宋_GB2312" w:hAnsi="仿宋_GB2312" w:eastAsia="仿宋_GB2312" w:cs="仿宋_GB2312"/>
          <w:spacing w:val="1"/>
        </w:rPr>
        <w:t xml:space="preserve"> 系统根据申请人线上提交时间，自动生成排队轮候顺序，并由系统自动推送告知申请人单元网格内当前排队轮候顺序号。</w:t>
      </w:r>
    </w:p>
    <w:p w14:paraId="0AA0774C">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八</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发证机关应公开排队轮候情况，并接受公众监督。申请人可通过线上、线下等方式查询排队轮候情况。</w:t>
      </w:r>
    </w:p>
    <w:p w14:paraId="2E6AF913">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24" w:firstLineChars="200"/>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九</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当单元网格内可新增零售点时，由发证机关按照顺序号和申请表约定的联系方式在五个工作日内依次通知申请人提交新办申请。</w:t>
      </w:r>
    </w:p>
    <w:p w14:paraId="31CC790B">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24" w:firstLineChars="200"/>
        <w:jc w:val="both"/>
        <w:textAlignment w:val="baseline"/>
        <w:rPr>
          <w:rFonts w:hint="eastAsia" w:ascii="仿宋_GB2312" w:hAnsi="仿宋_GB2312" w:eastAsia="仿宋_GB2312" w:cs="仿宋_GB2312"/>
          <w:spacing w:val="1"/>
          <w:lang w:eastAsia="zh-CN"/>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十</w:t>
      </w:r>
      <w:r>
        <w:rPr>
          <w:rFonts w:hint="eastAsia" w:ascii="黑体" w:hAnsi="黑体" w:eastAsia="黑体" w:cs="黑体"/>
          <w:spacing w:val="1"/>
          <w:lang w:val="en-US" w:eastAsia="en-US"/>
        </w:rPr>
        <w:t>条</w:t>
      </w:r>
      <w:r>
        <w:rPr>
          <w:rFonts w:hint="eastAsia" w:ascii="仿宋_GB2312" w:hAnsi="仿宋_GB2312" w:eastAsia="仿宋_GB2312" w:cs="仿宋_GB2312"/>
          <w:spacing w:val="1"/>
          <w:lang w:val="en-US" w:eastAsia="en-US"/>
        </w:rPr>
        <w:t xml:space="preserve"> </w:t>
      </w:r>
      <w:r>
        <w:rPr>
          <w:rFonts w:hint="eastAsia" w:ascii="仿宋_GB2312" w:hAnsi="仿宋_GB2312" w:eastAsia="仿宋_GB2312" w:cs="仿宋_GB2312"/>
          <w:spacing w:val="1"/>
        </w:rPr>
        <w:t xml:space="preserve"> 到号办理时，申请人提交的办证申请信息应与排队轮候登记信息一致。信息不一致的，申请人需重新登记排队轮候</w:t>
      </w:r>
      <w:r>
        <w:rPr>
          <w:rFonts w:hint="eastAsia" w:ascii="仿宋_GB2312" w:hAnsi="仿宋_GB2312" w:eastAsia="仿宋_GB2312" w:cs="仿宋_GB2312"/>
          <w:spacing w:val="1"/>
          <w:lang w:eastAsia="zh-CN"/>
        </w:rPr>
        <w:t>。</w:t>
      </w:r>
    </w:p>
    <w:p w14:paraId="4DD7624B">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24" w:firstLineChars="200"/>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第十</w:t>
      </w:r>
      <w:r>
        <w:rPr>
          <w:rFonts w:hint="eastAsia" w:ascii="黑体" w:hAnsi="黑体" w:eastAsia="黑体" w:cs="黑体"/>
          <w:spacing w:val="1"/>
          <w:lang w:val="en-US" w:eastAsia="zh-CN"/>
        </w:rPr>
        <w:t>一</w:t>
      </w:r>
      <w:r>
        <w:rPr>
          <w:rFonts w:hint="eastAsia" w:ascii="黑体" w:hAnsi="黑体" w:eastAsia="黑体" w:cs="黑体"/>
          <w:spacing w:val="1"/>
          <w:lang w:val="en-US" w:eastAsia="en-US"/>
        </w:rPr>
        <w:t xml:space="preserve">条 </w:t>
      </w:r>
      <w:r>
        <w:rPr>
          <w:rFonts w:hint="eastAsia" w:ascii="仿宋_GB2312" w:hAnsi="仿宋_GB2312" w:eastAsia="仿宋_GB2312" w:cs="仿宋_GB2312"/>
          <w:spacing w:val="1"/>
        </w:rPr>
        <w:t xml:space="preserve"> 红塔区烟草专卖局每年年底向上一级烟草专卖局报告本年度烟草制品零售点排队轮候管理工作情况。</w:t>
      </w:r>
    </w:p>
    <w:p w14:paraId="47549F39">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第十</w:t>
      </w:r>
      <w:r>
        <w:rPr>
          <w:rFonts w:hint="eastAsia" w:ascii="黑体" w:hAnsi="黑体" w:eastAsia="黑体" w:cs="黑体"/>
          <w:spacing w:val="1"/>
          <w:lang w:val="en-US" w:eastAsia="zh-CN"/>
        </w:rPr>
        <w:t>二</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发证机关接收和办理排队轮候业务，不得收取任何费用。</w:t>
      </w:r>
    </w:p>
    <w:p w14:paraId="6A5BFF77">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第十</w:t>
      </w:r>
      <w:r>
        <w:rPr>
          <w:rFonts w:hint="eastAsia" w:ascii="黑体" w:hAnsi="黑体" w:eastAsia="黑体" w:cs="黑体"/>
          <w:spacing w:val="1"/>
          <w:lang w:val="en-US" w:eastAsia="zh-CN"/>
        </w:rPr>
        <w:t>三</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本制度中按照年、月、日计算期间的，开始的当日不计入，自下一日开始计算。均以工作日计算，不含法定节假日。</w:t>
      </w:r>
    </w:p>
    <w:p w14:paraId="0B3D7B15">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十四</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本制度由云南省红塔区烟草专卖局负责解释。</w:t>
      </w:r>
    </w:p>
    <w:p w14:paraId="0901BD3F">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r>
        <w:rPr>
          <w:rFonts w:hint="eastAsia" w:ascii="黑体" w:hAnsi="黑体" w:eastAsia="黑体" w:cs="黑体"/>
          <w:spacing w:val="1"/>
          <w:lang w:val="en-US" w:eastAsia="en-US"/>
        </w:rPr>
        <w:t>第</w:t>
      </w:r>
      <w:r>
        <w:rPr>
          <w:rFonts w:hint="eastAsia" w:ascii="黑体" w:hAnsi="黑体" w:eastAsia="黑体" w:cs="黑体"/>
          <w:spacing w:val="1"/>
          <w:lang w:val="en-US" w:eastAsia="zh-CN"/>
        </w:rPr>
        <w:t>十五</w:t>
      </w:r>
      <w:r>
        <w:rPr>
          <w:rFonts w:hint="eastAsia" w:ascii="黑体" w:hAnsi="黑体" w:eastAsia="黑体" w:cs="黑体"/>
          <w:spacing w:val="1"/>
          <w:lang w:val="en-US" w:eastAsia="en-US"/>
        </w:rPr>
        <w:t>条</w:t>
      </w:r>
      <w:r>
        <w:rPr>
          <w:rFonts w:hint="eastAsia" w:ascii="仿宋_GB2312" w:hAnsi="仿宋_GB2312" w:eastAsia="仿宋_GB2312" w:cs="仿宋_GB2312"/>
          <w:spacing w:val="1"/>
        </w:rPr>
        <w:t xml:space="preserve">  本制度自《云南省红塔区烟草制品零售点合理布局规划》实施之日起同时施行。</w:t>
      </w:r>
    </w:p>
    <w:p w14:paraId="49F89EAB">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p>
    <w:p w14:paraId="1ABD34D2">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rPr>
          <w:rFonts w:hint="eastAsia" w:ascii="仿宋_GB2312" w:hAnsi="仿宋_GB2312" w:eastAsia="仿宋_GB2312" w:cs="仿宋_GB2312"/>
          <w:spacing w:val="1"/>
        </w:rPr>
      </w:pPr>
    </w:p>
    <w:p w14:paraId="2DB1670E">
      <w:pPr>
        <w:pStyle w:val="4"/>
        <w:keepNext w:val="0"/>
        <w:keepLines w:val="0"/>
        <w:pageBreakBefore w:val="0"/>
        <w:widowControl/>
        <w:kinsoku w:val="0"/>
        <w:wordWrap/>
        <w:overflowPunct/>
        <w:topLinePunct w:val="0"/>
        <w:autoSpaceDE w:val="0"/>
        <w:autoSpaceDN w:val="0"/>
        <w:bidi w:val="0"/>
        <w:adjustRightInd w:val="0"/>
        <w:snapToGrid w:val="0"/>
        <w:spacing w:line="560" w:lineRule="exact"/>
        <w:ind w:firstLine="677"/>
        <w:jc w:val="both"/>
        <w:textAlignment w:val="baseline"/>
        <w:sectPr>
          <w:headerReference r:id="rId10" w:type="default"/>
          <w:footerReference r:id="rId11" w:type="default"/>
          <w:pgSz w:w="11906" w:h="16838"/>
          <w:pgMar w:top="2098" w:right="1474" w:bottom="1984" w:left="1587" w:header="0" w:footer="1189" w:gutter="0"/>
          <w:cols w:space="720" w:num="1"/>
        </w:sectPr>
      </w:pPr>
      <w:r>
        <w:rPr>
          <w:rFonts w:hint="eastAsia" w:ascii="仿宋_GB2312" w:hAnsi="仿宋_GB2312" w:eastAsia="仿宋_GB2312" w:cs="仿宋_GB2312"/>
          <w:spacing w:val="1"/>
        </w:rPr>
        <w:t>附表：云南省红塔区烟草制品零售点排队轮候申请表</w:t>
      </w:r>
    </w:p>
    <w:p w14:paraId="2D756B74">
      <w:pPr>
        <w:spacing w:line="240" w:lineRule="auto"/>
        <w:ind w:left="0"/>
        <w:jc w:val="both"/>
        <w:rPr>
          <w:rFonts w:ascii="黑体" w:hAnsi="黑体" w:eastAsia="黑体" w:cs="黑体"/>
          <w:spacing w:val="-3"/>
          <w:sz w:val="28"/>
          <w:szCs w:val="28"/>
        </w:rPr>
      </w:pPr>
    </w:p>
    <w:p w14:paraId="35489F0C">
      <w:pPr>
        <w:spacing w:line="240" w:lineRule="auto"/>
        <w:ind w:left="0"/>
        <w:jc w:val="both"/>
        <w:rPr>
          <w:rFonts w:ascii="黑体" w:hAnsi="黑体" w:eastAsia="黑体" w:cs="黑体"/>
          <w:spacing w:val="-3"/>
          <w:sz w:val="28"/>
          <w:szCs w:val="28"/>
        </w:rPr>
      </w:pPr>
    </w:p>
    <w:p w14:paraId="31F8F9AA">
      <w:pPr>
        <w:spacing w:line="240" w:lineRule="auto"/>
        <w:ind w:left="0"/>
        <w:jc w:val="both"/>
        <w:rPr>
          <w:rFonts w:ascii="黑体" w:hAnsi="黑体" w:eastAsia="黑体" w:cs="黑体"/>
          <w:sz w:val="28"/>
          <w:szCs w:val="28"/>
        </w:rPr>
      </w:pPr>
      <w:r>
        <w:rPr>
          <w:rFonts w:ascii="黑体" w:hAnsi="黑体" w:eastAsia="黑体" w:cs="黑体"/>
          <w:spacing w:val="-3"/>
          <w:sz w:val="28"/>
          <w:szCs w:val="28"/>
        </w:rPr>
        <w:t>附表</w:t>
      </w:r>
    </w:p>
    <w:p w14:paraId="0852E13A">
      <w:pPr>
        <w:spacing w:before="291" w:line="240" w:lineRule="auto"/>
        <w:jc w:val="both"/>
        <w:rPr>
          <w:rFonts w:ascii="方正小标宋简体" w:hAnsi="方正小标宋简体" w:eastAsia="方正小标宋简体" w:cs="方正小标宋简体"/>
          <w:sz w:val="43"/>
          <w:szCs w:val="43"/>
        </w:rPr>
      </w:pPr>
      <w:r>
        <w:rPr>
          <w:rFonts w:ascii="方正小标宋简体" w:hAnsi="方正小标宋简体" w:eastAsia="方正小标宋简体" w:cs="方正小标宋简体"/>
          <w:spacing w:val="9"/>
          <w:sz w:val="43"/>
          <w:szCs w:val="43"/>
        </w:rPr>
        <w:t>云南省红塔区烟草制品零售点排队轮候申请表</w:t>
      </w:r>
    </w:p>
    <w:p w14:paraId="35400709">
      <w:pPr>
        <w:spacing w:line="68" w:lineRule="exact"/>
        <w:jc w:val="both"/>
      </w:pPr>
    </w:p>
    <w:tbl>
      <w:tblPr>
        <w:tblStyle w:val="10"/>
        <w:tblW w:w="8430" w:type="dxa"/>
        <w:tblInd w:w="19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25"/>
        <w:gridCol w:w="2282"/>
        <w:gridCol w:w="1542"/>
        <w:gridCol w:w="2181"/>
      </w:tblGrid>
      <w:tr w14:paraId="6E56C2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430" w:type="dxa"/>
            <w:gridSpan w:val="4"/>
            <w:vAlign w:val="center"/>
          </w:tcPr>
          <w:p w14:paraId="6FC962F4">
            <w:pPr>
              <w:pStyle w:val="11"/>
              <w:spacing w:before="116" w:line="227" w:lineRule="auto"/>
              <w:ind w:left="3412"/>
              <w:jc w:val="both"/>
              <w:rPr>
                <w:sz w:val="23"/>
                <w:szCs w:val="23"/>
              </w:rPr>
            </w:pPr>
            <w:r>
              <w:rPr>
                <w:b/>
                <w:bCs/>
                <w:spacing w:val="2"/>
                <w:sz w:val="23"/>
                <w:szCs w:val="23"/>
              </w:rPr>
              <w:t>申请人基本信息</w:t>
            </w:r>
          </w:p>
        </w:tc>
      </w:tr>
      <w:tr w14:paraId="02EBB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425" w:type="dxa"/>
            <w:vAlign w:val="center"/>
          </w:tcPr>
          <w:p w14:paraId="08819845">
            <w:pPr>
              <w:pStyle w:val="11"/>
              <w:spacing w:before="159" w:line="227" w:lineRule="auto"/>
              <w:ind w:left="652"/>
              <w:jc w:val="both"/>
              <w:rPr>
                <w:sz w:val="23"/>
                <w:szCs w:val="23"/>
              </w:rPr>
            </w:pPr>
            <w:r>
              <w:rPr>
                <w:spacing w:val="1"/>
                <w:sz w:val="23"/>
                <w:szCs w:val="23"/>
              </w:rPr>
              <w:t>申请人姓名</w:t>
            </w:r>
          </w:p>
        </w:tc>
        <w:tc>
          <w:tcPr>
            <w:tcW w:w="2282" w:type="dxa"/>
            <w:vAlign w:val="center"/>
          </w:tcPr>
          <w:p w14:paraId="5216B875">
            <w:pPr>
              <w:jc w:val="both"/>
              <w:rPr>
                <w:rFonts w:ascii="Arial"/>
                <w:sz w:val="21"/>
              </w:rPr>
            </w:pPr>
          </w:p>
        </w:tc>
        <w:tc>
          <w:tcPr>
            <w:tcW w:w="1542" w:type="dxa"/>
            <w:vAlign w:val="center"/>
          </w:tcPr>
          <w:p w14:paraId="021038A4">
            <w:pPr>
              <w:pStyle w:val="11"/>
              <w:spacing w:before="159" w:line="227" w:lineRule="auto"/>
              <w:ind w:left="329"/>
              <w:jc w:val="both"/>
              <w:rPr>
                <w:sz w:val="23"/>
                <w:szCs w:val="23"/>
              </w:rPr>
            </w:pPr>
            <w:r>
              <w:rPr>
                <w:spacing w:val="-1"/>
                <w:sz w:val="23"/>
                <w:szCs w:val="23"/>
              </w:rPr>
              <w:t>申请日期</w:t>
            </w:r>
          </w:p>
        </w:tc>
        <w:tc>
          <w:tcPr>
            <w:tcW w:w="2181" w:type="dxa"/>
            <w:vAlign w:val="center"/>
          </w:tcPr>
          <w:p w14:paraId="64F184E8">
            <w:pPr>
              <w:jc w:val="both"/>
              <w:rPr>
                <w:rFonts w:ascii="Arial"/>
                <w:sz w:val="21"/>
              </w:rPr>
            </w:pPr>
          </w:p>
        </w:tc>
      </w:tr>
      <w:tr w14:paraId="7B364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425" w:type="dxa"/>
            <w:vAlign w:val="center"/>
          </w:tcPr>
          <w:p w14:paraId="5EAEFE9B">
            <w:pPr>
              <w:pStyle w:val="11"/>
              <w:spacing w:before="158" w:line="227" w:lineRule="auto"/>
              <w:ind w:left="627"/>
              <w:jc w:val="both"/>
              <w:rPr>
                <w:sz w:val="23"/>
                <w:szCs w:val="23"/>
              </w:rPr>
            </w:pPr>
            <w:r>
              <w:rPr>
                <w:spacing w:val="6"/>
                <w:sz w:val="23"/>
                <w:szCs w:val="23"/>
              </w:rPr>
              <w:t>身份证号码</w:t>
            </w:r>
          </w:p>
        </w:tc>
        <w:tc>
          <w:tcPr>
            <w:tcW w:w="2282" w:type="dxa"/>
            <w:vAlign w:val="center"/>
          </w:tcPr>
          <w:p w14:paraId="0E15C62E">
            <w:pPr>
              <w:jc w:val="both"/>
              <w:rPr>
                <w:rFonts w:ascii="Arial"/>
                <w:sz w:val="21"/>
              </w:rPr>
            </w:pPr>
          </w:p>
        </w:tc>
        <w:tc>
          <w:tcPr>
            <w:tcW w:w="1542" w:type="dxa"/>
            <w:vAlign w:val="center"/>
          </w:tcPr>
          <w:p w14:paraId="4888FFA4">
            <w:pPr>
              <w:pStyle w:val="11"/>
              <w:spacing w:before="157" w:line="230" w:lineRule="auto"/>
              <w:ind w:left="299"/>
              <w:jc w:val="both"/>
              <w:rPr>
                <w:sz w:val="23"/>
                <w:szCs w:val="23"/>
              </w:rPr>
            </w:pPr>
            <w:r>
              <w:rPr>
                <w:spacing w:val="7"/>
                <w:sz w:val="23"/>
                <w:szCs w:val="23"/>
              </w:rPr>
              <w:t>联系电话</w:t>
            </w:r>
          </w:p>
        </w:tc>
        <w:tc>
          <w:tcPr>
            <w:tcW w:w="2181" w:type="dxa"/>
            <w:vAlign w:val="center"/>
          </w:tcPr>
          <w:p w14:paraId="11634395">
            <w:pPr>
              <w:jc w:val="both"/>
              <w:rPr>
                <w:rFonts w:ascii="Arial"/>
                <w:sz w:val="21"/>
              </w:rPr>
            </w:pPr>
          </w:p>
        </w:tc>
      </w:tr>
      <w:tr w14:paraId="1BB87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2425" w:type="dxa"/>
            <w:vAlign w:val="center"/>
          </w:tcPr>
          <w:p w14:paraId="7E2564A0">
            <w:pPr>
              <w:pStyle w:val="11"/>
              <w:spacing w:before="158" w:line="227" w:lineRule="auto"/>
              <w:ind w:left="750"/>
              <w:jc w:val="both"/>
              <w:rPr>
                <w:sz w:val="23"/>
                <w:szCs w:val="23"/>
              </w:rPr>
            </w:pPr>
            <w:r>
              <w:rPr>
                <w:spacing w:val="5"/>
                <w:sz w:val="23"/>
                <w:szCs w:val="23"/>
              </w:rPr>
              <w:t>归属街道</w:t>
            </w:r>
          </w:p>
        </w:tc>
        <w:tc>
          <w:tcPr>
            <w:tcW w:w="2282" w:type="dxa"/>
            <w:vAlign w:val="center"/>
          </w:tcPr>
          <w:p w14:paraId="7881C0A9">
            <w:pPr>
              <w:jc w:val="both"/>
              <w:rPr>
                <w:rFonts w:ascii="Arial"/>
                <w:sz w:val="21"/>
              </w:rPr>
            </w:pPr>
          </w:p>
        </w:tc>
        <w:tc>
          <w:tcPr>
            <w:tcW w:w="1542" w:type="dxa"/>
            <w:vAlign w:val="center"/>
          </w:tcPr>
          <w:p w14:paraId="29C35353">
            <w:pPr>
              <w:pStyle w:val="11"/>
              <w:spacing w:before="158" w:line="227" w:lineRule="auto"/>
              <w:ind w:left="308"/>
              <w:jc w:val="both"/>
              <w:rPr>
                <w:sz w:val="23"/>
                <w:szCs w:val="23"/>
              </w:rPr>
            </w:pPr>
            <w:r>
              <w:rPr>
                <w:spacing w:val="5"/>
                <w:sz w:val="23"/>
                <w:szCs w:val="23"/>
              </w:rPr>
              <w:t>归属网格</w:t>
            </w:r>
          </w:p>
        </w:tc>
        <w:tc>
          <w:tcPr>
            <w:tcW w:w="2181" w:type="dxa"/>
            <w:vAlign w:val="center"/>
          </w:tcPr>
          <w:p w14:paraId="31CCB721">
            <w:pPr>
              <w:jc w:val="both"/>
              <w:rPr>
                <w:rFonts w:ascii="Arial"/>
                <w:sz w:val="21"/>
              </w:rPr>
            </w:pPr>
          </w:p>
        </w:tc>
      </w:tr>
      <w:tr w14:paraId="0A618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5" w:hRule="atLeast"/>
        </w:trPr>
        <w:tc>
          <w:tcPr>
            <w:tcW w:w="2425" w:type="dxa"/>
            <w:vAlign w:val="center"/>
          </w:tcPr>
          <w:p w14:paraId="284BAF25">
            <w:pPr>
              <w:pStyle w:val="11"/>
              <w:spacing w:before="125" w:line="228" w:lineRule="auto"/>
              <w:ind w:left="263"/>
              <w:jc w:val="both"/>
              <w:rPr>
                <w:sz w:val="23"/>
                <w:szCs w:val="23"/>
              </w:rPr>
            </w:pPr>
            <w:r>
              <w:rPr>
                <w:spacing w:val="8"/>
                <w:sz w:val="23"/>
                <w:szCs w:val="23"/>
              </w:rPr>
              <w:t>经营场所详细地址</w:t>
            </w:r>
          </w:p>
        </w:tc>
        <w:tc>
          <w:tcPr>
            <w:tcW w:w="6005" w:type="dxa"/>
            <w:gridSpan w:val="3"/>
            <w:vAlign w:val="center"/>
          </w:tcPr>
          <w:p w14:paraId="0CDAE659">
            <w:pPr>
              <w:jc w:val="both"/>
              <w:rPr>
                <w:rFonts w:ascii="Arial"/>
                <w:sz w:val="21"/>
              </w:rPr>
            </w:pPr>
          </w:p>
        </w:tc>
      </w:tr>
      <w:tr w14:paraId="20780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8430" w:type="dxa"/>
            <w:gridSpan w:val="4"/>
            <w:vAlign w:val="center"/>
          </w:tcPr>
          <w:p w14:paraId="211B580E">
            <w:pPr>
              <w:pStyle w:val="11"/>
              <w:spacing w:before="123" w:line="227" w:lineRule="auto"/>
              <w:ind w:left="3268"/>
              <w:jc w:val="both"/>
              <w:rPr>
                <w:sz w:val="23"/>
                <w:szCs w:val="23"/>
              </w:rPr>
            </w:pPr>
            <w:r>
              <w:rPr>
                <w:b/>
                <w:bCs/>
                <w:spacing w:val="6"/>
                <w:sz w:val="23"/>
                <w:szCs w:val="23"/>
              </w:rPr>
              <w:t>营业执照基本信息</w:t>
            </w:r>
          </w:p>
        </w:tc>
      </w:tr>
      <w:tr w14:paraId="33D79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vAlign w:val="center"/>
          </w:tcPr>
          <w:p w14:paraId="128EE230">
            <w:pPr>
              <w:pStyle w:val="11"/>
              <w:spacing w:before="125" w:line="227" w:lineRule="auto"/>
              <w:ind w:left="266"/>
              <w:jc w:val="both"/>
              <w:rPr>
                <w:sz w:val="23"/>
                <w:szCs w:val="23"/>
              </w:rPr>
            </w:pPr>
            <w:r>
              <w:rPr>
                <w:spacing w:val="8"/>
                <w:sz w:val="23"/>
                <w:szCs w:val="23"/>
              </w:rPr>
              <w:t>统一社会信用代码</w:t>
            </w:r>
          </w:p>
        </w:tc>
        <w:tc>
          <w:tcPr>
            <w:tcW w:w="6005" w:type="dxa"/>
            <w:gridSpan w:val="3"/>
            <w:vAlign w:val="center"/>
          </w:tcPr>
          <w:p w14:paraId="5CFC7F4D">
            <w:pPr>
              <w:jc w:val="both"/>
              <w:rPr>
                <w:rFonts w:ascii="Arial"/>
                <w:sz w:val="21"/>
              </w:rPr>
            </w:pPr>
          </w:p>
        </w:tc>
      </w:tr>
      <w:tr w14:paraId="1D9DA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vAlign w:val="center"/>
          </w:tcPr>
          <w:p w14:paraId="4257778B">
            <w:pPr>
              <w:pStyle w:val="11"/>
              <w:spacing w:before="123" w:line="230" w:lineRule="auto"/>
              <w:ind w:left="744"/>
              <w:jc w:val="both"/>
              <w:rPr>
                <w:sz w:val="23"/>
                <w:szCs w:val="23"/>
              </w:rPr>
            </w:pPr>
            <w:r>
              <w:rPr>
                <w:spacing w:val="6"/>
                <w:sz w:val="23"/>
                <w:szCs w:val="23"/>
              </w:rPr>
              <w:t>企业名称</w:t>
            </w:r>
          </w:p>
        </w:tc>
        <w:tc>
          <w:tcPr>
            <w:tcW w:w="6005" w:type="dxa"/>
            <w:gridSpan w:val="3"/>
            <w:vAlign w:val="center"/>
          </w:tcPr>
          <w:p w14:paraId="4144771B">
            <w:pPr>
              <w:jc w:val="both"/>
              <w:rPr>
                <w:rFonts w:ascii="Arial"/>
                <w:sz w:val="21"/>
              </w:rPr>
            </w:pPr>
          </w:p>
        </w:tc>
      </w:tr>
      <w:tr w14:paraId="56128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vAlign w:val="center"/>
          </w:tcPr>
          <w:p w14:paraId="65A98718">
            <w:pPr>
              <w:pStyle w:val="11"/>
              <w:spacing w:before="123" w:line="227" w:lineRule="auto"/>
              <w:ind w:left="744"/>
              <w:jc w:val="both"/>
              <w:rPr>
                <w:sz w:val="23"/>
                <w:szCs w:val="23"/>
              </w:rPr>
            </w:pPr>
            <w:r>
              <w:rPr>
                <w:spacing w:val="6"/>
                <w:sz w:val="23"/>
                <w:szCs w:val="23"/>
              </w:rPr>
              <w:t>企业类型</w:t>
            </w:r>
          </w:p>
        </w:tc>
        <w:tc>
          <w:tcPr>
            <w:tcW w:w="6005" w:type="dxa"/>
            <w:gridSpan w:val="3"/>
            <w:vAlign w:val="center"/>
          </w:tcPr>
          <w:p w14:paraId="3463FFF4">
            <w:pPr>
              <w:jc w:val="both"/>
              <w:rPr>
                <w:rFonts w:ascii="Arial"/>
                <w:sz w:val="21"/>
              </w:rPr>
            </w:pPr>
          </w:p>
        </w:tc>
      </w:tr>
      <w:tr w14:paraId="1D307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5" w:hRule="atLeast"/>
        </w:trPr>
        <w:tc>
          <w:tcPr>
            <w:tcW w:w="2425" w:type="dxa"/>
            <w:vAlign w:val="center"/>
          </w:tcPr>
          <w:p w14:paraId="5686FF32">
            <w:pPr>
              <w:pStyle w:val="11"/>
              <w:spacing w:before="125" w:line="228" w:lineRule="auto"/>
              <w:ind w:left="743"/>
              <w:jc w:val="both"/>
              <w:rPr>
                <w:sz w:val="23"/>
                <w:szCs w:val="23"/>
              </w:rPr>
            </w:pPr>
            <w:r>
              <w:rPr>
                <w:spacing w:val="7"/>
                <w:sz w:val="23"/>
                <w:szCs w:val="23"/>
              </w:rPr>
              <w:t>经营地址</w:t>
            </w:r>
          </w:p>
        </w:tc>
        <w:tc>
          <w:tcPr>
            <w:tcW w:w="6005" w:type="dxa"/>
            <w:gridSpan w:val="3"/>
            <w:vAlign w:val="center"/>
          </w:tcPr>
          <w:p w14:paraId="376EEFFF">
            <w:pPr>
              <w:jc w:val="both"/>
              <w:rPr>
                <w:rFonts w:ascii="Arial"/>
                <w:sz w:val="21"/>
              </w:rPr>
            </w:pPr>
          </w:p>
        </w:tc>
      </w:tr>
      <w:tr w14:paraId="14C9D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4" w:hRule="atLeast"/>
        </w:trPr>
        <w:tc>
          <w:tcPr>
            <w:tcW w:w="8430" w:type="dxa"/>
            <w:gridSpan w:val="4"/>
            <w:vAlign w:val="center"/>
          </w:tcPr>
          <w:p w14:paraId="2A53B146">
            <w:pPr>
              <w:pStyle w:val="11"/>
              <w:spacing w:before="33" w:line="227" w:lineRule="auto"/>
              <w:ind w:left="148"/>
              <w:jc w:val="both"/>
              <w:rPr>
                <w:sz w:val="23"/>
                <w:szCs w:val="23"/>
              </w:rPr>
            </w:pPr>
            <w:r>
              <w:rPr>
                <w:b/>
                <w:bCs/>
                <w:spacing w:val="-6"/>
                <w:sz w:val="23"/>
                <w:szCs w:val="23"/>
              </w:rPr>
              <w:t>申请人承诺：</w:t>
            </w:r>
          </w:p>
          <w:p w14:paraId="2E519D71">
            <w:pPr>
              <w:pStyle w:val="11"/>
              <w:spacing w:before="30" w:line="242" w:lineRule="auto"/>
              <w:ind w:left="116" w:right="157" w:firstLine="498"/>
              <w:jc w:val="both"/>
              <w:rPr>
                <w:sz w:val="23"/>
                <w:szCs w:val="23"/>
              </w:rPr>
            </w:pPr>
            <w:r>
              <w:rPr>
                <w:spacing w:val="9"/>
                <w:sz w:val="23"/>
                <w:szCs w:val="23"/>
              </w:rPr>
              <w:t>1.以上信息经申请人核对，确认无误。申请人所提交的信息</w:t>
            </w:r>
            <w:r>
              <w:rPr>
                <w:spacing w:val="8"/>
                <w:sz w:val="23"/>
                <w:szCs w:val="23"/>
              </w:rPr>
              <w:t>以及文件、证</w:t>
            </w:r>
            <w:r>
              <w:rPr>
                <w:spacing w:val="10"/>
                <w:sz w:val="23"/>
                <w:szCs w:val="23"/>
              </w:rPr>
              <w:t>件、有关材料全部真实有效，复印件与原件一致。如申</w:t>
            </w:r>
            <w:r>
              <w:rPr>
                <w:spacing w:val="9"/>
                <w:sz w:val="23"/>
                <w:szCs w:val="23"/>
              </w:rPr>
              <w:t>请人在申请过程中存在</w:t>
            </w:r>
            <w:r>
              <w:rPr>
                <w:spacing w:val="8"/>
                <w:sz w:val="23"/>
                <w:szCs w:val="23"/>
              </w:rPr>
              <w:t>弄虚作假、欺骗等行为的，申请人愿意承担由此引</w:t>
            </w:r>
            <w:r>
              <w:rPr>
                <w:spacing w:val="7"/>
                <w:sz w:val="23"/>
                <w:szCs w:val="23"/>
              </w:rPr>
              <w:t>起的一切法律责任；</w:t>
            </w:r>
          </w:p>
          <w:p w14:paraId="265B4D54">
            <w:pPr>
              <w:pStyle w:val="11"/>
              <w:spacing w:before="29" w:line="239" w:lineRule="auto"/>
              <w:ind w:left="120" w:right="157" w:firstLine="479"/>
              <w:jc w:val="both"/>
              <w:rPr>
                <w:sz w:val="23"/>
                <w:szCs w:val="23"/>
              </w:rPr>
            </w:pPr>
            <w:r>
              <w:rPr>
                <w:spacing w:val="9"/>
                <w:sz w:val="23"/>
                <w:szCs w:val="23"/>
              </w:rPr>
              <w:t>2.申请人所提交的预登记信息确保与到号办理时提交的办证信息一致，若</w:t>
            </w:r>
            <w:r>
              <w:rPr>
                <w:spacing w:val="5"/>
                <w:sz w:val="23"/>
                <w:szCs w:val="23"/>
              </w:rPr>
              <w:t>不一致的，申请人应重新登记轮候；</w:t>
            </w:r>
          </w:p>
          <w:p w14:paraId="5AF0EAA6">
            <w:pPr>
              <w:pStyle w:val="11"/>
              <w:spacing w:before="27" w:line="246" w:lineRule="auto"/>
              <w:ind w:left="119" w:right="157" w:firstLine="482"/>
              <w:jc w:val="both"/>
              <w:rPr>
                <w:sz w:val="23"/>
                <w:szCs w:val="23"/>
              </w:rPr>
            </w:pPr>
            <w:r>
              <w:rPr>
                <w:spacing w:val="9"/>
                <w:sz w:val="23"/>
                <w:szCs w:val="23"/>
              </w:rPr>
              <w:t>3.申请人应当在收到办理通知之日起三日内提交办证申请材料，逾期未提</w:t>
            </w:r>
            <w:r>
              <w:rPr>
                <w:spacing w:val="10"/>
                <w:sz w:val="23"/>
                <w:szCs w:val="23"/>
              </w:rPr>
              <w:t>交的，视同申请人自愿放弃本次排队轮候；因申</w:t>
            </w:r>
            <w:r>
              <w:rPr>
                <w:spacing w:val="9"/>
                <w:sz w:val="23"/>
                <w:szCs w:val="23"/>
              </w:rPr>
              <w:t>请人填报地址、联系方式等不</w:t>
            </w:r>
            <w:r>
              <w:rPr>
                <w:spacing w:val="10"/>
                <w:sz w:val="23"/>
                <w:szCs w:val="23"/>
              </w:rPr>
              <w:t>正确，导致发证机关在三个工作日内无法与申请</w:t>
            </w:r>
            <w:r>
              <w:rPr>
                <w:spacing w:val="9"/>
                <w:sz w:val="23"/>
                <w:szCs w:val="23"/>
              </w:rPr>
              <w:t>人取得联系的，视同申请人自</w:t>
            </w:r>
            <w:r>
              <w:rPr>
                <w:spacing w:val="8"/>
                <w:sz w:val="23"/>
                <w:szCs w:val="23"/>
              </w:rPr>
              <w:t>愿放弃本次排队轮候。申请人自愿放弃本次排队轮候的，本机关公示三</w:t>
            </w:r>
            <w:r>
              <w:rPr>
                <w:spacing w:val="7"/>
                <w:sz w:val="23"/>
                <w:szCs w:val="23"/>
              </w:rPr>
              <w:t>日后，</w:t>
            </w:r>
            <w:r>
              <w:rPr>
                <w:spacing w:val="5"/>
                <w:sz w:val="23"/>
                <w:szCs w:val="23"/>
              </w:rPr>
              <w:t>由下一位申请人递补办理。</w:t>
            </w:r>
          </w:p>
          <w:p w14:paraId="16BC3B90">
            <w:pPr>
              <w:pStyle w:val="11"/>
              <w:spacing w:before="28" w:line="184" w:lineRule="auto"/>
              <w:ind w:left="628"/>
              <w:jc w:val="both"/>
              <w:rPr>
                <w:sz w:val="23"/>
                <w:szCs w:val="23"/>
              </w:rPr>
            </w:pPr>
            <w:r>
              <w:rPr>
                <w:b/>
                <w:bCs/>
                <w:spacing w:val="5"/>
                <w:sz w:val="23"/>
                <w:szCs w:val="23"/>
              </w:rPr>
              <w:t>申请人或代理人（签名或印章</w:t>
            </w:r>
            <w:r>
              <w:rPr>
                <w:b/>
                <w:bCs/>
                <w:spacing w:val="-64"/>
                <w:sz w:val="23"/>
                <w:szCs w:val="23"/>
              </w:rPr>
              <w:t>）：</w:t>
            </w:r>
          </w:p>
        </w:tc>
      </w:tr>
      <w:tr w14:paraId="2FDAB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3" w:hRule="atLeast"/>
        </w:trPr>
        <w:tc>
          <w:tcPr>
            <w:tcW w:w="2425" w:type="dxa"/>
            <w:vAlign w:val="center"/>
          </w:tcPr>
          <w:p w14:paraId="201BB45E">
            <w:pPr>
              <w:pStyle w:val="11"/>
              <w:spacing w:before="75" w:line="227" w:lineRule="auto"/>
              <w:ind w:left="381"/>
              <w:jc w:val="both"/>
              <w:rPr>
                <w:sz w:val="23"/>
                <w:szCs w:val="23"/>
              </w:rPr>
            </w:pPr>
            <w:r>
              <w:rPr>
                <w:b/>
                <w:bCs/>
                <w:spacing w:val="6"/>
                <w:sz w:val="23"/>
                <w:szCs w:val="23"/>
              </w:rPr>
              <w:t>排队轮候顺序号</w:t>
            </w:r>
          </w:p>
        </w:tc>
        <w:tc>
          <w:tcPr>
            <w:tcW w:w="6005" w:type="dxa"/>
            <w:gridSpan w:val="3"/>
            <w:vAlign w:val="center"/>
          </w:tcPr>
          <w:p w14:paraId="22EDB87D">
            <w:pPr>
              <w:jc w:val="both"/>
              <w:rPr>
                <w:rFonts w:ascii="Arial"/>
                <w:sz w:val="21"/>
              </w:rPr>
            </w:pPr>
          </w:p>
        </w:tc>
      </w:tr>
    </w:tbl>
    <w:p w14:paraId="4409BD09">
      <w:pPr>
        <w:jc w:val="both"/>
      </w:pPr>
    </w:p>
    <w:sectPr>
      <w:footerReference r:id="rId12" w:type="default"/>
      <w:pgSz w:w="11906" w:h="16838"/>
      <w:pgMar w:top="400" w:right="1530" w:bottom="1640" w:left="1530" w:header="0" w:footer="118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2AB5EE9-02CE-4326-863D-D4029EBAAC20}"/>
  </w:font>
  <w:font w:name="黑体">
    <w:panose1 w:val="02010609060101010101"/>
    <w:charset w:val="86"/>
    <w:family w:val="auto"/>
    <w:pitch w:val="default"/>
    <w:sig w:usb0="800002BF" w:usb1="38CF7CFA" w:usb2="00000016" w:usb3="00000000" w:csb0="00040001" w:csb1="00000000"/>
    <w:embedRegular r:id="rId2" w:fontKey="{975EB6A7-451B-48AE-A463-A3EAC2DC59E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FangSong_GB2312">
    <w:altName w:val="仿宋_GB2312"/>
    <w:panose1 w:val="02010609030101010101"/>
    <w:charset w:val="86"/>
    <w:family w:val="auto"/>
    <w:pitch w:val="default"/>
    <w:sig w:usb0="00000000" w:usb1="00000000" w:usb2="00000000" w:usb3="00000000" w:csb0="00040000" w:csb1="00000000"/>
    <w:embedRegular r:id="rId3" w:fontKey="{43E42C67-BA51-4B82-ABBC-6EEAAC5232FA}"/>
  </w:font>
  <w:font w:name="仿宋_GB2312">
    <w:panose1 w:val="02010609030101010101"/>
    <w:charset w:val="86"/>
    <w:family w:val="auto"/>
    <w:pitch w:val="default"/>
    <w:sig w:usb0="00000001" w:usb1="080E0000" w:usb2="00000000" w:usb3="00000000" w:csb0="00040000" w:csb1="00000000"/>
    <w:embedRegular r:id="rId4" w:fontKey="{900FBF55-BCF4-419D-A127-DBC5ED02C81E}"/>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embedRegular r:id="rId5" w:fontKey="{7776B5E9-0A50-455F-AB69-9ED89075361D}"/>
  </w:font>
  <w:font w:name="方正小标宋简体">
    <w:panose1 w:val="03000509000000000000"/>
    <w:charset w:val="86"/>
    <w:family w:val="auto"/>
    <w:pitch w:val="default"/>
    <w:sig w:usb0="00000001" w:usb1="080E0000" w:usb2="00000000" w:usb3="00000000" w:csb0="00040000" w:csb1="00000000"/>
    <w:embedRegular r:id="rId6" w:fontKey="{F35A6ED1-B286-4A80-B97C-858208519A11}"/>
  </w:font>
  <w:font w:name="方正仿宋_GB2312">
    <w:panose1 w:val="02000000000000000000"/>
    <w:charset w:val="86"/>
    <w:family w:val="auto"/>
    <w:pitch w:val="default"/>
    <w:sig w:usb0="A00002BF" w:usb1="184F6CFA" w:usb2="00000012" w:usb3="00000000" w:csb0="00040001" w:csb1="00000000"/>
    <w:embedRegular r:id="rId7" w:fontKey="{1639730D-D097-4C66-9C81-99993612ACBF}"/>
  </w:font>
  <w:font w:name="Malgun Gothic">
    <w:panose1 w:val="020B0503020000020004"/>
    <w:charset w:val="86"/>
    <w:family w:val="auto"/>
    <w:pitch w:val="default"/>
    <w:sig w:usb0="900002AF" w:usb1="01D77CFB" w:usb2="00000012" w:usb3="00000000" w:csb0="00080001" w:csb1="00000000"/>
    <w:embedRegular r:id="rId8" w:fontKey="{FF5C3559-0F71-4C1B-B832-27CA5DE8D555}"/>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4A99E">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F172A">
    <w:pPr>
      <w:spacing w:before="1" w:line="220" w:lineRule="auto"/>
      <w:rPr>
        <w:rFonts w:ascii="Malgun Gothic" w:hAnsi="Malgun Gothic" w:eastAsia="Malgun Gothic" w:cs="Malgun Gothic"/>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98923">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3F709">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19CA7">
    <w:pPr>
      <w:pStyle w:val="4"/>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7A5CC4">
    <w:pPr>
      <w:spacing w:before="83" w:line="230" w:lineRule="auto"/>
      <w:rPr>
        <w:rFonts w:ascii="黑体" w:hAnsi="黑体" w:eastAsia="黑体" w:cs="黑体"/>
        <w:sz w:val="31"/>
        <w:szCs w:val="3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BBC9B">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D86FA">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052A18"/>
    <w:rsid w:val="02FB6CD9"/>
    <w:rsid w:val="03251B1D"/>
    <w:rsid w:val="03795884"/>
    <w:rsid w:val="03E5328D"/>
    <w:rsid w:val="040F50EB"/>
    <w:rsid w:val="050339CA"/>
    <w:rsid w:val="05A16FB1"/>
    <w:rsid w:val="05AD1B88"/>
    <w:rsid w:val="062C6F51"/>
    <w:rsid w:val="06466906"/>
    <w:rsid w:val="06791249"/>
    <w:rsid w:val="080A5070"/>
    <w:rsid w:val="0BCB0FBA"/>
    <w:rsid w:val="0CBB36E4"/>
    <w:rsid w:val="0E1A5B1B"/>
    <w:rsid w:val="0E2A13FA"/>
    <w:rsid w:val="0EF67622"/>
    <w:rsid w:val="0F1E7653"/>
    <w:rsid w:val="0F431595"/>
    <w:rsid w:val="0FD74C28"/>
    <w:rsid w:val="105D3BF9"/>
    <w:rsid w:val="10CF6E57"/>
    <w:rsid w:val="116776F6"/>
    <w:rsid w:val="125F2C71"/>
    <w:rsid w:val="14406D68"/>
    <w:rsid w:val="149E0122"/>
    <w:rsid w:val="14CF6317"/>
    <w:rsid w:val="15AE3A35"/>
    <w:rsid w:val="16690257"/>
    <w:rsid w:val="17463BEB"/>
    <w:rsid w:val="179E137F"/>
    <w:rsid w:val="17F66032"/>
    <w:rsid w:val="1921046B"/>
    <w:rsid w:val="195972AD"/>
    <w:rsid w:val="197E3303"/>
    <w:rsid w:val="1B1E1D64"/>
    <w:rsid w:val="1BFE63D9"/>
    <w:rsid w:val="1D81111E"/>
    <w:rsid w:val="1E5F5CBE"/>
    <w:rsid w:val="1F313457"/>
    <w:rsid w:val="20474C5B"/>
    <w:rsid w:val="207576B2"/>
    <w:rsid w:val="21761223"/>
    <w:rsid w:val="21920158"/>
    <w:rsid w:val="21D72053"/>
    <w:rsid w:val="221A3B7F"/>
    <w:rsid w:val="22444F03"/>
    <w:rsid w:val="22521696"/>
    <w:rsid w:val="25733DFD"/>
    <w:rsid w:val="26DA3D9D"/>
    <w:rsid w:val="271F29F3"/>
    <w:rsid w:val="29802F8C"/>
    <w:rsid w:val="2A473337"/>
    <w:rsid w:val="2AA170D3"/>
    <w:rsid w:val="2C150C24"/>
    <w:rsid w:val="2E33681F"/>
    <w:rsid w:val="2F065CE2"/>
    <w:rsid w:val="2F3445FD"/>
    <w:rsid w:val="3018020F"/>
    <w:rsid w:val="30CF60BE"/>
    <w:rsid w:val="312A4FD9"/>
    <w:rsid w:val="31804774"/>
    <w:rsid w:val="32766E99"/>
    <w:rsid w:val="32BF1345"/>
    <w:rsid w:val="33596D28"/>
    <w:rsid w:val="33631954"/>
    <w:rsid w:val="33CC574C"/>
    <w:rsid w:val="35721CB8"/>
    <w:rsid w:val="35931E3C"/>
    <w:rsid w:val="36A24542"/>
    <w:rsid w:val="36BE50F4"/>
    <w:rsid w:val="36F66804"/>
    <w:rsid w:val="37E24032"/>
    <w:rsid w:val="38736E44"/>
    <w:rsid w:val="3953638E"/>
    <w:rsid w:val="3B2319C9"/>
    <w:rsid w:val="3BD74C8E"/>
    <w:rsid w:val="3C163B20"/>
    <w:rsid w:val="3CBA3667"/>
    <w:rsid w:val="3D09356D"/>
    <w:rsid w:val="3D89645B"/>
    <w:rsid w:val="3DAC188B"/>
    <w:rsid w:val="3E001D98"/>
    <w:rsid w:val="3EF027C3"/>
    <w:rsid w:val="3F984734"/>
    <w:rsid w:val="40C451A5"/>
    <w:rsid w:val="41501451"/>
    <w:rsid w:val="4253296F"/>
    <w:rsid w:val="42F356A5"/>
    <w:rsid w:val="43F612DA"/>
    <w:rsid w:val="44FC699B"/>
    <w:rsid w:val="45C83899"/>
    <w:rsid w:val="462C1970"/>
    <w:rsid w:val="46E82445"/>
    <w:rsid w:val="47095F17"/>
    <w:rsid w:val="47C66525"/>
    <w:rsid w:val="47ED21BD"/>
    <w:rsid w:val="481D23EF"/>
    <w:rsid w:val="493867D7"/>
    <w:rsid w:val="499E0824"/>
    <w:rsid w:val="4AF45503"/>
    <w:rsid w:val="4D07114B"/>
    <w:rsid w:val="4D88228C"/>
    <w:rsid w:val="4DC03545"/>
    <w:rsid w:val="4E6B1D97"/>
    <w:rsid w:val="51495301"/>
    <w:rsid w:val="525A3ACB"/>
    <w:rsid w:val="528F7C18"/>
    <w:rsid w:val="535E54A8"/>
    <w:rsid w:val="549F1709"/>
    <w:rsid w:val="554E4F37"/>
    <w:rsid w:val="560A7AE2"/>
    <w:rsid w:val="56AC2F11"/>
    <w:rsid w:val="56CE31FA"/>
    <w:rsid w:val="570163E4"/>
    <w:rsid w:val="579E08FE"/>
    <w:rsid w:val="593F1A4A"/>
    <w:rsid w:val="59973517"/>
    <w:rsid w:val="5A490FF5"/>
    <w:rsid w:val="5A690D4F"/>
    <w:rsid w:val="5CD01559"/>
    <w:rsid w:val="5CDE4981"/>
    <w:rsid w:val="5D952979"/>
    <w:rsid w:val="5EDF7832"/>
    <w:rsid w:val="5F9B4B6A"/>
    <w:rsid w:val="5FDC5EDE"/>
    <w:rsid w:val="64E4402E"/>
    <w:rsid w:val="65384A8A"/>
    <w:rsid w:val="67876CB8"/>
    <w:rsid w:val="6A6B3447"/>
    <w:rsid w:val="6A774808"/>
    <w:rsid w:val="6B513830"/>
    <w:rsid w:val="6BCE4EB6"/>
    <w:rsid w:val="6BE26BB3"/>
    <w:rsid w:val="6F045092"/>
    <w:rsid w:val="6FAF1D35"/>
    <w:rsid w:val="7056176E"/>
    <w:rsid w:val="72035119"/>
    <w:rsid w:val="76541404"/>
    <w:rsid w:val="76B92C06"/>
    <w:rsid w:val="79A14200"/>
    <w:rsid w:val="7ABA3126"/>
    <w:rsid w:val="7C24523C"/>
    <w:rsid w:val="7D805D88"/>
    <w:rsid w:val="7D80675E"/>
    <w:rsid w:val="7F063C43"/>
    <w:rsid w:val="7F43401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annotation text"/>
    <w:basedOn w:val="1"/>
    <w:qFormat/>
    <w:uiPriority w:val="0"/>
    <w:pPr>
      <w:jc w:val="left"/>
    </w:pPr>
  </w:style>
  <w:style w:type="paragraph" w:styleId="4">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Subtitle"/>
    <w:basedOn w:val="1"/>
    <w:next w:val="1"/>
    <w:qFormat/>
    <w:uiPriority w:val="11"/>
    <w:pPr>
      <w:spacing w:before="240" w:after="240" w:line="312" w:lineRule="auto"/>
      <w:jc w:val="center"/>
      <w:outlineLvl w:val="1"/>
    </w:pPr>
    <w:rPr>
      <w:rFonts w:ascii="等线" w:hAnsi="等线" w:eastAsia="等线"/>
      <w:kern w:val="28"/>
      <w:sz w:val="40"/>
      <w:szCs w:val="40"/>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4" Type="http://schemas.openxmlformats.org/officeDocument/2006/relationships/fontTable" Target="fontTable.xml"/><Relationship Id="rId33" Type="http://schemas.openxmlformats.org/officeDocument/2006/relationships/image" Target="media/image20.jpeg"/><Relationship Id="rId32" Type="http://schemas.openxmlformats.org/officeDocument/2006/relationships/image" Target="media/image19.jpeg"/><Relationship Id="rId31" Type="http://schemas.openxmlformats.org/officeDocument/2006/relationships/image" Target="media/image18.jpeg"/><Relationship Id="rId30" Type="http://schemas.openxmlformats.org/officeDocument/2006/relationships/image" Target="media/image17.jpeg"/><Relationship Id="rId3" Type="http://schemas.openxmlformats.org/officeDocument/2006/relationships/footnotes" Target="footnotes.xml"/><Relationship Id="rId29" Type="http://schemas.openxmlformats.org/officeDocument/2006/relationships/image" Target="media/image16.jpeg"/><Relationship Id="rId28" Type="http://schemas.openxmlformats.org/officeDocument/2006/relationships/image" Target="media/image15.jpeg"/><Relationship Id="rId27" Type="http://schemas.openxmlformats.org/officeDocument/2006/relationships/image" Target="media/image14.jpeg"/><Relationship Id="rId26" Type="http://schemas.openxmlformats.org/officeDocument/2006/relationships/image" Target="media/image13.jpeg"/><Relationship Id="rId25" Type="http://schemas.openxmlformats.org/officeDocument/2006/relationships/image" Target="media/image12.png"/><Relationship Id="rId24" Type="http://schemas.openxmlformats.org/officeDocument/2006/relationships/image" Target="media/image11.jpeg"/><Relationship Id="rId23" Type="http://schemas.openxmlformats.org/officeDocument/2006/relationships/image" Target="media/image10.png"/><Relationship Id="rId22" Type="http://schemas.openxmlformats.org/officeDocument/2006/relationships/image" Target="media/image9.jpeg"/><Relationship Id="rId21" Type="http://schemas.openxmlformats.org/officeDocument/2006/relationships/image" Target="media/image8.pn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29</Pages>
  <Words>6235</Words>
  <Characters>6388</Characters>
  <TotalTime>6</TotalTime>
  <ScaleCrop>false</ScaleCrop>
  <LinksUpToDate>false</LinksUpToDate>
  <CharactersWithSpaces>6550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2025-08-06T13:48:00Z</dcterms:created>
  <dc:creator>杨蓉</dc:creator>
  <cp:lastModifiedBy>杨蓉</cp:lastModifiedBy>
  <cp:lastPrinted>2025-09-10T07:10:00Z</cp:lastPrinted>
  <dcterms:modified xsi:type="dcterms:W3CDTF">2026-09-30T06:48:05Z</dcterms:modified>
  <dc:title>云南省烟草专卖局关于印发云南省XX县（市、区）烟草制品零售点合理布局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2025-08-06T13:49:41Z</vt:filetime>
  </property>
  <property fmtid="{D5CDD505-2E9C-101B-9397-08002B2CF9AE}" pid="4" name="KSOTemplateDocerSaveRecord">
    <vt:lpwstr>eyJoZGlkIjoiY2I5Nzg2MTJhZTA3N2M3YjJiYWU3M2RjNWQxNmQ5ZDEiLCJ1c2VySWQiOiI1OTMwNTc2NjEifQ==</vt:lpwstr>
  </property>
  <property fmtid="{D5CDD505-2E9C-101B-9397-08002B2CF9AE}" pid="5" name="KSOProductBuildVer">
    <vt:lpwstr>2052-12.1.0.28505</vt:lpwstr>
  </property>
  <property fmtid="{D5CDD505-2E9C-101B-9397-08002B2CF9AE}" pid="6" name="ICV">
    <vt:lpwstr>AF16808BE1764B3AB3DFB2A2AA9AA6C4_13</vt:lpwstr>
  </property>
</Properties>
</file>