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41E23B">
      <w:pPr>
        <w:widowControl/>
        <w:spacing w:line="0" w:lineRule="atLeast"/>
        <w:ind w:firstLine="0" w:firstLineChars="0"/>
        <w:jc w:val="center"/>
        <w:rPr>
          <w:rFonts w:hint="default" w:ascii="Times New Roman" w:hAnsi="Times New Roman" w:eastAsia="隶书" w:cs="Times New Roman"/>
          <w:color w:val="000000" w:themeColor="text1"/>
          <w:sz w:val="52"/>
          <w:szCs w:val="52"/>
          <w14:textFill>
            <w14:solidFill>
              <w14:schemeClr w14:val="tx1"/>
            </w14:solidFill>
          </w14:textFill>
        </w:rPr>
      </w:pPr>
      <w:bookmarkStart w:id="0" w:name="_Hlk56272749"/>
      <w:bookmarkEnd w:id="0"/>
      <w:r>
        <w:rPr>
          <w:rFonts w:hint="default" w:ascii="Times New Roman" w:hAnsi="Times New Roman" w:eastAsia="隶书" w:cs="Times New Roman"/>
          <w:color w:val="000000" w:themeColor="text1"/>
          <w:sz w:val="52"/>
          <w:szCs w:val="52"/>
          <w14:textFill>
            <w14:solidFill>
              <w14:schemeClr w14:val="tx1"/>
            </w14:solidFill>
          </w14:textFill>
        </w:rPr>
        <w:t>玉溪市红塔区</w:t>
      </w:r>
      <w:bookmarkStart w:id="1" w:name="_Hlk53312829"/>
      <w:r>
        <w:rPr>
          <w:rFonts w:hint="default" w:ascii="Times New Roman" w:hAnsi="Times New Roman" w:eastAsia="隶书" w:cs="Times New Roman"/>
          <w:color w:val="000000" w:themeColor="text1"/>
          <w:sz w:val="52"/>
          <w:szCs w:val="52"/>
          <w14:textFill>
            <w14:solidFill>
              <w14:schemeClr w14:val="tx1"/>
            </w14:solidFill>
          </w14:textFill>
        </w:rPr>
        <w:t>民营经济</w:t>
      </w:r>
    </w:p>
    <w:p w14:paraId="5597705B">
      <w:pPr>
        <w:widowControl/>
        <w:spacing w:line="0" w:lineRule="atLeast"/>
        <w:ind w:firstLine="0" w:firstLineChars="0"/>
        <w:jc w:val="center"/>
        <w:rPr>
          <w:rFonts w:hint="default" w:ascii="Times New Roman" w:hAnsi="Times New Roman" w:eastAsia="隶书" w:cs="Times New Roman"/>
          <w:color w:val="000000" w:themeColor="text1"/>
          <w:sz w:val="52"/>
          <w:szCs w:val="52"/>
          <w14:textFill>
            <w14:solidFill>
              <w14:schemeClr w14:val="tx1"/>
            </w14:solidFill>
          </w14:textFill>
        </w:rPr>
      </w:pPr>
      <w:r>
        <w:rPr>
          <w:rFonts w:hint="default" w:ascii="Times New Roman" w:hAnsi="Times New Roman" w:eastAsia="隶书" w:cs="Times New Roman"/>
          <w:color w:val="000000" w:themeColor="text1"/>
          <w:sz w:val="52"/>
          <w:szCs w:val="52"/>
          <w14:textFill>
            <w14:solidFill>
              <w14:schemeClr w14:val="tx1"/>
            </w14:solidFill>
          </w14:textFill>
        </w:rPr>
        <w:t>“十四五”发展规划</w:t>
      </w:r>
      <w:bookmarkEnd w:id="1"/>
    </w:p>
    <w:p w14:paraId="4F3E5734">
      <w:pPr>
        <w:spacing w:before="100" w:beforeAutospacing="1"/>
        <w:ind w:firstLine="0" w:firstLineChars="0"/>
        <w:jc w:val="center"/>
        <w:rPr>
          <w:rFonts w:hint="default" w:ascii="Times New Roman" w:hAnsi="Times New Roman" w:eastAsia="隶书" w:cs="Times New Roman"/>
          <w:b/>
          <w:color w:val="000000" w:themeColor="text1"/>
          <w:sz w:val="44"/>
          <w:szCs w:val="44"/>
          <w14:textFill>
            <w14:solidFill>
              <w14:schemeClr w14:val="tx1"/>
            </w14:solidFill>
          </w14:textFill>
        </w:rPr>
      </w:pPr>
      <w:r>
        <w:rPr>
          <w:rFonts w:hint="default" w:ascii="Times New Roman" w:hAnsi="Times New Roman" w:eastAsia="隶书" w:cs="Times New Roman"/>
          <w:color w:val="000000" w:themeColor="text1"/>
          <w:sz w:val="44"/>
          <w:szCs w:val="44"/>
          <w14:textFill>
            <w14:solidFill>
              <w14:schemeClr w14:val="tx1"/>
            </w14:solidFill>
          </w14:textFill>
        </w:rPr>
        <w:t>（2021－2025年）</w:t>
      </w:r>
    </w:p>
    <w:p w14:paraId="3D9696E6">
      <w:pPr>
        <w:ind w:firstLine="0" w:firstLineChars="0"/>
        <w:jc w:val="center"/>
        <w:rPr>
          <w:rFonts w:hint="default" w:ascii="Times New Roman" w:hAnsi="Times New Roman" w:eastAsia="隶书" w:cs="Times New Roman"/>
          <w:color w:val="000000" w:themeColor="text1"/>
          <w:szCs w:val="32"/>
          <w14:textFill>
            <w14:solidFill>
              <w14:schemeClr w14:val="tx1"/>
            </w14:solidFill>
          </w14:textFill>
        </w:rPr>
      </w:pPr>
    </w:p>
    <w:p w14:paraId="210B5F38">
      <w:pPr>
        <w:ind w:firstLine="0" w:firstLineChars="0"/>
        <w:jc w:val="center"/>
        <w:rPr>
          <w:rFonts w:hint="default" w:ascii="Times New Roman" w:hAnsi="Times New Roman" w:cs="Times New Roman"/>
          <w:b/>
          <w:bCs/>
          <w:color w:val="000000" w:themeColor="text1"/>
          <w:sz w:val="24"/>
          <w14:textFill>
            <w14:solidFill>
              <w14:schemeClr w14:val="tx1"/>
            </w14:solidFill>
          </w14:textFill>
        </w:rPr>
      </w:pPr>
    </w:p>
    <w:p w14:paraId="59DFA844">
      <w:pPr>
        <w:ind w:firstLine="0" w:firstLineChars="0"/>
        <w:jc w:val="center"/>
        <w:rPr>
          <w:rFonts w:hint="default" w:ascii="Times New Roman" w:hAnsi="Times New Roman" w:cs="Times New Roman"/>
          <w:b/>
          <w:bCs/>
          <w:color w:val="000000" w:themeColor="text1"/>
          <w:sz w:val="24"/>
          <w14:textFill>
            <w14:solidFill>
              <w14:schemeClr w14:val="tx1"/>
            </w14:solidFill>
          </w14:textFill>
        </w:rPr>
      </w:pPr>
    </w:p>
    <w:p w14:paraId="7733B5F3">
      <w:pPr>
        <w:ind w:firstLine="0" w:firstLineChars="0"/>
        <w:jc w:val="center"/>
        <w:rPr>
          <w:rFonts w:hint="default" w:ascii="Times New Roman" w:hAnsi="Times New Roman" w:cs="Times New Roman"/>
          <w:b/>
          <w:bCs/>
          <w:color w:val="000000" w:themeColor="text1"/>
          <w:sz w:val="24"/>
          <w14:textFill>
            <w14:solidFill>
              <w14:schemeClr w14:val="tx1"/>
            </w14:solidFill>
          </w14:textFill>
        </w:rPr>
      </w:pPr>
    </w:p>
    <w:p w14:paraId="5AD52EA2">
      <w:pPr>
        <w:ind w:firstLine="0" w:firstLineChars="0"/>
        <w:jc w:val="center"/>
        <w:rPr>
          <w:rFonts w:hint="default" w:ascii="Times New Roman" w:hAnsi="Times New Roman" w:cs="Times New Roman"/>
          <w:b/>
          <w:bCs/>
          <w:color w:val="000000" w:themeColor="text1"/>
          <w:sz w:val="24"/>
          <w14:textFill>
            <w14:solidFill>
              <w14:schemeClr w14:val="tx1"/>
            </w14:solidFill>
          </w14:textFill>
        </w:rPr>
      </w:pPr>
    </w:p>
    <w:p w14:paraId="121323F4">
      <w:pPr>
        <w:ind w:firstLine="0" w:firstLineChars="0"/>
        <w:jc w:val="center"/>
        <w:rPr>
          <w:rFonts w:hint="default" w:ascii="Times New Roman" w:hAnsi="Times New Roman" w:cs="Times New Roman"/>
          <w:b/>
          <w:bCs/>
          <w:color w:val="000000" w:themeColor="text1"/>
          <w:sz w:val="24"/>
          <w14:textFill>
            <w14:solidFill>
              <w14:schemeClr w14:val="tx1"/>
            </w14:solidFill>
          </w14:textFill>
        </w:rPr>
      </w:pPr>
    </w:p>
    <w:p w14:paraId="18565E75">
      <w:pPr>
        <w:ind w:firstLine="0" w:firstLineChars="0"/>
        <w:jc w:val="center"/>
        <w:rPr>
          <w:rFonts w:hint="default" w:ascii="Times New Roman" w:hAnsi="Times New Roman" w:cs="Times New Roman"/>
          <w:b/>
          <w:bCs/>
          <w:color w:val="000000" w:themeColor="text1"/>
          <w:sz w:val="24"/>
          <w14:textFill>
            <w14:solidFill>
              <w14:schemeClr w14:val="tx1"/>
            </w14:solidFill>
          </w14:textFill>
        </w:rPr>
      </w:pPr>
    </w:p>
    <w:p w14:paraId="490112FA">
      <w:pPr>
        <w:ind w:firstLine="0" w:firstLineChars="0"/>
        <w:jc w:val="center"/>
        <w:rPr>
          <w:rFonts w:hint="default" w:ascii="Times New Roman" w:hAnsi="Times New Roman" w:cs="Times New Roman"/>
          <w:b/>
          <w:bCs/>
          <w:color w:val="000000" w:themeColor="text1"/>
          <w:sz w:val="24"/>
          <w14:textFill>
            <w14:solidFill>
              <w14:schemeClr w14:val="tx1"/>
            </w14:solidFill>
          </w14:textFill>
        </w:rPr>
      </w:pPr>
    </w:p>
    <w:p w14:paraId="4D908BA6">
      <w:pPr>
        <w:ind w:firstLine="0" w:firstLineChars="0"/>
        <w:jc w:val="center"/>
        <w:rPr>
          <w:rFonts w:hint="default" w:ascii="Times New Roman" w:hAnsi="Times New Roman" w:cs="Times New Roman"/>
          <w:b/>
          <w:bCs/>
          <w:color w:val="000000" w:themeColor="text1"/>
          <w:sz w:val="24"/>
          <w14:textFill>
            <w14:solidFill>
              <w14:schemeClr w14:val="tx1"/>
            </w14:solidFill>
          </w14:textFill>
        </w:rPr>
      </w:pPr>
    </w:p>
    <w:p w14:paraId="62EB126E">
      <w:pPr>
        <w:ind w:firstLine="0" w:firstLineChars="0"/>
        <w:jc w:val="center"/>
        <w:rPr>
          <w:rFonts w:hint="default" w:ascii="Times New Roman" w:hAnsi="Times New Roman" w:cs="Times New Roman"/>
          <w:b/>
          <w:bCs/>
          <w:color w:val="000000" w:themeColor="text1"/>
          <w:sz w:val="24"/>
          <w14:textFill>
            <w14:solidFill>
              <w14:schemeClr w14:val="tx1"/>
            </w14:solidFill>
          </w14:textFill>
        </w:rPr>
      </w:pPr>
    </w:p>
    <w:p w14:paraId="704C28BC">
      <w:pPr>
        <w:ind w:firstLine="0" w:firstLineChars="0"/>
        <w:jc w:val="center"/>
        <w:rPr>
          <w:rFonts w:hint="default" w:ascii="Times New Roman" w:hAnsi="Times New Roman" w:cs="Times New Roman"/>
          <w:b/>
          <w:bCs/>
          <w:color w:val="000000" w:themeColor="text1"/>
          <w:sz w:val="24"/>
          <w14:textFill>
            <w14:solidFill>
              <w14:schemeClr w14:val="tx1"/>
            </w14:solidFill>
          </w14:textFill>
        </w:rPr>
      </w:pPr>
    </w:p>
    <w:p w14:paraId="61ED8301">
      <w:pPr>
        <w:ind w:firstLine="0" w:firstLineChars="0"/>
        <w:jc w:val="center"/>
        <w:rPr>
          <w:rFonts w:hint="default" w:ascii="Times New Roman" w:hAnsi="Times New Roman" w:cs="Times New Roman"/>
          <w:b/>
          <w:bCs/>
          <w:color w:val="000000" w:themeColor="text1"/>
          <w:sz w:val="24"/>
          <w14:textFill>
            <w14:solidFill>
              <w14:schemeClr w14:val="tx1"/>
            </w14:solidFill>
          </w14:textFill>
        </w:rPr>
      </w:pPr>
    </w:p>
    <w:p w14:paraId="33352B42">
      <w:pPr>
        <w:ind w:firstLine="0" w:firstLineChars="0"/>
        <w:jc w:val="center"/>
        <w:rPr>
          <w:rFonts w:hint="default" w:ascii="Times New Roman" w:hAnsi="Times New Roman" w:cs="Times New Roman"/>
          <w:b/>
          <w:bCs/>
          <w:color w:val="000000" w:themeColor="text1"/>
          <w:sz w:val="24"/>
          <w14:textFill>
            <w14:solidFill>
              <w14:schemeClr w14:val="tx1"/>
            </w14:solidFill>
          </w14:textFill>
        </w:rPr>
      </w:pPr>
    </w:p>
    <w:p w14:paraId="249B88C1">
      <w:pPr>
        <w:widowControl/>
        <w:spacing w:line="0" w:lineRule="atLeast"/>
        <w:ind w:firstLine="0" w:firstLineChars="0"/>
        <w:jc w:val="center"/>
        <w:rPr>
          <w:rFonts w:hint="default" w:ascii="Times New Roman" w:hAnsi="Times New Roman" w:eastAsia="隶书" w:cs="Times New Roman"/>
          <w:color w:val="000000" w:themeColor="text1"/>
          <w:szCs w:val="32"/>
          <w14:textFill>
            <w14:solidFill>
              <w14:schemeClr w14:val="tx1"/>
            </w14:solidFill>
          </w14:textFill>
        </w:rPr>
      </w:pPr>
      <w:r>
        <w:rPr>
          <w:rFonts w:hint="default" w:ascii="Times New Roman" w:hAnsi="Times New Roman" w:eastAsia="隶书" w:cs="Times New Roman"/>
          <w:color w:val="000000" w:themeColor="text1"/>
          <w:szCs w:val="32"/>
          <w14:textFill>
            <w14:solidFill>
              <w14:schemeClr w14:val="tx1"/>
            </w14:solidFill>
          </w14:textFill>
        </w:rPr>
        <w:t>机械总院集团云南省机械研究设计院</w:t>
      </w:r>
    </w:p>
    <w:p w14:paraId="488A6E19">
      <w:pPr>
        <w:widowControl/>
        <w:spacing w:line="0" w:lineRule="atLeast"/>
        <w:ind w:firstLine="0" w:firstLineChars="0"/>
        <w:jc w:val="center"/>
        <w:rPr>
          <w:rFonts w:hint="default" w:ascii="Times New Roman" w:hAnsi="Times New Roman" w:eastAsia="隶书" w:cs="Times New Roman"/>
          <w:color w:val="000000" w:themeColor="text1"/>
          <w:szCs w:val="32"/>
          <w14:textFill>
            <w14:solidFill>
              <w14:schemeClr w14:val="tx1"/>
            </w14:solidFill>
          </w14:textFill>
        </w:rPr>
      </w:pPr>
      <w:r>
        <w:rPr>
          <w:rFonts w:hint="default" w:ascii="Times New Roman" w:hAnsi="Times New Roman" w:eastAsia="隶书" w:cs="Times New Roman"/>
          <w:color w:val="000000" w:themeColor="text1"/>
          <w:szCs w:val="32"/>
          <w14:textFill>
            <w14:solidFill>
              <w14:schemeClr w14:val="tx1"/>
            </w14:solidFill>
          </w14:textFill>
        </w:rPr>
        <w:t>玉溪市</w:t>
      </w:r>
      <w:bookmarkStart w:id="2" w:name="_Hlk53312812"/>
      <w:r>
        <w:rPr>
          <w:rFonts w:hint="default" w:ascii="Times New Roman" w:hAnsi="Times New Roman" w:eastAsia="隶书" w:cs="Times New Roman"/>
          <w:color w:val="000000" w:themeColor="text1"/>
          <w:szCs w:val="32"/>
          <w14:textFill>
            <w14:solidFill>
              <w14:schemeClr w14:val="tx1"/>
            </w14:solidFill>
          </w14:textFill>
        </w:rPr>
        <w:t>红塔区</w:t>
      </w:r>
      <w:bookmarkEnd w:id="2"/>
      <w:r>
        <w:rPr>
          <w:rFonts w:hint="default" w:ascii="Times New Roman" w:hAnsi="Times New Roman" w:eastAsia="隶书" w:cs="Times New Roman"/>
          <w:color w:val="000000" w:themeColor="text1"/>
          <w:szCs w:val="32"/>
          <w14:textFill>
            <w14:solidFill>
              <w14:schemeClr w14:val="tx1"/>
            </w14:solidFill>
          </w14:textFill>
        </w:rPr>
        <w:t>工业和信息化局</w:t>
      </w:r>
    </w:p>
    <w:p w14:paraId="61545CA5">
      <w:pPr>
        <w:widowControl/>
        <w:spacing w:line="0" w:lineRule="atLeast"/>
        <w:ind w:firstLine="0" w:firstLineChars="0"/>
        <w:jc w:val="center"/>
        <w:rPr>
          <w:rFonts w:hint="default" w:ascii="Times New Roman" w:hAnsi="Times New Roman" w:eastAsia="隶书" w:cs="Times New Roman"/>
          <w:color w:val="000000" w:themeColor="text1"/>
          <w:szCs w:val="32"/>
          <w14:textFill>
            <w14:solidFill>
              <w14:schemeClr w14:val="tx1"/>
            </w14:solidFill>
          </w14:textFill>
        </w:rPr>
      </w:pPr>
    </w:p>
    <w:p w14:paraId="14022ED6">
      <w:pPr>
        <w:widowControl/>
        <w:spacing w:line="0" w:lineRule="atLeast"/>
        <w:ind w:firstLine="0" w:firstLineChars="0"/>
        <w:jc w:val="center"/>
        <w:rPr>
          <w:rFonts w:hint="default" w:ascii="Times New Roman" w:hAnsi="Times New Roman" w:eastAsia="隶书" w:cs="Times New Roman"/>
          <w:color w:val="000000" w:themeColor="text1"/>
          <w:szCs w:val="32"/>
          <w14:textFill>
            <w14:solidFill>
              <w14:schemeClr w14:val="tx1"/>
            </w14:solidFill>
          </w14:textFill>
        </w:rPr>
        <w:sectPr>
          <w:headerReference r:id="rId6" w:type="first"/>
          <w:footerReference r:id="rId8" w:type="first"/>
          <w:headerReference r:id="rId5" w:type="default"/>
          <w:footerReference r:id="rId7" w:type="default"/>
          <w:pgSz w:w="11906" w:h="16838"/>
          <w:pgMar w:top="1440" w:right="1588" w:bottom="1440" w:left="1588" w:header="851" w:footer="992" w:gutter="0"/>
          <w:pgNumType w:start="1"/>
          <w:cols w:space="425" w:num="1"/>
          <w:titlePg/>
          <w:docGrid w:linePitch="381" w:charSpace="0"/>
        </w:sectPr>
      </w:pPr>
      <w:r>
        <w:rPr>
          <w:rFonts w:hint="default" w:ascii="Times New Roman" w:hAnsi="Times New Roman" w:eastAsia="隶书" w:cs="Times New Roman"/>
          <w:color w:val="000000" w:themeColor="text1"/>
          <w:szCs w:val="32"/>
          <w14:textFill>
            <w14:solidFill>
              <w14:schemeClr w14:val="tx1"/>
            </w14:solidFill>
          </w14:textFill>
        </w:rPr>
        <w:t>2021年1月</w:t>
      </w:r>
    </w:p>
    <w:p w14:paraId="65C4E717">
      <w:pPr>
        <w:widowControl/>
        <w:spacing w:line="0" w:lineRule="atLeast"/>
        <w:ind w:firstLine="0" w:firstLineChars="0"/>
        <w:jc w:val="center"/>
        <w:rPr>
          <w:rFonts w:hint="default" w:ascii="Times New Roman" w:hAnsi="Times New Roman" w:eastAsia="方正大标宋简体" w:cs="Times New Roman"/>
          <w:b/>
          <w:color w:val="000000" w:themeColor="text1"/>
          <w:sz w:val="36"/>
          <w:szCs w:val="36"/>
          <w14:textFill>
            <w14:solidFill>
              <w14:schemeClr w14:val="tx1"/>
            </w14:solidFill>
          </w14:textFill>
        </w:rPr>
      </w:pPr>
      <w:bookmarkStart w:id="3" w:name="_Hlk53312905"/>
      <w:r>
        <w:rPr>
          <w:rFonts w:hint="default" w:ascii="Times New Roman" w:hAnsi="Times New Roman" w:eastAsia="方正大标宋简体" w:cs="Times New Roman"/>
          <w:b/>
          <w:color w:val="000000" w:themeColor="text1"/>
          <w:sz w:val="36"/>
          <w:szCs w:val="36"/>
          <w14:textFill>
            <w14:solidFill>
              <w14:schemeClr w14:val="tx1"/>
            </w14:solidFill>
          </w14:textFill>
        </w:rPr>
        <w:t>玉溪市红塔区</w:t>
      </w:r>
      <w:bookmarkStart w:id="4" w:name="_Hlk56362118"/>
      <w:bookmarkStart w:id="5" w:name="_Hlk52794478"/>
      <w:r>
        <w:rPr>
          <w:rFonts w:hint="default" w:ascii="Times New Roman" w:hAnsi="Times New Roman" w:eastAsia="方正大标宋简体" w:cs="Times New Roman"/>
          <w:b/>
          <w:color w:val="000000" w:themeColor="text1"/>
          <w:sz w:val="36"/>
          <w:szCs w:val="36"/>
          <w14:textFill>
            <w14:solidFill>
              <w14:schemeClr w14:val="tx1"/>
            </w14:solidFill>
          </w14:textFill>
        </w:rPr>
        <w:t>民营经济“十四五”发展规划</w:t>
      </w:r>
      <w:bookmarkEnd w:id="4"/>
    </w:p>
    <w:bookmarkEnd w:id="3"/>
    <w:bookmarkEnd w:id="5"/>
    <w:p w14:paraId="0EAFB2D3">
      <w:pPr>
        <w:widowControl/>
        <w:spacing w:line="0" w:lineRule="atLeast"/>
        <w:ind w:firstLine="0" w:firstLineChars="0"/>
        <w:jc w:val="center"/>
        <w:rPr>
          <w:rFonts w:hint="default" w:ascii="Times New Roman" w:hAnsi="Times New Roman" w:eastAsia="方正大标宋简体" w:cs="Times New Roman"/>
          <w:b/>
          <w:color w:val="000000" w:themeColor="text1"/>
          <w:szCs w:val="32"/>
          <w14:textFill>
            <w14:solidFill>
              <w14:schemeClr w14:val="tx1"/>
            </w14:solidFill>
          </w14:textFill>
        </w:rPr>
      </w:pPr>
      <w:r>
        <w:rPr>
          <w:rFonts w:hint="default" w:ascii="Times New Roman" w:hAnsi="Times New Roman" w:eastAsia="方正大标宋简体" w:cs="Times New Roman"/>
          <w:b/>
          <w:color w:val="000000" w:themeColor="text1"/>
          <w:szCs w:val="32"/>
          <w14:textFill>
            <w14:solidFill>
              <w14:schemeClr w14:val="tx1"/>
            </w14:solidFill>
          </w14:textFill>
        </w:rPr>
        <w:t>编制单位：机械总院集团云南省机械研究设计院</w:t>
      </w:r>
    </w:p>
    <w:p w14:paraId="66B1F02C">
      <w:pPr>
        <w:widowControl/>
        <w:spacing w:line="0" w:lineRule="atLeast"/>
        <w:ind w:firstLine="0" w:firstLineChars="0"/>
        <w:jc w:val="center"/>
        <w:rPr>
          <w:rFonts w:hint="default" w:ascii="Times New Roman" w:hAnsi="Times New Roman" w:eastAsia="方正大标宋简体" w:cs="Times New Roman"/>
          <w:b/>
          <w:color w:val="000000" w:themeColor="text1"/>
          <w:szCs w:val="32"/>
          <w14:textFill>
            <w14:solidFill>
              <w14:schemeClr w14:val="tx1"/>
            </w14:solidFill>
          </w14:textFill>
        </w:rPr>
      </w:pPr>
      <w:r>
        <w:rPr>
          <w:rFonts w:hint="default" w:ascii="Times New Roman" w:hAnsi="Times New Roman" w:eastAsia="方正大标宋简体" w:cs="Times New Roman"/>
          <w:b/>
          <w:color w:val="000000" w:themeColor="text1"/>
          <w:szCs w:val="32"/>
          <w14:textFill>
            <w14:solidFill>
              <w14:schemeClr w14:val="tx1"/>
            </w14:solidFill>
          </w14:textFill>
        </w:rPr>
        <w:t>玉溪市红塔区工业和信息化局</w:t>
      </w:r>
    </w:p>
    <w:p w14:paraId="0C3F3DCE">
      <w:pPr>
        <w:widowControl/>
        <w:overflowPunct/>
        <w:autoSpaceDE/>
        <w:autoSpaceDN/>
        <w:spacing w:before="100" w:beforeAutospacing="1" w:line="0" w:lineRule="atLeast"/>
        <w:ind w:firstLine="0" w:firstLineChars="0"/>
        <w:jc w:val="center"/>
        <w:rPr>
          <w:rFonts w:hint="default" w:ascii="Times New Roman" w:hAnsi="Times New Roman" w:eastAsia="方正大标宋简体" w:cs="Times New Roman"/>
          <w:b/>
          <w:color w:val="000000"/>
          <w:sz w:val="44"/>
          <w:szCs w:val="44"/>
        </w:rPr>
      </w:pPr>
      <w:bookmarkStart w:id="6" w:name="_Hlk56332405"/>
      <w:r>
        <w:rPr>
          <w:rFonts w:hint="default" w:ascii="Times New Roman" w:hAnsi="Times New Roman" w:eastAsia="方正大标宋简体" w:cs="Times New Roman"/>
          <w:b/>
          <w:color w:val="000000"/>
          <w:sz w:val="44"/>
          <w:szCs w:val="44"/>
        </w:rPr>
        <w:t>课题组成员名单</w:t>
      </w:r>
    </w:p>
    <w:p w14:paraId="2B216850">
      <w:pPr>
        <w:widowControl/>
        <w:overflowPunct/>
        <w:autoSpaceDE/>
        <w:autoSpaceDN/>
        <w:spacing w:before="100" w:beforeAutospacing="1" w:line="0" w:lineRule="atLeast"/>
        <w:ind w:firstLine="0" w:firstLineChars="0"/>
        <w:rPr>
          <w:rFonts w:hint="default" w:ascii="Times New Roman" w:hAnsi="Times New Roman" w:eastAsia="方正大标宋简体" w:cs="Times New Roman"/>
          <w:b/>
          <w:color w:val="000000"/>
          <w:szCs w:val="32"/>
        </w:rPr>
      </w:pPr>
      <w:r>
        <w:rPr>
          <w:rFonts w:hint="default" w:ascii="Times New Roman" w:hAnsi="Times New Roman" w:eastAsia="仿宋" w:cs="Times New Roman"/>
          <w:sz w:val="30"/>
          <w:szCs w:val="28"/>
        </w:rPr>
        <mc:AlternateContent>
          <mc:Choice Requires="wps">
            <w:drawing>
              <wp:anchor distT="0" distB="0" distL="114300" distR="114300" simplePos="0" relativeHeight="251660288" behindDoc="1" locked="0" layoutInCell="1" allowOverlap="1">
                <wp:simplePos x="0" y="0"/>
                <wp:positionH relativeFrom="page">
                  <wp:posOffset>3909060</wp:posOffset>
                </wp:positionH>
                <wp:positionV relativeFrom="page">
                  <wp:posOffset>3002280</wp:posOffset>
                </wp:positionV>
                <wp:extent cx="3142615" cy="6233160"/>
                <wp:effectExtent l="0" t="0" r="19685" b="15240"/>
                <wp:wrapTight wrapText="bothSides">
                  <wp:wrapPolygon>
                    <wp:start x="3273" y="0"/>
                    <wp:lineTo x="2619" y="1056"/>
                    <wp:lineTo x="0" y="1782"/>
                    <wp:lineTo x="0" y="19870"/>
                    <wp:lineTo x="1440" y="20068"/>
                    <wp:lineTo x="3012" y="21125"/>
                    <wp:lineTo x="3273" y="21587"/>
                    <wp:lineTo x="18331" y="21587"/>
                    <wp:lineTo x="18593" y="21125"/>
                    <wp:lineTo x="20164" y="20068"/>
                    <wp:lineTo x="21604" y="19870"/>
                    <wp:lineTo x="21604" y="1782"/>
                    <wp:lineTo x="18986" y="1056"/>
                    <wp:lineTo x="18331" y="0"/>
                    <wp:lineTo x="3273" y="0"/>
                  </wp:wrapPolygon>
                </wp:wrapTight>
                <wp:docPr id="8" name="文本框 8"/>
                <wp:cNvGraphicFramePr/>
                <a:graphic xmlns:a="http://schemas.openxmlformats.org/drawingml/2006/main">
                  <a:graphicData uri="http://schemas.microsoft.com/office/word/2010/wordprocessingShape">
                    <wps:wsp>
                      <wps:cNvSpPr txBox="1"/>
                      <wps:spPr>
                        <a:xfrm>
                          <a:off x="0" y="0"/>
                          <a:ext cx="3142615" cy="6233160"/>
                        </a:xfrm>
                        <a:prstGeom prst="plaque">
                          <a:avLst/>
                        </a:prstGeom>
                      </wps:spPr>
                      <wps:style>
                        <a:lnRef idx="2">
                          <a:schemeClr val="dk1"/>
                        </a:lnRef>
                        <a:fillRef idx="1">
                          <a:schemeClr val="lt1"/>
                        </a:fillRef>
                        <a:effectRef idx="0">
                          <a:schemeClr val="dk1"/>
                        </a:effectRef>
                        <a:fontRef idx="minor">
                          <a:schemeClr val="dk1"/>
                        </a:fontRef>
                      </wps:style>
                      <wps:txbx>
                        <w:txbxContent>
                          <w:p w14:paraId="786AB92C">
                            <w:pPr>
                              <w:ind w:firstLine="0" w:firstLineChars="0"/>
                              <w:jc w:val="center"/>
                            </w:pPr>
                            <w:bookmarkStart w:id="125" w:name="_Hlk62120341"/>
                            <w:r>
                              <w:rPr>
                                <w:rFonts w:hint="eastAsia"/>
                              </w:rPr>
                              <w:t>玉溪市红塔区</w:t>
                            </w:r>
                          </w:p>
                          <w:p w14:paraId="139EDD50">
                            <w:pPr>
                              <w:ind w:firstLine="0" w:firstLineChars="0"/>
                              <w:jc w:val="center"/>
                            </w:pPr>
                            <w:r>
                              <w:rPr>
                                <w:rFonts w:hint="eastAsia"/>
                              </w:rPr>
                              <w:t>工业和信息化局</w:t>
                            </w:r>
                            <w:bookmarkEnd w:id="125"/>
                          </w:p>
                          <w:p w14:paraId="4D124A6C">
                            <w:pPr>
                              <w:spacing w:line="240" w:lineRule="auto"/>
                              <w:ind w:firstLine="0" w:firstLineChars="0"/>
                              <w:rPr>
                                <w:rFonts w:ascii="方正大标宋_GBK" w:eastAsia="方正大标宋_GBK"/>
                                <w:szCs w:val="28"/>
                              </w:rPr>
                            </w:pPr>
                          </w:p>
                          <w:p w14:paraId="0DADC664">
                            <w:pPr>
                              <w:ind w:firstLine="0" w:firstLineChars="0"/>
                            </w:pPr>
                            <w:r>
                              <w:rPr>
                                <w:rFonts w:hint="eastAsia"/>
                              </w:rPr>
                              <w:t xml:space="preserve">李有贵 </w:t>
                            </w:r>
                            <w:r>
                              <w:t xml:space="preserve"> </w:t>
                            </w:r>
                            <w:r>
                              <w:rPr>
                                <w:rFonts w:hint="eastAsia"/>
                              </w:rPr>
                              <w:t>局长</w:t>
                            </w:r>
                            <w:r>
                              <w:t xml:space="preserve"> </w:t>
                            </w:r>
                          </w:p>
                          <w:p w14:paraId="716002C3">
                            <w:pPr>
                              <w:ind w:firstLine="0" w:firstLineChars="0"/>
                            </w:pPr>
                            <w:r>
                              <w:rPr>
                                <w:rFonts w:hint="eastAsia"/>
                              </w:rPr>
                              <w:t xml:space="preserve">黄志宇 </w:t>
                            </w:r>
                            <w:r>
                              <w:t xml:space="preserve"> </w:t>
                            </w:r>
                            <w:r>
                              <w:rPr>
                                <w:rFonts w:hint="eastAsia"/>
                              </w:rPr>
                              <w:t>副局长</w:t>
                            </w:r>
                          </w:p>
                          <w:p w14:paraId="590FF58C">
                            <w:pPr>
                              <w:ind w:firstLine="0" w:firstLineChars="0"/>
                            </w:pPr>
                            <w:r>
                              <w:rPr>
                                <w:rFonts w:hint="eastAsia"/>
                              </w:rPr>
                              <w:t xml:space="preserve">薛宝姝 </w:t>
                            </w:r>
                            <w:r>
                              <w:t xml:space="preserve"> </w:t>
                            </w:r>
                            <w:r>
                              <w:rPr>
                                <w:rFonts w:hint="eastAsia"/>
                              </w:rPr>
                              <w:t>副局长</w:t>
                            </w:r>
                          </w:p>
                          <w:p w14:paraId="73E228DA">
                            <w:pPr>
                              <w:ind w:firstLine="0" w:firstLineChars="0"/>
                            </w:pPr>
                            <w:r>
                              <w:rPr>
                                <w:rFonts w:hint="eastAsia"/>
                              </w:rPr>
                              <w:t xml:space="preserve">司马伍 </w:t>
                            </w:r>
                            <w:r>
                              <w:t xml:space="preserve"> </w:t>
                            </w:r>
                            <w:r>
                              <w:rPr>
                                <w:rFonts w:hint="eastAsia"/>
                              </w:rPr>
                              <w:t>股长</w:t>
                            </w:r>
                          </w:p>
                          <w:p w14:paraId="3E74978C">
                            <w:pPr>
                              <w:ind w:firstLine="0" w:firstLineChars="0"/>
                              <w:rPr>
                                <w:sz w:val="28"/>
                              </w:rPr>
                            </w:pPr>
                            <w:r>
                              <w:rPr>
                                <w:rFonts w:hint="eastAsia"/>
                              </w:rPr>
                              <w:t xml:space="preserve">景惠萍 </w:t>
                            </w:r>
                            <w:r>
                              <w:t xml:space="preserve"> </w:t>
                            </w:r>
                            <w:r>
                              <w:rPr>
                                <w:rFonts w:hint="eastAsia"/>
                              </w:rPr>
                              <w:t>股长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1" type="#_x0000_t21" style="position:absolute;left:0pt;margin-left:307.8pt;margin-top:236.4pt;height:490.8pt;width:247.45pt;mso-position-horizontal-relative:page;mso-position-vertical-relative:page;mso-wrap-distance-left:9pt;mso-wrap-distance-right:9pt;z-index:-251656192;mso-width-relative:page;mso-height-relative:page;" fillcolor="#FFFFFF [3201]" filled="t" stroked="t" coordsize="21600,21600" wrapcoords="3273 0 2619 1056 0 1782 0 19870 1440 20068 3012 21125 3273 21587 18331 21587 18593 21125 20164 20068 21604 19870 21604 1782 18986 1056 18331 0 3273 0" o:gfxdata="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BjoRS3AAAAA0BAAAP&#10;AAAAAAAAAAEAIAAAACIAAABkcnMvZG93bnJldi54bWxQSwECFAAUAAAACACHTuJAsAijsIYCAAAN&#10;BQAADgAAAAAAAAABACAAAAArAQAAZHJzL2Uyb0RvYy54bWxQSwUGAAAAAAYABgBZAQAAIwYAAAAA&#10;" adj="3600">
                <v:fill on="t" focussize="0,0"/>
                <v:stroke weight="1pt" color="#000000 [3200]" miterlimit="8" joinstyle="miter"/>
                <v:imagedata o:title=""/>
                <o:lock v:ext="edit" aspectratio="f"/>
                <v:textbox>
                  <w:txbxContent>
                    <w:p w14:paraId="786AB92C">
                      <w:pPr>
                        <w:ind w:firstLine="0" w:firstLineChars="0"/>
                        <w:jc w:val="center"/>
                      </w:pPr>
                      <w:bookmarkStart w:id="125" w:name="_Hlk62120341"/>
                      <w:r>
                        <w:rPr>
                          <w:rFonts w:hint="eastAsia"/>
                        </w:rPr>
                        <w:t>玉溪市红塔区</w:t>
                      </w:r>
                    </w:p>
                    <w:p w14:paraId="139EDD50">
                      <w:pPr>
                        <w:ind w:firstLine="0" w:firstLineChars="0"/>
                        <w:jc w:val="center"/>
                      </w:pPr>
                      <w:r>
                        <w:rPr>
                          <w:rFonts w:hint="eastAsia"/>
                        </w:rPr>
                        <w:t>工业和信息化局</w:t>
                      </w:r>
                      <w:bookmarkEnd w:id="125"/>
                    </w:p>
                    <w:p w14:paraId="4D124A6C">
                      <w:pPr>
                        <w:spacing w:line="240" w:lineRule="auto"/>
                        <w:ind w:firstLine="0" w:firstLineChars="0"/>
                        <w:rPr>
                          <w:rFonts w:ascii="方正大标宋_GBK" w:eastAsia="方正大标宋_GBK"/>
                          <w:szCs w:val="28"/>
                        </w:rPr>
                      </w:pPr>
                    </w:p>
                    <w:p w14:paraId="0DADC664">
                      <w:pPr>
                        <w:ind w:firstLine="0" w:firstLineChars="0"/>
                      </w:pPr>
                      <w:r>
                        <w:rPr>
                          <w:rFonts w:hint="eastAsia"/>
                        </w:rPr>
                        <w:t xml:space="preserve">李有贵 </w:t>
                      </w:r>
                      <w:r>
                        <w:t xml:space="preserve"> </w:t>
                      </w:r>
                      <w:r>
                        <w:rPr>
                          <w:rFonts w:hint="eastAsia"/>
                        </w:rPr>
                        <w:t>局长</w:t>
                      </w:r>
                      <w:r>
                        <w:t xml:space="preserve"> </w:t>
                      </w:r>
                    </w:p>
                    <w:p w14:paraId="716002C3">
                      <w:pPr>
                        <w:ind w:firstLine="0" w:firstLineChars="0"/>
                      </w:pPr>
                      <w:r>
                        <w:rPr>
                          <w:rFonts w:hint="eastAsia"/>
                        </w:rPr>
                        <w:t xml:space="preserve">黄志宇 </w:t>
                      </w:r>
                      <w:r>
                        <w:t xml:space="preserve"> </w:t>
                      </w:r>
                      <w:r>
                        <w:rPr>
                          <w:rFonts w:hint="eastAsia"/>
                        </w:rPr>
                        <w:t>副局长</w:t>
                      </w:r>
                    </w:p>
                    <w:p w14:paraId="590FF58C">
                      <w:pPr>
                        <w:ind w:firstLine="0" w:firstLineChars="0"/>
                      </w:pPr>
                      <w:r>
                        <w:rPr>
                          <w:rFonts w:hint="eastAsia"/>
                        </w:rPr>
                        <w:t xml:space="preserve">薛宝姝 </w:t>
                      </w:r>
                      <w:r>
                        <w:t xml:space="preserve"> </w:t>
                      </w:r>
                      <w:r>
                        <w:rPr>
                          <w:rFonts w:hint="eastAsia"/>
                        </w:rPr>
                        <w:t>副局长</w:t>
                      </w:r>
                    </w:p>
                    <w:p w14:paraId="73E228DA">
                      <w:pPr>
                        <w:ind w:firstLine="0" w:firstLineChars="0"/>
                      </w:pPr>
                      <w:r>
                        <w:rPr>
                          <w:rFonts w:hint="eastAsia"/>
                        </w:rPr>
                        <w:t xml:space="preserve">司马伍 </w:t>
                      </w:r>
                      <w:r>
                        <w:t xml:space="preserve"> </w:t>
                      </w:r>
                      <w:r>
                        <w:rPr>
                          <w:rFonts w:hint="eastAsia"/>
                        </w:rPr>
                        <w:t>股长</w:t>
                      </w:r>
                    </w:p>
                    <w:p w14:paraId="3E74978C">
                      <w:pPr>
                        <w:ind w:firstLine="0" w:firstLineChars="0"/>
                        <w:rPr>
                          <w:sz w:val="28"/>
                        </w:rPr>
                      </w:pPr>
                      <w:r>
                        <w:rPr>
                          <w:rFonts w:hint="eastAsia"/>
                        </w:rPr>
                        <w:t xml:space="preserve">景惠萍 </w:t>
                      </w:r>
                      <w:r>
                        <w:t xml:space="preserve"> </w:t>
                      </w:r>
                      <w:r>
                        <w:rPr>
                          <w:rFonts w:hint="eastAsia"/>
                        </w:rPr>
                        <w:t>股长</w:t>
                      </w:r>
                    </w:p>
                  </w:txbxContent>
                </v:textbox>
                <w10:wrap type="tight"/>
              </v:shape>
            </w:pict>
          </mc:Fallback>
        </mc:AlternateContent>
      </w:r>
    </w:p>
    <w:p w14:paraId="66280F7C">
      <w:pPr>
        <w:ind w:firstLine="640"/>
        <w:rPr>
          <w:rFonts w:hint="default" w:ascii="Times New Roman" w:hAnsi="Times New Roman" w:eastAsia="方正大标宋简体" w:cs="Times New Roman"/>
          <w:szCs w:val="32"/>
        </w:rPr>
      </w:pPr>
      <w:r>
        <w:rPr>
          <w:rFonts w:hint="default" w:ascii="Times New Roman" w:hAnsi="Times New Roman" w:eastAsia="宋体" w:cs="Times New Roman"/>
          <w:sz w:val="30"/>
          <w:szCs w:val="22"/>
        </w:rPr>
        <mc:AlternateContent>
          <mc:Choice Requires="wps">
            <w:drawing>
              <wp:anchor distT="0" distB="0" distL="114300" distR="114300" simplePos="0" relativeHeight="251659264" behindDoc="1" locked="0" layoutInCell="1" allowOverlap="0">
                <wp:simplePos x="0" y="0"/>
                <wp:positionH relativeFrom="column">
                  <wp:posOffset>-474980</wp:posOffset>
                </wp:positionH>
                <wp:positionV relativeFrom="paragraph">
                  <wp:posOffset>135890</wp:posOffset>
                </wp:positionV>
                <wp:extent cx="3322320" cy="6286500"/>
                <wp:effectExtent l="0" t="0" r="11430" b="19050"/>
                <wp:wrapTight wrapText="bothSides">
                  <wp:wrapPolygon>
                    <wp:start x="3344" y="0"/>
                    <wp:lineTo x="2725" y="1047"/>
                    <wp:lineTo x="0" y="1898"/>
                    <wp:lineTo x="0" y="19833"/>
                    <wp:lineTo x="991" y="19898"/>
                    <wp:lineTo x="2972" y="20945"/>
                    <wp:lineTo x="3344" y="21600"/>
                    <wp:lineTo x="18330" y="21600"/>
                    <wp:lineTo x="18702" y="20945"/>
                    <wp:lineTo x="20560" y="19898"/>
                    <wp:lineTo x="21550" y="19833"/>
                    <wp:lineTo x="21550" y="1898"/>
                    <wp:lineTo x="18826" y="1047"/>
                    <wp:lineTo x="18330" y="0"/>
                    <wp:lineTo x="3344" y="0"/>
                  </wp:wrapPolygon>
                </wp:wrapTight>
                <wp:docPr id="4" name="文本框 4"/>
                <wp:cNvGraphicFramePr/>
                <a:graphic xmlns:a="http://schemas.openxmlformats.org/drawingml/2006/main">
                  <a:graphicData uri="http://schemas.microsoft.com/office/word/2010/wordprocessingShape">
                    <wps:wsp>
                      <wps:cNvSpPr txBox="1"/>
                      <wps:spPr>
                        <a:xfrm>
                          <a:off x="0" y="0"/>
                          <a:ext cx="3322320" cy="6286500"/>
                        </a:xfrm>
                        <a:prstGeom prst="plaque">
                          <a:avLst/>
                        </a:prstGeom>
                        <a:noFill/>
                        <a:ln w="6350">
                          <a:solidFill>
                            <a:prstClr val="black"/>
                          </a:solidFill>
                        </a:ln>
                        <a:effectLst/>
                      </wps:spPr>
                      <wps:txbx>
                        <w:txbxContent>
                          <w:p w14:paraId="3119E1B7">
                            <w:pPr>
                              <w:ind w:firstLine="0" w:firstLineChars="0"/>
                              <w:jc w:val="center"/>
                            </w:pPr>
                            <w:r>
                              <w:rPr>
                                <w:rFonts w:hint="eastAsia"/>
                              </w:rPr>
                              <w:t>机械总院集团</w:t>
                            </w:r>
                          </w:p>
                          <w:p w14:paraId="04C633C9">
                            <w:pPr>
                              <w:ind w:firstLine="0" w:firstLineChars="0"/>
                              <w:jc w:val="center"/>
                              <w:rPr>
                                <w:rFonts w:cs="Times New Roman"/>
                              </w:rPr>
                            </w:pPr>
                            <w:r>
                              <w:rPr>
                                <w:rFonts w:hint="eastAsia"/>
                              </w:rPr>
                              <w:t>云南省机械研究设计院</w:t>
                            </w:r>
                          </w:p>
                          <w:p w14:paraId="3D14A3B5">
                            <w:pPr>
                              <w:ind w:left="-160" w:leftChars="-50" w:right="-160" w:rightChars="-50" w:firstLine="0" w:firstLineChars="0"/>
                              <w:rPr>
                                <w:rFonts w:ascii="方正大标宋_GBK" w:hAnsi="仿宋" w:eastAsia="方正大标宋_GBK"/>
                                <w:sz w:val="24"/>
                                <w14:textOutline w14:w="9525" w14:cap="rnd" w14:cmpd="sng" w14:algn="ctr">
                                  <w14:solidFill>
                                    <w14:srgbClr w14:val="C0504D">
                                      <w14:lumMod w14:val="7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1" type="#_x0000_t21" style="position:absolute;left:0pt;margin-left:-37.4pt;margin-top:10.7pt;height:495pt;width:261.6pt;mso-wrap-distance-left:9pt;mso-wrap-distance-right:9pt;z-index:-251657216;mso-width-relative:page;mso-height-relative:page;" filled="f" stroked="t" coordsize="21600,21600" wrapcoords="3344 0 2725 1047 0 1898 0 19833 991 19898 2972 20945 3344 21600 18330 21600 18702 20945 20560 19898 21550 19833 21550 1898 18826 1047 18330 0 3344 0" o:allowoverlap="f" o:gfxdata="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QnZjXW&#10;AAAACwEAAA8AAAAAAAAAAQAgAAAAIgAAAGRycy9kb3ducmV2LnhtbFBLAQIUABQAAAAIAIdO4kBZ&#10;/s4QWwIAAJ8EAAAOAAAAAAAAAAEAIAAAACUBAABkcnMvZTJvRG9jLnhtbFBLBQYAAAAABgAGAFkB&#10;AADyBQAAAAA=&#10;" adj="3600">
                <v:fill on="f" focussize="0,0"/>
                <v:stroke weight="0.5pt" color="#000000" joinstyle="round"/>
                <v:imagedata o:title=""/>
                <o:lock v:ext="edit" aspectratio="f"/>
                <v:textbox>
                  <w:txbxContent>
                    <w:p w14:paraId="3119E1B7">
                      <w:pPr>
                        <w:ind w:firstLine="0" w:firstLineChars="0"/>
                        <w:jc w:val="center"/>
                      </w:pPr>
                      <w:r>
                        <w:rPr>
                          <w:rFonts w:hint="eastAsia"/>
                        </w:rPr>
                        <w:t>机械总院集团</w:t>
                      </w:r>
                    </w:p>
                    <w:p w14:paraId="04C633C9">
                      <w:pPr>
                        <w:ind w:firstLine="0" w:firstLineChars="0"/>
                        <w:jc w:val="center"/>
                        <w:rPr>
                          <w:rFonts w:cs="Times New Roman"/>
                        </w:rPr>
                      </w:pPr>
                      <w:r>
                        <w:rPr>
                          <w:rFonts w:hint="eastAsia"/>
                        </w:rPr>
                        <w:t>云南省机械研究设计院</w:t>
                      </w:r>
                    </w:p>
                    <w:p w14:paraId="3D14A3B5">
                      <w:pPr>
                        <w:ind w:left="-160" w:leftChars="-50" w:right="-160" w:rightChars="-50" w:firstLine="0" w:firstLineChars="0"/>
                        <w:rPr>
                          <w:rFonts w:ascii="方正大标宋_GBK" w:hAnsi="仿宋" w:eastAsia="方正大标宋_GBK"/>
                          <w:sz w:val="24"/>
                          <w14:textOutline w14:w="9525" w14:cap="rnd" w14:cmpd="sng" w14:algn="ctr">
                            <w14:solidFill>
                              <w14:srgbClr w14:val="C0504D">
                                <w14:lumMod w14:val="75000"/>
                              </w14:srgbClr>
                            </w14:solidFill>
                            <w14:prstDash w14:val="solid"/>
                            <w14:bevel/>
                          </w14:textOutline>
                        </w:rPr>
                      </w:pPr>
                    </w:p>
                  </w:txbxContent>
                </v:textbox>
                <w10:wrap type="tight"/>
              </v:shape>
            </w:pict>
          </mc:Fallback>
        </mc:AlternateContent>
      </w:r>
    </w:p>
    <w:p w14:paraId="36CECC1A">
      <w:pPr>
        <w:ind w:firstLine="640"/>
        <w:rPr>
          <w:rFonts w:hint="default" w:ascii="Times New Roman" w:hAnsi="Times New Roman" w:eastAsia="方正大标宋简体" w:cs="Times New Roman"/>
          <w:szCs w:val="32"/>
        </w:rPr>
      </w:pPr>
      <w:r>
        <w:rPr>
          <w:rFonts w:hint="default" w:ascii="Times New Roman" w:hAnsi="Times New Roman" w:cs="Times New Roman"/>
          <w:sz w:val="28"/>
        </w:rPr>
        <mc:AlternateContent>
          <mc:Choice Requires="wps">
            <w:drawing>
              <wp:anchor distT="0" distB="0" distL="114300" distR="114300" simplePos="0" relativeHeight="251661312" behindDoc="0" locked="0" layoutInCell="1" allowOverlap="1">
                <wp:simplePos x="0" y="0"/>
                <wp:positionH relativeFrom="column">
                  <wp:posOffset>-2961005</wp:posOffset>
                </wp:positionH>
                <wp:positionV relativeFrom="paragraph">
                  <wp:posOffset>1148080</wp:posOffset>
                </wp:positionV>
                <wp:extent cx="3413760" cy="3611245"/>
                <wp:effectExtent l="0" t="0" r="15240" b="27305"/>
                <wp:wrapNone/>
                <wp:docPr id="1" name="文本框 1"/>
                <wp:cNvGraphicFramePr/>
                <a:graphic xmlns:a="http://schemas.openxmlformats.org/drawingml/2006/main">
                  <a:graphicData uri="http://schemas.microsoft.com/office/word/2010/wordprocessingShape">
                    <wps:wsp>
                      <wps:cNvSpPr txBox="1"/>
                      <wps:spPr>
                        <a:xfrm>
                          <a:off x="0" y="0"/>
                          <a:ext cx="3413760" cy="3611245"/>
                        </a:xfrm>
                        <a:prstGeom prst="rect">
                          <a:avLst/>
                        </a:prstGeom>
                        <a:noFill/>
                        <a:ln w="6350">
                          <a:solidFill>
                            <a:sysClr val="window" lastClr="FFFFFF"/>
                          </a:solidFill>
                        </a:ln>
                      </wps:spPr>
                      <wps:txbx>
                        <w:txbxContent>
                          <w:p w14:paraId="733ED212">
                            <w:pPr>
                              <w:ind w:firstLine="0" w:firstLineChars="0"/>
                            </w:pPr>
                            <w:r>
                              <w:rPr>
                                <w:rFonts w:hint="eastAsia"/>
                              </w:rPr>
                              <w:t>张东宁  正高级工程师</w:t>
                            </w:r>
                          </w:p>
                          <w:p w14:paraId="0C45AC96">
                            <w:pPr>
                              <w:ind w:firstLine="0" w:firstLineChars="0"/>
                              <w:rPr>
                                <w:sz w:val="15"/>
                                <w:szCs w:val="15"/>
                              </w:rPr>
                            </w:pPr>
                            <w:r>
                              <w:rPr>
                                <w:rFonts w:hint="eastAsia"/>
                              </w:rPr>
                              <w:t xml:space="preserve">胡  兰 </w:t>
                            </w:r>
                            <w:r>
                              <w:t xml:space="preserve"> </w:t>
                            </w:r>
                            <w:r>
                              <w:rPr>
                                <w:rFonts w:hint="eastAsia"/>
                              </w:rPr>
                              <w:t>正高级工程师</w:t>
                            </w:r>
                            <w:r>
                              <w:rPr>
                                <w:rFonts w:hint="eastAsia"/>
                                <w:sz w:val="15"/>
                                <w:szCs w:val="15"/>
                              </w:rPr>
                              <w:t>（云南省机械工业质量中心）</w:t>
                            </w:r>
                          </w:p>
                          <w:p w14:paraId="10F1D0A1">
                            <w:pPr>
                              <w:ind w:firstLine="0" w:firstLineChars="0"/>
                            </w:pPr>
                            <w:r>
                              <w:rPr>
                                <w:rFonts w:hint="eastAsia"/>
                              </w:rPr>
                              <w:t>王翠芝  高级工程师</w:t>
                            </w:r>
                          </w:p>
                          <w:p w14:paraId="1E5174AA">
                            <w:pPr>
                              <w:ind w:firstLine="0" w:firstLineChars="0"/>
                            </w:pPr>
                            <w:r>
                              <w:rPr>
                                <w:rFonts w:hint="eastAsia"/>
                              </w:rPr>
                              <w:t>余  颖  工程师</w:t>
                            </w:r>
                          </w:p>
                          <w:p w14:paraId="238A6414">
                            <w:pPr>
                              <w:ind w:firstLine="0" w:firstLineChars="0"/>
                            </w:pPr>
                            <w:r>
                              <w:rPr>
                                <w:rFonts w:hint="eastAsia"/>
                              </w:rPr>
                              <w:t>李广沈  高级工程师</w:t>
                            </w:r>
                          </w:p>
                          <w:p w14:paraId="2A2AEB8F">
                            <w:pPr>
                              <w:ind w:firstLine="0" w:firstLineChars="0"/>
                            </w:pPr>
                            <w:r>
                              <w:rPr>
                                <w:rFonts w:hint="eastAsia"/>
                              </w:rPr>
                              <w:t>曲永冬  工程师</w:t>
                            </w:r>
                          </w:p>
                          <w:p w14:paraId="7CFB1300">
                            <w:pPr>
                              <w:ind w:firstLine="0" w:firstLineChars="0"/>
                            </w:pPr>
                            <w:r>
                              <w:rPr>
                                <w:rFonts w:hint="eastAsia"/>
                              </w:rPr>
                              <w:t>高  敏  高级工程师</w:t>
                            </w:r>
                          </w:p>
                          <w:p w14:paraId="50306B76">
                            <w:pPr>
                              <w:ind w:firstLine="0" w:firstLineChars="0"/>
                            </w:pPr>
                            <w:r>
                              <w:rPr>
                                <w:rFonts w:hint="eastAsia"/>
                              </w:rPr>
                              <w:t>邵  静  工程师</w:t>
                            </w:r>
                          </w:p>
                          <w:p w14:paraId="0C031E84">
                            <w:pPr>
                              <w:ind w:firstLine="0" w:firstLineChars="0"/>
                            </w:pPr>
                            <w:r>
                              <w:rPr>
                                <w:rFonts w:hint="eastAsia"/>
                              </w:rPr>
                              <w:t>王家昆  高级工程师</w:t>
                            </w:r>
                          </w:p>
                          <w:p w14:paraId="40002C74">
                            <w:pPr>
                              <w:ind w:firstLine="0" w:firstLineChars="0"/>
                              <w:rPr>
                                <w:rFonts w:cs="Times New Roman"/>
                              </w:rPr>
                            </w:pPr>
                            <w:r>
                              <w:rPr>
                                <w:rFonts w:hint="eastAsia"/>
                              </w:rPr>
                              <w:t>卢亦俊  高级工程师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15pt;margin-top:90.4pt;height:284.35pt;width:268.8pt;z-index:251661312;mso-width-relative:page;mso-height-relative:page;" filled="f" stroked="t" coordsize="21600,21600" o:gfxdata="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n&#10;qfX82gAAAAsBAAAPAAAAAAAAAAEAIAAAACIAAABkcnMvZG93bnJldi54bWxQSwECFAAUAAAACACH&#10;TuJAYoOea1sCAACgBAAADgAAAAAAAAABACAAAAApAQAAZHJzL2Uyb0RvYy54bWxQSwUGAAAAAAYA&#10;BgBZAQAA9gUAAAAA&#10;">
                <v:fill on="f" focussize="0,0"/>
                <v:stroke weight="0.5pt" color="#FFFFFF" joinstyle="round"/>
                <v:imagedata o:title=""/>
                <o:lock v:ext="edit" aspectratio="f"/>
                <v:textbox>
                  <w:txbxContent>
                    <w:p w14:paraId="733ED212">
                      <w:pPr>
                        <w:ind w:firstLine="0" w:firstLineChars="0"/>
                      </w:pPr>
                      <w:r>
                        <w:rPr>
                          <w:rFonts w:hint="eastAsia"/>
                        </w:rPr>
                        <w:t>张东宁  正高级工程师</w:t>
                      </w:r>
                    </w:p>
                    <w:p w14:paraId="0C45AC96">
                      <w:pPr>
                        <w:ind w:firstLine="0" w:firstLineChars="0"/>
                        <w:rPr>
                          <w:sz w:val="15"/>
                          <w:szCs w:val="15"/>
                        </w:rPr>
                      </w:pPr>
                      <w:r>
                        <w:rPr>
                          <w:rFonts w:hint="eastAsia"/>
                        </w:rPr>
                        <w:t xml:space="preserve">胡  兰 </w:t>
                      </w:r>
                      <w:r>
                        <w:t xml:space="preserve"> </w:t>
                      </w:r>
                      <w:r>
                        <w:rPr>
                          <w:rFonts w:hint="eastAsia"/>
                        </w:rPr>
                        <w:t>正高级工程师</w:t>
                      </w:r>
                      <w:r>
                        <w:rPr>
                          <w:rFonts w:hint="eastAsia"/>
                          <w:sz w:val="15"/>
                          <w:szCs w:val="15"/>
                        </w:rPr>
                        <w:t>（云南省机械工业质量中心）</w:t>
                      </w:r>
                    </w:p>
                    <w:p w14:paraId="10F1D0A1">
                      <w:pPr>
                        <w:ind w:firstLine="0" w:firstLineChars="0"/>
                      </w:pPr>
                      <w:r>
                        <w:rPr>
                          <w:rFonts w:hint="eastAsia"/>
                        </w:rPr>
                        <w:t>王翠芝  高级工程师</w:t>
                      </w:r>
                    </w:p>
                    <w:p w14:paraId="1E5174AA">
                      <w:pPr>
                        <w:ind w:firstLine="0" w:firstLineChars="0"/>
                      </w:pPr>
                      <w:r>
                        <w:rPr>
                          <w:rFonts w:hint="eastAsia"/>
                        </w:rPr>
                        <w:t>余  颖  工程师</w:t>
                      </w:r>
                    </w:p>
                    <w:p w14:paraId="238A6414">
                      <w:pPr>
                        <w:ind w:firstLine="0" w:firstLineChars="0"/>
                      </w:pPr>
                      <w:r>
                        <w:rPr>
                          <w:rFonts w:hint="eastAsia"/>
                        </w:rPr>
                        <w:t>李广沈  高级工程师</w:t>
                      </w:r>
                    </w:p>
                    <w:p w14:paraId="2A2AEB8F">
                      <w:pPr>
                        <w:ind w:firstLine="0" w:firstLineChars="0"/>
                      </w:pPr>
                      <w:r>
                        <w:rPr>
                          <w:rFonts w:hint="eastAsia"/>
                        </w:rPr>
                        <w:t>曲永冬  工程师</w:t>
                      </w:r>
                    </w:p>
                    <w:p w14:paraId="7CFB1300">
                      <w:pPr>
                        <w:ind w:firstLine="0" w:firstLineChars="0"/>
                      </w:pPr>
                      <w:r>
                        <w:rPr>
                          <w:rFonts w:hint="eastAsia"/>
                        </w:rPr>
                        <w:t>高  敏  高级工程师</w:t>
                      </w:r>
                    </w:p>
                    <w:p w14:paraId="50306B76">
                      <w:pPr>
                        <w:ind w:firstLine="0" w:firstLineChars="0"/>
                      </w:pPr>
                      <w:r>
                        <w:rPr>
                          <w:rFonts w:hint="eastAsia"/>
                        </w:rPr>
                        <w:t>邵  静  工程师</w:t>
                      </w:r>
                    </w:p>
                    <w:p w14:paraId="0C031E84">
                      <w:pPr>
                        <w:ind w:firstLine="0" w:firstLineChars="0"/>
                      </w:pPr>
                      <w:r>
                        <w:rPr>
                          <w:rFonts w:hint="eastAsia"/>
                        </w:rPr>
                        <w:t>王家昆  高级工程师</w:t>
                      </w:r>
                    </w:p>
                    <w:p w14:paraId="40002C74">
                      <w:pPr>
                        <w:ind w:firstLine="0" w:firstLineChars="0"/>
                        <w:rPr>
                          <w:rFonts w:cs="Times New Roman"/>
                        </w:rPr>
                      </w:pPr>
                      <w:r>
                        <w:rPr>
                          <w:rFonts w:hint="eastAsia"/>
                        </w:rPr>
                        <w:t>卢亦俊  高级工程师</w:t>
                      </w:r>
                    </w:p>
                  </w:txbxContent>
                </v:textbox>
              </v:shape>
            </w:pict>
          </mc:Fallback>
        </mc:AlternateContent>
      </w:r>
    </w:p>
    <w:p w14:paraId="5BCC4362">
      <w:pPr>
        <w:keepNext w:val="0"/>
        <w:keepLines w:val="0"/>
        <w:pageBreakBefore w:val="0"/>
        <w:widowControl w:val="0"/>
        <w:kinsoku/>
        <w:wordWrap/>
        <w:overflowPunct w:val="0"/>
        <w:topLinePunct w:val="0"/>
        <w:autoSpaceDE w:val="0"/>
        <w:autoSpaceDN w:val="0"/>
        <w:bidi w:val="0"/>
        <w:adjustRightInd/>
        <w:snapToGrid/>
        <w:spacing w:line="240" w:lineRule="auto"/>
        <w:ind w:firstLine="640"/>
        <w:textAlignment w:val="auto"/>
        <w:rPr>
          <w:rFonts w:hint="default" w:ascii="Times New Roman" w:hAnsi="Times New Roman" w:eastAsia="方正大标宋简体" w:cs="Times New Roman"/>
          <w:szCs w:val="32"/>
        </w:rPr>
      </w:pPr>
    </w:p>
    <w:p w14:paraId="312DFA48">
      <w:pPr>
        <w:keepNext w:val="0"/>
        <w:keepLines w:val="0"/>
        <w:pageBreakBefore w:val="0"/>
        <w:widowControl w:val="0"/>
        <w:kinsoku/>
        <w:wordWrap/>
        <w:overflowPunct w:val="0"/>
        <w:topLinePunct w:val="0"/>
        <w:autoSpaceDE w:val="0"/>
        <w:autoSpaceDN w:val="0"/>
        <w:bidi w:val="0"/>
        <w:adjustRightInd/>
        <w:snapToGrid/>
        <w:spacing w:line="240" w:lineRule="auto"/>
        <w:ind w:firstLine="640"/>
        <w:textAlignment w:val="auto"/>
        <w:rPr>
          <w:rFonts w:hint="default" w:ascii="Times New Roman" w:hAnsi="Times New Roman" w:eastAsia="方正大标宋简体" w:cs="Times New Roman"/>
          <w:szCs w:val="32"/>
        </w:rPr>
      </w:pPr>
    </w:p>
    <w:p w14:paraId="44DAEF40">
      <w:pPr>
        <w:keepNext w:val="0"/>
        <w:keepLines w:val="0"/>
        <w:pageBreakBefore w:val="0"/>
        <w:widowControl w:val="0"/>
        <w:kinsoku/>
        <w:wordWrap/>
        <w:overflowPunct w:val="0"/>
        <w:topLinePunct w:val="0"/>
        <w:autoSpaceDE w:val="0"/>
        <w:autoSpaceDN w:val="0"/>
        <w:bidi w:val="0"/>
        <w:adjustRightInd/>
        <w:snapToGrid/>
        <w:spacing w:line="240" w:lineRule="auto"/>
        <w:ind w:firstLine="640"/>
        <w:textAlignment w:val="auto"/>
        <w:rPr>
          <w:rFonts w:hint="default" w:ascii="Times New Roman" w:hAnsi="Times New Roman" w:eastAsia="方正大标宋简体" w:cs="Times New Roman"/>
          <w:szCs w:val="32"/>
        </w:rPr>
      </w:pPr>
      <w:r>
        <w:rPr>
          <w:rFonts w:hint="default" w:ascii="Times New Roman" w:hAnsi="Times New Roman" w:cs="Times New Roman"/>
        </w:rPr>
        <w:drawing>
          <wp:anchor distT="0" distB="0" distL="114300" distR="114300" simplePos="0" relativeHeight="251662336" behindDoc="1" locked="0" layoutInCell="1" allowOverlap="1">
            <wp:simplePos x="0" y="0"/>
            <wp:positionH relativeFrom="column">
              <wp:posOffset>80645</wp:posOffset>
            </wp:positionH>
            <wp:positionV relativeFrom="paragraph">
              <wp:posOffset>-106680</wp:posOffset>
            </wp:positionV>
            <wp:extent cx="5732145" cy="8427720"/>
            <wp:effectExtent l="0" t="0" r="1905" b="0"/>
            <wp:wrapTight wrapText="bothSides">
              <wp:wrapPolygon>
                <wp:start x="0" y="0"/>
                <wp:lineTo x="0" y="21532"/>
                <wp:lineTo x="21535" y="21532"/>
                <wp:lineTo x="2153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rcRect l="9538" t="6586" r="7191" b="7090"/>
                    <a:stretch>
                      <a:fillRect/>
                    </a:stretch>
                  </pic:blipFill>
                  <pic:spPr>
                    <a:xfrm>
                      <a:off x="0" y="0"/>
                      <a:ext cx="5732145" cy="8427720"/>
                    </a:xfrm>
                    <a:prstGeom prst="rect">
                      <a:avLst/>
                    </a:prstGeom>
                    <a:noFill/>
                    <a:ln>
                      <a:noFill/>
                    </a:ln>
                  </pic:spPr>
                </pic:pic>
              </a:graphicData>
            </a:graphic>
          </wp:anchor>
        </w:drawing>
      </w:r>
    </w:p>
    <w:p w14:paraId="7517287C">
      <w:pPr>
        <w:ind w:firstLine="640"/>
        <w:rPr>
          <w:rFonts w:hint="default" w:ascii="Times New Roman" w:hAnsi="Times New Roman" w:eastAsia="方正大标宋简体" w:cs="Times New Roman"/>
          <w:szCs w:val="32"/>
        </w:rPr>
      </w:pPr>
      <w:r>
        <w:rPr>
          <w:rFonts w:hint="default" w:ascii="Times New Roman" w:hAnsi="Times New Roman" w:cs="Times New Roman"/>
        </w:rPr>
        <w:drawing>
          <wp:anchor distT="0" distB="0" distL="114300" distR="114300" simplePos="0" relativeHeight="251663360" behindDoc="0" locked="0" layoutInCell="1" allowOverlap="1">
            <wp:simplePos x="0" y="0"/>
            <wp:positionH relativeFrom="page">
              <wp:posOffset>1038860</wp:posOffset>
            </wp:positionH>
            <wp:positionV relativeFrom="page">
              <wp:posOffset>1092200</wp:posOffset>
            </wp:positionV>
            <wp:extent cx="5761355" cy="8736330"/>
            <wp:effectExtent l="0" t="0" r="0" b="762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a:extLst>
                        <a:ext uri="{28A0092B-C50C-407E-A947-70E740481C1C}">
                          <a14:useLocalDpi xmlns:a14="http://schemas.microsoft.com/office/drawing/2010/main" val="0"/>
                        </a:ext>
                      </a:extLst>
                    </a:blip>
                    <a:srcRect l="19786" t="6262" r="12049" b="6069"/>
                    <a:stretch>
                      <a:fillRect/>
                    </a:stretch>
                  </pic:blipFill>
                  <pic:spPr>
                    <a:xfrm>
                      <a:off x="0" y="0"/>
                      <a:ext cx="5761355" cy="8736376"/>
                    </a:xfrm>
                    <a:prstGeom prst="rect">
                      <a:avLst/>
                    </a:prstGeom>
                    <a:noFill/>
                    <a:ln>
                      <a:noFill/>
                    </a:ln>
                  </pic:spPr>
                </pic:pic>
              </a:graphicData>
            </a:graphic>
          </wp:anchor>
        </w:drawing>
      </w:r>
    </w:p>
    <w:bookmarkEnd w:id="6"/>
    <w:p w14:paraId="52BE2D45">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方正大标宋简体" w:cs="Times New Roman"/>
          <w:b/>
          <w:color w:val="000000" w:themeColor="text1"/>
          <w:sz w:val="36"/>
          <w:szCs w:val="36"/>
          <w14:textFill>
            <w14:solidFill>
              <w14:schemeClr w14:val="tx1"/>
            </w14:solidFill>
          </w14:textFill>
        </w:rPr>
        <w:sectPr>
          <w:footerReference r:id="rId9" w:type="default"/>
          <w:pgSz w:w="11906" w:h="16838"/>
          <w:pgMar w:top="1440" w:right="1588" w:bottom="1440" w:left="1588" w:header="851" w:footer="992" w:gutter="0"/>
          <w:pgNumType w:fmt="lowerRoman" w:start="1"/>
          <w:cols w:space="425" w:num="1"/>
          <w:titlePg/>
          <w:docGrid w:linePitch="381" w:charSpace="0"/>
        </w:sectPr>
      </w:pPr>
    </w:p>
    <w:p w14:paraId="38D0EE73">
      <w:pPr>
        <w:pStyle w:val="18"/>
        <w:keepNext/>
        <w:keepLines/>
        <w:pageBreakBefore w:val="0"/>
        <w:widowControl w:val="0"/>
        <w:kinsoku/>
        <w:wordWrap/>
        <w:overflowPunct w:val="0"/>
        <w:topLinePunct w:val="0"/>
        <w:autoSpaceDE w:val="0"/>
        <w:autoSpaceDN w:val="0"/>
        <w:bidi w:val="0"/>
        <w:adjustRightInd/>
        <w:snapToGrid/>
        <w:spacing w:line="240" w:lineRule="auto"/>
        <w:textAlignment w:val="auto"/>
        <w:rPr>
          <w:rFonts w:hint="default" w:ascii="Times New Roman" w:hAnsi="Times New Roman" w:cs="Times New Roman"/>
        </w:rPr>
      </w:pPr>
      <w:bookmarkStart w:id="7" w:name="_Toc67038952"/>
      <w:r>
        <w:rPr>
          <w:rFonts w:hint="default" w:ascii="Times New Roman" w:hAnsi="Times New Roman" w:cs="Times New Roman"/>
        </w:rPr>
        <w:drawing>
          <wp:inline distT="0" distB="0" distL="114300" distR="114300">
            <wp:extent cx="5885180" cy="8669655"/>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extLst>
                        <a:ext uri="{28A0092B-C50C-407E-A947-70E740481C1C}">
                          <a14:useLocalDpi xmlns:a14="http://schemas.microsoft.com/office/drawing/2010/main" val="0"/>
                        </a:ext>
                      </a:extLst>
                    </a:blip>
                    <a:srcRect l="10931" t="7154" r="10960" b="9143"/>
                    <a:stretch>
                      <a:fillRect/>
                    </a:stretch>
                  </pic:blipFill>
                  <pic:spPr>
                    <a:xfrm>
                      <a:off x="0" y="0"/>
                      <a:ext cx="5885180" cy="8669655"/>
                    </a:xfrm>
                    <a:prstGeom prst="rect">
                      <a:avLst/>
                    </a:prstGeom>
                    <a:ln>
                      <a:noFill/>
                    </a:ln>
                  </pic:spPr>
                </pic:pic>
              </a:graphicData>
            </a:graphic>
          </wp:inline>
        </w:drawing>
      </w:r>
      <w:r>
        <w:rPr>
          <w:rFonts w:hint="default" w:ascii="Times New Roman" w:hAnsi="Times New Roman" w:cs="Times New Roman"/>
        </w:rPr>
        <w:t>前  言</w:t>
      </w:r>
      <w:bookmarkEnd w:id="7"/>
    </w:p>
    <w:p w14:paraId="1E5EEC6F">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color w:val="000000" w:themeColor="text1"/>
          <w:sz w:val="44"/>
          <w:szCs w:val="44"/>
          <w14:textFill>
            <w14:solidFill>
              <w14:schemeClr w14:val="tx1"/>
            </w14:solidFill>
          </w14:textFill>
        </w:rPr>
      </w:pPr>
    </w:p>
    <w:p w14:paraId="42167648">
      <w:pPr>
        <w:ind w:firstLine="640"/>
        <w:rPr>
          <w:rFonts w:hint="default" w:ascii="Times New Roman" w:hAnsi="Times New Roman" w:cs="Times New Roman"/>
        </w:rPr>
      </w:pPr>
      <w:r>
        <w:rPr>
          <w:rFonts w:hint="default" w:ascii="Times New Roman" w:hAnsi="Times New Roman" w:cs="Times New Roman"/>
        </w:rPr>
        <w:t>民营经济是建设中国特色社会主义事业的重要力量，是改革发展的重要支撑，是推动高质量发展的重要主体。数量庞大的民营企业，是维系经济社会发展的重要基础，是厚植民生的土壤。改革开放40多年来，民间投资和民营经济由小到大、由弱变强，已日渐成为推动我国经济发展、优化产业结构、繁荣城乡市场、扩大社会就业的主要力量，是落实“六稳”、“六保”任务的生力军。“十三五”期间，民营经济在国家前所未有的关怀和重视下，在我国经济中的地位和作用超越了以往任何时期，实现了全面转型升级。全社会投资中的民营企业、民间投资已经占60%以上，贡献了50%以上的税收、60%以上的国内生产总值、70%以上的技术创新成果、80%以上的城镇劳动就业和90%以上的企业数量，占我国规模以上工业企业总量超过了80%。在轻纺、食品、电子、机械等普通制造业及制成品等行业已占绝对优势；在重大装备、高技术等高端制造及制成品等行业基本是三分天下，有的甚至是占据半壁江山，为“十四五”高质量发展奠定了良好的基础。</w:t>
      </w:r>
    </w:p>
    <w:p w14:paraId="664276BF">
      <w:pPr>
        <w:ind w:firstLine="640"/>
        <w:rPr>
          <w:rFonts w:hint="default" w:ascii="Times New Roman" w:hAnsi="Times New Roman" w:cs="Times New Roman"/>
        </w:rPr>
      </w:pPr>
      <w:r>
        <w:rPr>
          <w:rFonts w:hint="default" w:ascii="Times New Roman" w:hAnsi="Times New Roman" w:cs="Times New Roman"/>
        </w:rPr>
        <w:t>自2017年发达国家加强对中国的打压，挑起的对华贸易摩擦、科技战、实体清单、涉华法案、对华政治的污名化等手段，明显恶化了“十三五”时期我国发展的国际环境，殃及了企业的发展。“十四五”时期，是世界处于百年未有之大变局的深度改革期、百年未遇的疫情防控影响期与我国实现两个一百年伟大奋斗目标关键期的历史交汇点，也是我国衔接全面建成小康社会和开启社会主义现代化新征程的战略机遇期，厚植工业和信息化高质量发展韧性与活力的关键时期，对民营经济发展也提出前所未有的创新驱动更高要求。面对当前玉溪红塔区工业发展处于爬坡过坎、不进则退、慢进即退，标兵渐远、追兵渐近的关键阶段，编制好《红塔区民营经济“十四五”发展规划（2021-2025年）》，显得尤为重要。</w:t>
      </w:r>
    </w:p>
    <w:p w14:paraId="0E98744A">
      <w:pPr>
        <w:ind w:firstLine="640"/>
        <w:rPr>
          <w:rFonts w:hint="default" w:ascii="Times New Roman" w:hAnsi="Times New Roman" w:cs="Times New Roman"/>
        </w:rPr>
      </w:pPr>
      <w:r>
        <w:rPr>
          <w:rFonts w:hint="default" w:ascii="Times New Roman" w:hAnsi="Times New Roman" w:cs="Times New Roman"/>
        </w:rPr>
        <w:t>本规划编制在红塔区民营经济“十三五”发展回顾、存在问题分析基础上，突出问题导向，针对“十四五”面临的形势，分析红塔区民营经济发展的机遇和挑战，提出红塔区民营经济发展指导思想、发展原则和发展思路，提出2025年发展目标和2035年远景目标，提出产业总体布局，梳理重点产业和主要任务，提出相应政策措施。</w:t>
      </w:r>
    </w:p>
    <w:p w14:paraId="61CE7483">
      <w:pPr>
        <w:widowControl/>
        <w:spacing w:line="0" w:lineRule="atLeast"/>
        <w:ind w:firstLine="0" w:firstLineChars="0"/>
        <w:jc w:val="center"/>
        <w:rPr>
          <w:rFonts w:hint="default" w:ascii="Times New Roman" w:hAnsi="Times New Roman" w:eastAsia="仿宋" w:cs="Times New Roman"/>
          <w:b/>
          <w:color w:val="000000" w:themeColor="text1"/>
          <w:sz w:val="44"/>
          <w:szCs w:val="44"/>
          <w14:textFill>
            <w14:solidFill>
              <w14:schemeClr w14:val="tx1"/>
            </w14:solidFill>
          </w14:textFill>
        </w:rPr>
      </w:pPr>
    </w:p>
    <w:p w14:paraId="6AA25273">
      <w:pPr>
        <w:widowControl/>
        <w:spacing w:line="0" w:lineRule="atLeast"/>
        <w:ind w:firstLine="0" w:firstLineChars="0"/>
        <w:jc w:val="center"/>
        <w:rPr>
          <w:rFonts w:hint="default" w:ascii="Times New Roman" w:hAnsi="Times New Roman" w:eastAsia="仿宋" w:cs="Times New Roman"/>
          <w:b/>
          <w:color w:val="000000" w:themeColor="text1"/>
          <w:sz w:val="44"/>
          <w:szCs w:val="44"/>
          <w14:textFill>
            <w14:solidFill>
              <w14:schemeClr w14:val="tx1"/>
            </w14:solidFill>
          </w14:textFill>
        </w:rPr>
      </w:pPr>
    </w:p>
    <w:p w14:paraId="638309BF">
      <w:pPr>
        <w:widowControl/>
        <w:spacing w:line="0" w:lineRule="atLeast"/>
        <w:ind w:firstLine="0" w:firstLineChars="0"/>
        <w:jc w:val="center"/>
        <w:rPr>
          <w:rFonts w:hint="default" w:ascii="Times New Roman" w:hAnsi="Times New Roman" w:eastAsia="仿宋" w:cs="Times New Roman"/>
          <w:b/>
          <w:color w:val="000000" w:themeColor="text1"/>
          <w:sz w:val="44"/>
          <w:szCs w:val="44"/>
          <w14:textFill>
            <w14:solidFill>
              <w14:schemeClr w14:val="tx1"/>
            </w14:solidFill>
          </w14:textFill>
        </w:rPr>
      </w:pPr>
    </w:p>
    <w:p w14:paraId="60D42585">
      <w:pPr>
        <w:widowControl/>
        <w:spacing w:line="0" w:lineRule="atLeast"/>
        <w:ind w:firstLine="0" w:firstLineChars="0"/>
        <w:jc w:val="center"/>
        <w:rPr>
          <w:rFonts w:hint="default" w:ascii="Times New Roman" w:hAnsi="Times New Roman" w:eastAsia="仿宋" w:cs="Times New Roman"/>
          <w:b/>
          <w:color w:val="000000" w:themeColor="text1"/>
          <w:sz w:val="44"/>
          <w:szCs w:val="44"/>
          <w14:textFill>
            <w14:solidFill>
              <w14:schemeClr w14:val="tx1"/>
            </w14:solidFill>
          </w14:textFill>
        </w:rPr>
      </w:pPr>
    </w:p>
    <w:p w14:paraId="3B1FD34A">
      <w:pPr>
        <w:pStyle w:val="2"/>
        <w:rPr>
          <w:rFonts w:hint="default" w:ascii="Times New Roman" w:hAnsi="Times New Roman" w:cs="Times New Roman"/>
        </w:rPr>
      </w:pPr>
    </w:p>
    <w:p w14:paraId="21AA2269">
      <w:pPr>
        <w:widowControl/>
        <w:spacing w:line="0" w:lineRule="atLeast"/>
        <w:ind w:firstLine="0" w:firstLineChars="0"/>
        <w:jc w:val="center"/>
        <w:rPr>
          <w:rFonts w:hint="default" w:ascii="Times New Roman" w:hAnsi="Times New Roman" w:eastAsia="仿宋" w:cs="Times New Roman"/>
          <w:b/>
          <w:color w:val="000000" w:themeColor="text1"/>
          <w:sz w:val="44"/>
          <w:szCs w:val="44"/>
          <w14:textFill>
            <w14:solidFill>
              <w14:schemeClr w14:val="tx1"/>
            </w14:solidFill>
          </w14:textFill>
        </w:rPr>
      </w:pPr>
    </w:p>
    <w:p w14:paraId="28A77D7D">
      <w:pPr>
        <w:widowControl/>
        <w:spacing w:line="0" w:lineRule="atLeast"/>
        <w:ind w:firstLine="0" w:firstLineChars="0"/>
        <w:jc w:val="center"/>
        <w:rPr>
          <w:rFonts w:hint="default" w:ascii="Times New Roman" w:hAnsi="Times New Roman" w:eastAsia="仿宋" w:cs="Times New Roman"/>
          <w:b/>
          <w:color w:val="000000" w:themeColor="text1"/>
          <w:sz w:val="44"/>
          <w:szCs w:val="44"/>
          <w14:textFill>
            <w14:solidFill>
              <w14:schemeClr w14:val="tx1"/>
            </w14:solidFill>
          </w14:textFill>
        </w:rPr>
      </w:pPr>
    </w:p>
    <w:p w14:paraId="1A461C3D">
      <w:pPr>
        <w:widowControl/>
        <w:spacing w:line="0" w:lineRule="atLeast"/>
        <w:ind w:firstLine="0" w:firstLineChars="0"/>
        <w:jc w:val="center"/>
        <w:rPr>
          <w:rFonts w:hint="default" w:ascii="Times New Roman" w:hAnsi="Times New Roman" w:eastAsia="仿宋" w:cs="Times New Roman"/>
          <w:b/>
          <w:color w:val="000000" w:themeColor="text1"/>
          <w:sz w:val="44"/>
          <w:szCs w:val="44"/>
          <w14:textFill>
            <w14:solidFill>
              <w14:schemeClr w14:val="tx1"/>
            </w14:solidFill>
          </w14:textFill>
        </w:rPr>
      </w:pPr>
    </w:p>
    <w:p w14:paraId="454136A2">
      <w:pPr>
        <w:widowControl/>
        <w:spacing w:line="0" w:lineRule="atLeast"/>
        <w:ind w:firstLine="0" w:firstLineChars="0"/>
        <w:jc w:val="center"/>
        <w:rPr>
          <w:rFonts w:hint="default" w:ascii="Times New Roman" w:hAnsi="Times New Roman" w:eastAsia="仿宋" w:cs="Times New Roman"/>
          <w:b/>
          <w:color w:val="000000" w:themeColor="text1"/>
          <w:sz w:val="44"/>
          <w:szCs w:val="44"/>
          <w14:textFill>
            <w14:solidFill>
              <w14:schemeClr w14:val="tx1"/>
            </w14:solidFill>
          </w14:textFill>
        </w:rPr>
      </w:pPr>
    </w:p>
    <w:p w14:paraId="601CBDDE">
      <w:pPr>
        <w:widowControl/>
        <w:spacing w:line="0" w:lineRule="atLeast"/>
        <w:ind w:firstLine="0" w:firstLineChars="0"/>
        <w:jc w:val="center"/>
        <w:rPr>
          <w:rFonts w:hint="default" w:ascii="Times New Roman" w:hAnsi="Times New Roman" w:eastAsia="仿宋" w:cs="Times New Roman"/>
          <w:b/>
          <w:color w:val="000000" w:themeColor="text1"/>
          <w:sz w:val="44"/>
          <w:szCs w:val="44"/>
          <w14:textFill>
            <w14:solidFill>
              <w14:schemeClr w14:val="tx1"/>
            </w14:solidFill>
          </w14:textFill>
        </w:rPr>
      </w:pPr>
    </w:p>
    <w:p w14:paraId="0680DAF2">
      <w:pPr>
        <w:pStyle w:val="2"/>
        <w:rPr>
          <w:rFonts w:hint="default"/>
        </w:rPr>
      </w:pPr>
    </w:p>
    <w:p w14:paraId="6E10A941">
      <w:pPr>
        <w:pStyle w:val="18"/>
        <w:rPr>
          <w:rFonts w:hint="default" w:ascii="Times New Roman" w:hAnsi="Times New Roman" w:cs="Times New Roman"/>
        </w:rPr>
      </w:pPr>
      <w:bookmarkStart w:id="8" w:name="_Toc66712357"/>
      <w:bookmarkStart w:id="9" w:name="_Toc67038953"/>
      <w:r>
        <w:rPr>
          <w:rFonts w:hint="default" w:ascii="Times New Roman" w:hAnsi="Times New Roman" w:cs="Times New Roman"/>
        </w:rPr>
        <w:t>编制主要依据</w:t>
      </w:r>
      <w:bookmarkEnd w:id="8"/>
      <w:bookmarkEnd w:id="9"/>
    </w:p>
    <w:p w14:paraId="3BAF48C3">
      <w:pPr>
        <w:widowControl/>
        <w:spacing w:line="0" w:lineRule="atLeast"/>
        <w:ind w:firstLine="0" w:firstLineChars="0"/>
        <w:jc w:val="center"/>
        <w:rPr>
          <w:rFonts w:hint="default" w:ascii="Times New Roman" w:hAnsi="Times New Roman" w:eastAsia="仿宋" w:cs="Times New Roman"/>
          <w:b/>
          <w:color w:val="000000" w:themeColor="text1"/>
          <w:sz w:val="44"/>
          <w:szCs w:val="44"/>
          <w14:textFill>
            <w14:solidFill>
              <w14:schemeClr w14:val="tx1"/>
            </w14:solidFill>
          </w14:textFill>
        </w:rPr>
      </w:pPr>
    </w:p>
    <w:p w14:paraId="43CF1A3A">
      <w:pPr>
        <w:ind w:firstLine="640"/>
        <w:rPr>
          <w:rFonts w:hint="default" w:ascii="Times New Roman" w:hAnsi="Times New Roman" w:cs="Times New Roman"/>
        </w:rPr>
      </w:pPr>
      <w:r>
        <w:rPr>
          <w:rFonts w:hint="default" w:ascii="Times New Roman" w:hAnsi="Times New Roman" w:cs="Times New Roman"/>
        </w:rPr>
        <w:t>1、《中华人民共和国中小企业促进法》</w:t>
      </w:r>
    </w:p>
    <w:p w14:paraId="0FF14064">
      <w:pPr>
        <w:ind w:firstLine="640"/>
        <w:rPr>
          <w:rFonts w:hint="default" w:ascii="Times New Roman" w:hAnsi="Times New Roman" w:cs="Times New Roman"/>
        </w:rPr>
      </w:pPr>
      <w:r>
        <w:rPr>
          <w:rFonts w:hint="default" w:ascii="Times New Roman" w:hAnsi="Times New Roman" w:cs="Times New Roman"/>
        </w:rPr>
        <w:t>2、《习近平总书记在民营企业座谈会上的讲话》</w:t>
      </w:r>
    </w:p>
    <w:p w14:paraId="30C791BD">
      <w:pPr>
        <w:ind w:firstLine="640"/>
        <w:rPr>
          <w:rFonts w:hint="default" w:ascii="Times New Roman" w:hAnsi="Times New Roman" w:cs="Times New Roman"/>
        </w:rPr>
      </w:pPr>
      <w:r>
        <w:rPr>
          <w:rFonts w:hint="default" w:ascii="Times New Roman" w:hAnsi="Times New Roman" w:cs="Times New Roman"/>
        </w:rPr>
        <w:t>3、《中共中央关于制定国民经济和社会发展第十四个五年规划和二〇三五年远景目标的建议》</w:t>
      </w:r>
    </w:p>
    <w:p w14:paraId="748C6C55">
      <w:pPr>
        <w:ind w:firstLine="640"/>
        <w:rPr>
          <w:rFonts w:hint="default" w:ascii="Times New Roman" w:hAnsi="Times New Roman" w:cs="Times New Roman"/>
        </w:rPr>
      </w:pPr>
      <w:r>
        <w:rPr>
          <w:rFonts w:hint="default" w:ascii="Times New Roman" w:hAnsi="Times New Roman" w:cs="Times New Roman"/>
        </w:rPr>
        <w:t>4、中共中央 国务院《关于新时代推进西部大开发形成新格局的指导意见》</w:t>
      </w:r>
    </w:p>
    <w:p w14:paraId="5AFAFACA">
      <w:pPr>
        <w:ind w:firstLine="640"/>
        <w:rPr>
          <w:rFonts w:hint="default" w:ascii="Times New Roman" w:hAnsi="Times New Roman" w:cs="Times New Roman"/>
        </w:rPr>
      </w:pPr>
      <w:r>
        <w:rPr>
          <w:rFonts w:hint="default" w:ascii="Times New Roman" w:hAnsi="Times New Roman" w:cs="Times New Roman"/>
        </w:rPr>
        <w:t>5、中共中央 国务院《关于营造更好发展环境支持民营企业改革发展的意见》</w:t>
      </w:r>
      <w:r>
        <w:rPr>
          <w:rFonts w:hint="default" w:ascii="Times New Roman" w:hAnsi="Times New Roman" w:eastAsia="楷体" w:cs="Times New Roman"/>
          <w:shd w:val="clear" w:color="auto" w:fill="FFFFFF"/>
        </w:rPr>
        <w:t>（2019年12月4日）</w:t>
      </w:r>
    </w:p>
    <w:p w14:paraId="334025A8">
      <w:pPr>
        <w:ind w:firstLine="640"/>
        <w:rPr>
          <w:rFonts w:hint="default" w:ascii="Times New Roman" w:hAnsi="Times New Roman" w:cs="Times New Roman"/>
        </w:rPr>
      </w:pPr>
      <w:r>
        <w:rPr>
          <w:rFonts w:hint="default" w:ascii="Times New Roman" w:hAnsi="Times New Roman" w:cs="Times New Roman"/>
        </w:rPr>
        <w:t>6、国务院《关于促进国家高新技术产业开发区高质量发展的若干意见》（国发〔2020〕7号）</w:t>
      </w:r>
    </w:p>
    <w:p w14:paraId="40DBF2D6">
      <w:pPr>
        <w:ind w:firstLine="640"/>
        <w:rPr>
          <w:rFonts w:hint="default" w:ascii="Times New Roman" w:hAnsi="Times New Roman" w:cs="Times New Roman"/>
        </w:rPr>
      </w:pPr>
      <w:r>
        <w:rPr>
          <w:rFonts w:hint="default" w:ascii="Times New Roman" w:hAnsi="Times New Roman" w:cs="Times New Roman"/>
        </w:rPr>
        <w:t>7、中共中央办公厅 国务院办公厅《关于促进中小企业健康发展的指导意见》</w:t>
      </w:r>
    </w:p>
    <w:p w14:paraId="2ABF644E">
      <w:pPr>
        <w:ind w:firstLine="640"/>
        <w:rPr>
          <w:rFonts w:hint="default" w:ascii="Times New Roman" w:hAnsi="Times New Roman" w:cs="Times New Roman"/>
        </w:rPr>
      </w:pPr>
      <w:r>
        <w:rPr>
          <w:rFonts w:hint="default" w:ascii="Times New Roman" w:hAnsi="Times New Roman" w:cs="Times New Roman"/>
        </w:rPr>
        <w:t>8、</w:t>
      </w:r>
      <w:r>
        <w:rPr>
          <w:rFonts w:hint="default" w:ascii="Times New Roman" w:hAnsi="Times New Roman" w:cs="Times New Roman"/>
          <w:bCs/>
        </w:rPr>
        <w:t>国务院</w:t>
      </w:r>
      <w:r>
        <w:rPr>
          <w:rFonts w:hint="default" w:ascii="Times New Roman" w:hAnsi="Times New Roman" w:cs="Times New Roman"/>
        </w:rPr>
        <w:t>《</w:t>
      </w:r>
      <w:r>
        <w:rPr>
          <w:rFonts w:hint="default" w:ascii="Times New Roman" w:hAnsi="Times New Roman" w:cs="Times New Roman"/>
          <w:bCs/>
        </w:rPr>
        <w:t>关于推进国家级经济技术开发区创新提升打造改革开放新高地的意见</w:t>
      </w:r>
      <w:r>
        <w:rPr>
          <w:rFonts w:hint="default" w:ascii="Times New Roman" w:hAnsi="Times New Roman" w:cs="Times New Roman"/>
        </w:rPr>
        <w:t>》（国发〔2019〕11号）</w:t>
      </w:r>
    </w:p>
    <w:p w14:paraId="00323081">
      <w:pPr>
        <w:ind w:firstLine="640"/>
        <w:rPr>
          <w:rFonts w:hint="default" w:ascii="Times New Roman" w:hAnsi="Times New Roman" w:cs="Times New Roman"/>
        </w:rPr>
      </w:pPr>
      <w:r>
        <w:rPr>
          <w:rFonts w:hint="default" w:ascii="Times New Roman" w:hAnsi="Times New Roman" w:cs="Times New Roman"/>
        </w:rPr>
        <w:t>9、国家税务总局《关于实施进一步支持和服务民营经济发展若干措施的通知》（税总发</w:t>
      </w:r>
      <w:r>
        <w:rPr>
          <w:rFonts w:hint="default" w:ascii="Times New Roman" w:hAnsi="Times New Roman" w:eastAsia="宋体" w:cs="Times New Roman"/>
        </w:rPr>
        <w:t>〔</w:t>
      </w:r>
      <w:r>
        <w:rPr>
          <w:rFonts w:hint="default" w:ascii="Times New Roman" w:hAnsi="Times New Roman" w:cs="Times New Roman"/>
        </w:rPr>
        <w:t>2018</w:t>
      </w:r>
      <w:r>
        <w:rPr>
          <w:rFonts w:hint="default" w:ascii="Times New Roman" w:hAnsi="Times New Roman" w:eastAsia="宋体" w:cs="Times New Roman"/>
        </w:rPr>
        <w:t>〕</w:t>
      </w:r>
      <w:r>
        <w:rPr>
          <w:rFonts w:hint="default" w:ascii="Times New Roman" w:hAnsi="Times New Roman" w:cs="Times New Roman"/>
        </w:rPr>
        <w:t xml:space="preserve">174号） </w:t>
      </w:r>
    </w:p>
    <w:p w14:paraId="1E22EB7C">
      <w:pPr>
        <w:ind w:firstLine="640"/>
        <w:rPr>
          <w:rFonts w:hint="default" w:ascii="Times New Roman" w:hAnsi="Times New Roman" w:cs="Times New Roman"/>
        </w:rPr>
      </w:pPr>
      <w:r>
        <w:rPr>
          <w:rFonts w:hint="default" w:ascii="Times New Roman" w:hAnsi="Times New Roman" w:cs="Times New Roman"/>
        </w:rPr>
        <w:t>10、《工业和信息化部关于工业大数据发展的指导意见》（工信部信发〔2020〕67号）</w:t>
      </w:r>
    </w:p>
    <w:p w14:paraId="33019986">
      <w:pPr>
        <w:ind w:firstLine="640"/>
        <w:rPr>
          <w:rFonts w:hint="default" w:ascii="Times New Roman" w:hAnsi="Times New Roman" w:cs="Times New Roman"/>
        </w:rPr>
      </w:pPr>
      <w:r>
        <w:rPr>
          <w:rFonts w:hint="default" w:ascii="Times New Roman" w:hAnsi="Times New Roman" w:cs="Times New Roman"/>
        </w:rPr>
        <w:t>11、《中共云南省委 云南省人民政府关于 &lt;云南省各类开发区优化提升总体方案&gt;的通知》（云委发</w:t>
      </w:r>
      <w:r>
        <w:rPr>
          <w:rFonts w:hint="default" w:ascii="Times New Roman" w:hAnsi="Times New Roman" w:eastAsia="宋体" w:cs="Times New Roman"/>
        </w:rPr>
        <w:t>〔</w:t>
      </w:r>
      <w:r>
        <w:rPr>
          <w:rFonts w:hint="default" w:ascii="Times New Roman" w:hAnsi="Times New Roman" w:cs="Times New Roman"/>
        </w:rPr>
        <w:t>2020</w:t>
      </w:r>
      <w:r>
        <w:rPr>
          <w:rFonts w:hint="default" w:ascii="Times New Roman" w:hAnsi="Times New Roman" w:eastAsia="宋体" w:cs="Times New Roman"/>
        </w:rPr>
        <w:t>〕</w:t>
      </w:r>
      <w:r>
        <w:rPr>
          <w:rFonts w:hint="default" w:ascii="Times New Roman" w:hAnsi="Times New Roman" w:cs="Times New Roman"/>
        </w:rPr>
        <w:t>287号）</w:t>
      </w:r>
    </w:p>
    <w:p w14:paraId="0BFF64B8">
      <w:pPr>
        <w:ind w:firstLine="640"/>
        <w:rPr>
          <w:rFonts w:hint="default" w:ascii="Times New Roman" w:hAnsi="Times New Roman" w:cs="Times New Roman"/>
        </w:rPr>
      </w:pPr>
      <w:r>
        <w:rPr>
          <w:rFonts w:hint="default" w:ascii="Times New Roman" w:hAnsi="Times New Roman" w:cs="Times New Roman"/>
        </w:rPr>
        <w:t>12、《中共云南省委 云南省人民政府关于加快构建现代化产业体系的决定》</w:t>
      </w:r>
    </w:p>
    <w:p w14:paraId="7FA2D959">
      <w:pPr>
        <w:ind w:firstLine="640"/>
        <w:rPr>
          <w:rFonts w:hint="default" w:ascii="Times New Roman" w:hAnsi="Times New Roman" w:cs="Times New Roman"/>
        </w:rPr>
      </w:pPr>
      <w:r>
        <w:rPr>
          <w:rFonts w:hint="default" w:ascii="Times New Roman" w:hAnsi="Times New Roman" w:cs="Times New Roman"/>
        </w:rPr>
        <w:t>13、《云南省人民政府关于印发云南省支持烟草产业高质量发展若干政策措施的通知》（云政发〔2019〕22号）</w:t>
      </w:r>
    </w:p>
    <w:p w14:paraId="0C994423">
      <w:pPr>
        <w:ind w:firstLine="640"/>
        <w:rPr>
          <w:rFonts w:hint="default" w:ascii="Times New Roman" w:hAnsi="Times New Roman" w:cs="Times New Roman"/>
        </w:rPr>
      </w:pPr>
      <w:r>
        <w:rPr>
          <w:rFonts w:hint="default" w:ascii="Times New Roman" w:hAnsi="Times New Roman" w:cs="Times New Roman"/>
        </w:rPr>
        <w:t>14、《云南省人民政府关于加快生物医药产业高质量发展的若干意见》（云政发〔2019〕26号）</w:t>
      </w:r>
    </w:p>
    <w:p w14:paraId="11D9A725">
      <w:pPr>
        <w:ind w:firstLine="640"/>
        <w:rPr>
          <w:rFonts w:hint="default" w:ascii="Times New Roman" w:hAnsi="Times New Roman" w:cs="Times New Roman"/>
        </w:rPr>
      </w:pPr>
      <w:r>
        <w:rPr>
          <w:rFonts w:hint="default" w:ascii="Times New Roman" w:hAnsi="Times New Roman" w:cs="Times New Roman"/>
        </w:rPr>
        <w:t>15、云南省人民政府印发《关于支持实体经济发展的若干措施》的通知（云政发〔2020〕11号）</w:t>
      </w:r>
    </w:p>
    <w:p w14:paraId="084C719E">
      <w:pPr>
        <w:ind w:firstLine="640"/>
        <w:rPr>
          <w:rFonts w:hint="default" w:ascii="Times New Roman" w:hAnsi="Times New Roman" w:cs="Times New Roman"/>
        </w:rPr>
      </w:pPr>
      <w:r>
        <w:rPr>
          <w:rFonts w:hint="default" w:ascii="Times New Roman" w:hAnsi="Times New Roman" w:cs="Times New Roman"/>
        </w:rPr>
        <w:t>16、云南省人民政府关于印发《产业发展“双百”工程实施方案》的通知（云政发〔2020〕18号）</w:t>
      </w:r>
    </w:p>
    <w:p w14:paraId="2F313B79">
      <w:pPr>
        <w:ind w:firstLine="640"/>
        <w:rPr>
          <w:rFonts w:hint="default" w:ascii="Times New Roman" w:hAnsi="Times New Roman" w:cs="Times New Roman"/>
        </w:rPr>
      </w:pPr>
      <w:bookmarkStart w:id="10" w:name="_Hlk63334212"/>
      <w:r>
        <w:rPr>
          <w:rFonts w:hint="default" w:ascii="Times New Roman" w:hAnsi="Times New Roman" w:cs="Times New Roman"/>
        </w:rPr>
        <w:t>17、中共云南省委 云南省人民政府《关于营造企业家健康成长环境 弘扬优秀企业家精神 更好发挥企业家作用的实施意见》（云发〔2018〕29号）</w:t>
      </w:r>
    </w:p>
    <w:bookmarkEnd w:id="10"/>
    <w:p w14:paraId="1A0F1668">
      <w:pPr>
        <w:ind w:firstLine="640"/>
        <w:rPr>
          <w:rFonts w:hint="default" w:ascii="Times New Roman" w:hAnsi="Times New Roman" w:cs="Times New Roman"/>
        </w:rPr>
      </w:pPr>
      <w:bookmarkStart w:id="11" w:name="_Hlk63333825"/>
      <w:r>
        <w:rPr>
          <w:rFonts w:hint="default" w:ascii="Times New Roman" w:hAnsi="Times New Roman" w:cs="Times New Roman"/>
        </w:rPr>
        <w:t>18、云南省委、省政府出台了《中共云南省委云南省人民政府关于支持民营经济高质量发展的若干意见》（云发〔2019〕3号）</w:t>
      </w:r>
    </w:p>
    <w:p w14:paraId="025D91BF">
      <w:pPr>
        <w:ind w:firstLine="640"/>
        <w:rPr>
          <w:rFonts w:hint="default" w:ascii="Times New Roman" w:hAnsi="Times New Roman" w:cs="Times New Roman"/>
        </w:rPr>
      </w:pPr>
      <w:r>
        <w:rPr>
          <w:rFonts w:hint="default" w:ascii="Times New Roman" w:hAnsi="Times New Roman" w:cs="Times New Roman"/>
        </w:rPr>
        <w:t>19、云南省人民政府印发《滇中城市群发展规划》的通知（云政发〔2020〕19号）</w:t>
      </w:r>
    </w:p>
    <w:bookmarkEnd w:id="11"/>
    <w:p w14:paraId="0A866DEB">
      <w:pPr>
        <w:ind w:firstLine="640"/>
        <w:rPr>
          <w:rFonts w:hint="default" w:ascii="Times New Roman" w:hAnsi="Times New Roman" w:cs="Times New Roman"/>
        </w:rPr>
      </w:pPr>
      <w:r>
        <w:rPr>
          <w:rFonts w:hint="default" w:ascii="Times New Roman" w:hAnsi="Times New Roman" w:cs="Times New Roman"/>
        </w:rPr>
        <w:t>20、《中共云南省委关于制定云南省国民经济和社会发展第十四个五年规划和二〇三五年远景目标的建议》（2020年12月10日中国共产党云南省第十届委员会第十一次全体会议通过）</w:t>
      </w:r>
    </w:p>
    <w:p w14:paraId="299F1640">
      <w:pPr>
        <w:ind w:firstLine="640"/>
        <w:rPr>
          <w:rFonts w:hint="default" w:ascii="Times New Roman" w:hAnsi="Times New Roman" w:cs="Times New Roman"/>
        </w:rPr>
      </w:pPr>
      <w:r>
        <w:rPr>
          <w:rFonts w:hint="default" w:ascii="Times New Roman" w:hAnsi="Times New Roman" w:cs="Times New Roman"/>
        </w:rPr>
        <w:t>21、云南省人民政府《关于印发云南省国民经济和社会发展第十四个五年规划和二〇三五年远景目标纲要的通知》（云政发〔2021〕4号）</w:t>
      </w:r>
    </w:p>
    <w:p w14:paraId="5FF5A041">
      <w:pPr>
        <w:ind w:firstLine="640"/>
        <w:rPr>
          <w:rFonts w:hint="default" w:ascii="Times New Roman" w:hAnsi="Times New Roman" w:cs="Times New Roman"/>
        </w:rPr>
      </w:pPr>
      <w:bookmarkStart w:id="12" w:name="_Hlk63334431"/>
      <w:r>
        <w:rPr>
          <w:rFonts w:hint="default" w:ascii="Times New Roman" w:hAnsi="Times New Roman" w:cs="Times New Roman"/>
        </w:rPr>
        <w:t>22、中共云南省委 云南省人民政府《关于营造更好发展环境支持民营企业改革发展的实施意见》</w:t>
      </w:r>
    </w:p>
    <w:bookmarkEnd w:id="12"/>
    <w:p w14:paraId="633A10BB">
      <w:pPr>
        <w:ind w:firstLine="640"/>
        <w:rPr>
          <w:rFonts w:hint="default" w:ascii="Times New Roman" w:hAnsi="Times New Roman" w:cs="Times New Roman"/>
        </w:rPr>
      </w:pPr>
      <w:r>
        <w:rPr>
          <w:rFonts w:hint="default" w:ascii="Times New Roman" w:hAnsi="Times New Roman" w:cs="Times New Roman"/>
        </w:rPr>
        <w:t>23、《云南省促进民营经济暨中小企业发展工作领导小组关于印发云南省贯彻落实促进中小企业健康发展指导意见的工作措施的通知》（云民营〔2020〕1号）</w:t>
      </w:r>
    </w:p>
    <w:p w14:paraId="2A04C21C">
      <w:pPr>
        <w:ind w:firstLine="640"/>
        <w:rPr>
          <w:rFonts w:hint="default" w:ascii="Times New Roman" w:hAnsi="Times New Roman" w:cs="Times New Roman"/>
        </w:rPr>
      </w:pPr>
      <w:r>
        <w:rPr>
          <w:rFonts w:hint="default" w:ascii="Times New Roman" w:hAnsi="Times New Roman" w:cs="Times New Roman"/>
        </w:rPr>
        <w:t>24、云南省人民政府正式印发了《云南省人民政府关于促进经济平稳健康发展22条措施的意见》（云政发〔2021〕2号）</w:t>
      </w:r>
    </w:p>
    <w:p w14:paraId="5DEF0D12">
      <w:pPr>
        <w:ind w:firstLine="640"/>
        <w:rPr>
          <w:rFonts w:hint="default" w:ascii="Times New Roman" w:hAnsi="Times New Roman" w:cs="Times New Roman"/>
        </w:rPr>
      </w:pPr>
      <w:r>
        <w:rPr>
          <w:rFonts w:hint="default" w:ascii="Times New Roman" w:hAnsi="Times New Roman" w:cs="Times New Roman"/>
        </w:rPr>
        <w:t>25、云南省财政厅 国家税务总局云南省税务局《关于贯彻落实支持民营经济发展税收优惠政策的通知》（云财税〔2018〕60号）</w:t>
      </w:r>
    </w:p>
    <w:p w14:paraId="6F46704F">
      <w:pPr>
        <w:ind w:firstLine="640"/>
        <w:rPr>
          <w:rFonts w:hint="default" w:ascii="Times New Roman" w:hAnsi="Times New Roman" w:cs="Times New Roman"/>
        </w:rPr>
      </w:pPr>
      <w:r>
        <w:rPr>
          <w:rFonts w:hint="default" w:ascii="Times New Roman" w:hAnsi="Times New Roman" w:cs="Times New Roman"/>
        </w:rPr>
        <w:t>26、中共云南省委办公厅 云南省人民政府办公厅印发《关于促进民营经济健康发展10条措施》《关于进一步改善民营经济发展法治环境10条措施》的通知（云办发〔2017〕47号）</w:t>
      </w:r>
    </w:p>
    <w:p w14:paraId="4714EAF6">
      <w:pPr>
        <w:ind w:firstLine="640"/>
        <w:rPr>
          <w:rFonts w:hint="default" w:ascii="Times New Roman" w:hAnsi="Times New Roman" w:cs="Times New Roman"/>
        </w:rPr>
      </w:pPr>
      <w:bookmarkStart w:id="13" w:name="_Hlk63334904"/>
      <w:r>
        <w:rPr>
          <w:rFonts w:hint="default" w:ascii="Times New Roman" w:hAnsi="Times New Roman" w:cs="Times New Roman"/>
        </w:rPr>
        <w:t>27、《云南省人民政府关于印发云南省支持烟草产业高质量发展若干政策措施的通知》（云政发〔2019〕22号）</w:t>
      </w:r>
    </w:p>
    <w:bookmarkEnd w:id="13"/>
    <w:p w14:paraId="228E7561">
      <w:pPr>
        <w:ind w:firstLine="640"/>
        <w:rPr>
          <w:rFonts w:hint="default" w:ascii="Times New Roman" w:hAnsi="Times New Roman" w:cs="Times New Roman"/>
        </w:rPr>
      </w:pPr>
      <w:r>
        <w:rPr>
          <w:rFonts w:hint="default" w:ascii="Times New Roman" w:hAnsi="Times New Roman" w:cs="Times New Roman"/>
        </w:rPr>
        <w:t>28、《云南省工业和信息化厅关于加快云南省烟草行业数字化转型发展指导意见的通知》（云工信信产〔2020〕147号）</w:t>
      </w:r>
    </w:p>
    <w:p w14:paraId="143712DB">
      <w:pPr>
        <w:ind w:firstLine="640"/>
        <w:rPr>
          <w:rFonts w:hint="default" w:ascii="Times New Roman" w:hAnsi="Times New Roman" w:cs="Times New Roman"/>
        </w:rPr>
      </w:pPr>
      <w:bookmarkStart w:id="14" w:name="_Hlk63335003"/>
      <w:r>
        <w:rPr>
          <w:rFonts w:hint="default" w:ascii="Times New Roman" w:hAnsi="Times New Roman" w:cs="Times New Roman"/>
        </w:rPr>
        <w:t>29、《云南省人民政府关于加快生物医药产业高质量发展的若干意见》（云政发〔2019〕26号）</w:t>
      </w:r>
    </w:p>
    <w:bookmarkEnd w:id="14"/>
    <w:p w14:paraId="0C952622">
      <w:pPr>
        <w:ind w:firstLine="640"/>
        <w:rPr>
          <w:rFonts w:hint="default" w:ascii="Times New Roman" w:hAnsi="Times New Roman" w:cs="Times New Roman"/>
        </w:rPr>
      </w:pPr>
      <w:bookmarkStart w:id="15" w:name="_Hlk63335385"/>
      <w:r>
        <w:rPr>
          <w:rFonts w:hint="default" w:ascii="Times New Roman" w:hAnsi="Times New Roman" w:cs="Times New Roman"/>
        </w:rPr>
        <w:t>30、《云南省工业和信息化厅关于转发建材工业智能制造数字转型行动计划（2021-2023年）的通知》（云工信〔2021〕9号）</w:t>
      </w:r>
    </w:p>
    <w:bookmarkEnd w:id="15"/>
    <w:p w14:paraId="5FA8E301">
      <w:pPr>
        <w:ind w:firstLine="640"/>
        <w:rPr>
          <w:rFonts w:hint="default" w:ascii="Times New Roman" w:hAnsi="Times New Roman" w:cs="Times New Roman"/>
        </w:rPr>
      </w:pPr>
      <w:r>
        <w:rPr>
          <w:rFonts w:hint="default" w:ascii="Times New Roman" w:hAnsi="Times New Roman" w:cs="Times New Roman"/>
        </w:rPr>
        <w:t>31、云南省科技厅印发《关于支持玉溪市开展国家创新型城市建设的实施意见》的通知</w:t>
      </w:r>
    </w:p>
    <w:p w14:paraId="49965F6C">
      <w:pPr>
        <w:ind w:firstLine="640"/>
        <w:rPr>
          <w:rFonts w:hint="default" w:ascii="Times New Roman" w:hAnsi="Times New Roman" w:cs="Times New Roman"/>
        </w:rPr>
      </w:pPr>
      <w:bookmarkStart w:id="16" w:name="_Hlk63335816"/>
      <w:r>
        <w:rPr>
          <w:rFonts w:hint="default" w:ascii="Times New Roman" w:hAnsi="Times New Roman" w:cs="Times New Roman"/>
        </w:rPr>
        <w:t>32、中共玉溪市委 玉溪市人民政府《关于支持民营经济高质量发展的实施意见》（玉发〔2019〕8 号）</w:t>
      </w:r>
    </w:p>
    <w:bookmarkEnd w:id="16"/>
    <w:p w14:paraId="6760E9E4">
      <w:pPr>
        <w:ind w:firstLine="640"/>
        <w:rPr>
          <w:rFonts w:hint="default" w:ascii="Times New Roman" w:hAnsi="Times New Roman" w:cs="Times New Roman"/>
        </w:rPr>
      </w:pPr>
      <w:bookmarkStart w:id="17" w:name="_Hlk63336151"/>
      <w:r>
        <w:rPr>
          <w:rFonts w:hint="default" w:ascii="Times New Roman" w:hAnsi="Times New Roman" w:cs="Times New Roman"/>
        </w:rPr>
        <w:t>33、中共玉溪市委全面深化改革委员会关于印发《玉溪市营造企业家健康成长环境弘扬优秀企业家精神更好发挥企业家作用的实施细则》的通知（玉改委发〔2019〕7号）</w:t>
      </w:r>
    </w:p>
    <w:bookmarkEnd w:id="17"/>
    <w:p w14:paraId="22491668">
      <w:pPr>
        <w:ind w:firstLine="640"/>
        <w:rPr>
          <w:rFonts w:hint="default" w:ascii="Times New Roman" w:hAnsi="Times New Roman" w:cs="Times New Roman"/>
          <w:bCs/>
        </w:rPr>
      </w:pPr>
      <w:r>
        <w:rPr>
          <w:rFonts w:hint="default" w:ascii="Times New Roman" w:hAnsi="Times New Roman" w:cs="Times New Roman"/>
        </w:rPr>
        <w:t>34、玉溪市</w:t>
      </w:r>
      <w:r>
        <w:rPr>
          <w:rFonts w:hint="default" w:ascii="Times New Roman" w:hAnsi="Times New Roman" w:cs="Times New Roman"/>
          <w:bCs/>
        </w:rPr>
        <w:t>《关于加快生物医药产业高质量发展的实施意见》（玉政发〔2020〕6号）</w:t>
      </w:r>
    </w:p>
    <w:p w14:paraId="6EF3A38E">
      <w:pPr>
        <w:ind w:firstLine="640"/>
        <w:rPr>
          <w:rFonts w:hint="default" w:ascii="Times New Roman" w:hAnsi="Times New Roman" w:cs="Times New Roman"/>
          <w:bCs/>
        </w:rPr>
      </w:pPr>
      <w:r>
        <w:rPr>
          <w:rFonts w:hint="default" w:ascii="Times New Roman" w:hAnsi="Times New Roman" w:cs="Times New Roman"/>
          <w:bCs/>
        </w:rPr>
        <w:t>35、《玉溪市工业和信息化局关于推动工业经济高质量发展的实施方案》（玉工信〔2019〕84号）</w:t>
      </w:r>
    </w:p>
    <w:p w14:paraId="05E5BEBB">
      <w:pPr>
        <w:ind w:firstLine="640"/>
        <w:rPr>
          <w:rFonts w:hint="default" w:ascii="Times New Roman" w:hAnsi="Times New Roman" w:cs="Times New Roman"/>
          <w:bCs/>
        </w:rPr>
      </w:pPr>
      <w:r>
        <w:rPr>
          <w:rFonts w:hint="default" w:ascii="Times New Roman" w:hAnsi="Times New Roman" w:cs="Times New Roman"/>
          <w:bCs/>
        </w:rPr>
        <w:t>36、《玉溪市发展工业互联网三年行动计划》（2020—2022年）（玉政办通〔2020〕6号）</w:t>
      </w:r>
    </w:p>
    <w:p w14:paraId="5F3CB29C">
      <w:pPr>
        <w:ind w:firstLine="640"/>
        <w:rPr>
          <w:rFonts w:hint="default" w:ascii="Times New Roman" w:hAnsi="Times New Roman" w:cs="Times New Roman"/>
          <w:bCs/>
        </w:rPr>
      </w:pPr>
      <w:r>
        <w:rPr>
          <w:rFonts w:hint="default" w:ascii="Times New Roman" w:hAnsi="Times New Roman" w:cs="Times New Roman"/>
          <w:bCs/>
        </w:rPr>
        <w:t>37、《玉溪市数字经济发展规划（2020—2025年）》（玉政办通〔2020〕6号）</w:t>
      </w:r>
    </w:p>
    <w:p w14:paraId="7724EB9E">
      <w:pPr>
        <w:ind w:firstLine="640"/>
        <w:rPr>
          <w:rFonts w:hint="default" w:ascii="Times New Roman" w:hAnsi="Times New Roman" w:cs="Times New Roman"/>
          <w:bCs/>
        </w:rPr>
      </w:pPr>
      <w:r>
        <w:rPr>
          <w:rFonts w:hint="default" w:ascii="Times New Roman" w:hAnsi="Times New Roman" w:cs="Times New Roman"/>
          <w:bCs/>
        </w:rPr>
        <w:t>38、《玉溪市支持数字经济发展7条措施》（玉政办通〔2020〕6号）</w:t>
      </w:r>
    </w:p>
    <w:p w14:paraId="0A6AB108">
      <w:pPr>
        <w:ind w:firstLine="640"/>
        <w:rPr>
          <w:rFonts w:hint="default" w:ascii="Times New Roman" w:hAnsi="Times New Roman" w:cs="Times New Roman"/>
          <w:bCs/>
        </w:rPr>
      </w:pPr>
      <w:r>
        <w:rPr>
          <w:rFonts w:hint="default" w:ascii="Times New Roman" w:hAnsi="Times New Roman" w:cs="Times New Roman"/>
          <w:bCs/>
        </w:rPr>
        <w:t>39、《玉溪市数控机床产业发展规划（2018-2025）》（玉发改规划复〔2019〕25号）</w:t>
      </w:r>
    </w:p>
    <w:p w14:paraId="60454E63">
      <w:pPr>
        <w:ind w:firstLine="640"/>
        <w:rPr>
          <w:rFonts w:hint="default" w:ascii="Times New Roman" w:hAnsi="Times New Roman" w:cs="Times New Roman"/>
        </w:rPr>
      </w:pPr>
      <w:r>
        <w:rPr>
          <w:rFonts w:hint="default" w:ascii="Times New Roman" w:hAnsi="Times New Roman" w:cs="Times New Roman"/>
        </w:rPr>
        <w:t>40、《中共玉溪市委关于制定玉溪市国民经济和社会发展第十四个五年规划和二○三五年远景目标的建议》（玉发〔2020〕10 号）</w:t>
      </w:r>
    </w:p>
    <w:p w14:paraId="4382602F">
      <w:pPr>
        <w:ind w:firstLine="640"/>
        <w:rPr>
          <w:rFonts w:hint="default" w:ascii="Times New Roman" w:hAnsi="Times New Roman" w:cs="Times New Roman"/>
        </w:rPr>
      </w:pPr>
      <w:r>
        <w:rPr>
          <w:rFonts w:hint="default" w:ascii="Times New Roman" w:hAnsi="Times New Roman" w:cs="Times New Roman"/>
        </w:rPr>
        <w:t>41、《中共玉溪市委关于制定玉溪市国民经济和社会发展第十四个五年规划和二○三五年远景目标的建议》（玉发〔2020〕10 号）</w:t>
      </w:r>
    </w:p>
    <w:p w14:paraId="31E7392B">
      <w:pPr>
        <w:ind w:firstLine="640"/>
        <w:rPr>
          <w:rFonts w:hint="default" w:ascii="Times New Roman" w:hAnsi="Times New Roman" w:cs="Times New Roman"/>
        </w:rPr>
      </w:pPr>
      <w:r>
        <w:rPr>
          <w:rFonts w:hint="default" w:ascii="Times New Roman" w:hAnsi="Times New Roman" w:cs="Times New Roman"/>
        </w:rPr>
        <w:t>42、《玉溪市重点产业投资促进优惠政策（试行）》（玉政办通〔2020〕27号）</w:t>
      </w:r>
    </w:p>
    <w:p w14:paraId="57494A59">
      <w:pPr>
        <w:ind w:firstLine="640"/>
        <w:rPr>
          <w:rFonts w:hint="default" w:ascii="Times New Roman" w:hAnsi="Times New Roman" w:cs="Times New Roman"/>
        </w:rPr>
      </w:pPr>
      <w:r>
        <w:rPr>
          <w:rFonts w:hint="default" w:ascii="Times New Roman" w:hAnsi="Times New Roman" w:cs="Times New Roman"/>
        </w:rPr>
        <w:t>43、《市委五届十二次全会第一次全体会议上关于玉溪市国民经济和社会发展第十四个五年规划和二0三五年远景目标建议的报告》</w:t>
      </w:r>
    </w:p>
    <w:p w14:paraId="4449FD5B">
      <w:pPr>
        <w:ind w:firstLine="640"/>
        <w:rPr>
          <w:rFonts w:hint="default" w:ascii="Times New Roman" w:hAnsi="Times New Roman" w:cs="Times New Roman"/>
        </w:rPr>
      </w:pPr>
      <w:r>
        <w:rPr>
          <w:rFonts w:hint="default" w:ascii="Times New Roman" w:hAnsi="Times New Roman" w:cs="Times New Roman"/>
        </w:rPr>
        <w:t>44、2021年市委经济工作会议精神</w:t>
      </w:r>
    </w:p>
    <w:p w14:paraId="12E4C452">
      <w:pPr>
        <w:ind w:firstLine="640"/>
        <w:rPr>
          <w:rFonts w:hint="default" w:ascii="Times New Roman" w:hAnsi="Times New Roman" w:cs="Times New Roman"/>
        </w:rPr>
      </w:pPr>
      <w:r>
        <w:rPr>
          <w:rFonts w:hint="default" w:ascii="Times New Roman" w:hAnsi="Times New Roman" w:cs="Times New Roman"/>
        </w:rPr>
        <w:t>45、中共玉溪市委 玉溪市人民政府关于贯彻落实《中共云南省委、云南省人民政府关于加快构建现代化产业体系的决定》的实施意见（玉发〔2021〕2 号）</w:t>
      </w:r>
    </w:p>
    <w:p w14:paraId="339C256D">
      <w:pPr>
        <w:ind w:firstLine="640"/>
        <w:rPr>
          <w:rFonts w:hint="default" w:ascii="Times New Roman" w:hAnsi="Times New Roman" w:cs="Times New Roman"/>
        </w:rPr>
      </w:pPr>
      <w:r>
        <w:rPr>
          <w:rFonts w:hint="default" w:ascii="Times New Roman" w:hAnsi="Times New Roman" w:cs="Times New Roman"/>
        </w:rPr>
        <w:t>46、中共玉溪市红塔区委　玉溪市红塔区人民政府关于印发《玉溪市红塔区加快招商引资工作发展的实施意见》和《玉溪市红塔区重点产业招商引资若干优惠政策》的通知（玉红发〔2017〕25号）</w:t>
      </w:r>
    </w:p>
    <w:p w14:paraId="3B94CE11">
      <w:pPr>
        <w:ind w:firstLine="640"/>
        <w:rPr>
          <w:rFonts w:hint="default" w:ascii="Times New Roman" w:hAnsi="Times New Roman" w:cs="Times New Roman"/>
        </w:rPr>
      </w:pPr>
      <w:r>
        <w:rPr>
          <w:rFonts w:hint="default" w:ascii="Times New Roman" w:hAnsi="Times New Roman" w:cs="Times New Roman"/>
        </w:rPr>
        <w:t>47、《玉溪市红塔区服务经济倍增计划2019年工作方案的通知》（玉红政办发〔2019〕21号）</w:t>
      </w:r>
    </w:p>
    <w:p w14:paraId="1FA35275">
      <w:pPr>
        <w:ind w:firstLine="640"/>
        <w:rPr>
          <w:rFonts w:hint="default" w:ascii="Times New Roman" w:hAnsi="Times New Roman" w:cs="Times New Roman"/>
        </w:rPr>
      </w:pPr>
      <w:r>
        <w:rPr>
          <w:rFonts w:hint="default" w:ascii="Times New Roman" w:hAnsi="Times New Roman" w:cs="Times New Roman"/>
        </w:rPr>
        <w:t>48、《红塔区加快数字经济发展的实施意见（2020—2022）的通知》</w:t>
      </w:r>
      <w:bookmarkStart w:id="18" w:name="_Hlk57559103"/>
      <w:r>
        <w:rPr>
          <w:rFonts w:hint="default" w:ascii="Times New Roman" w:hAnsi="Times New Roman" w:cs="Times New Roman"/>
        </w:rPr>
        <w:t>（玉红办发〔2020〕12号）</w:t>
      </w:r>
      <w:bookmarkEnd w:id="18"/>
    </w:p>
    <w:p w14:paraId="3E3EA8EC">
      <w:pPr>
        <w:ind w:firstLine="883"/>
        <w:rPr>
          <w:rFonts w:hint="default" w:ascii="Times New Roman" w:hAnsi="Times New Roman" w:eastAsia="仿宋" w:cs="Times New Roman"/>
          <w:b/>
          <w:color w:val="000000" w:themeColor="text1"/>
          <w:sz w:val="44"/>
          <w:szCs w:val="44"/>
          <w14:textFill>
            <w14:solidFill>
              <w14:schemeClr w14:val="tx1"/>
            </w14:solidFill>
          </w14:textFill>
        </w:rPr>
        <w:sectPr>
          <w:footerReference r:id="rId10" w:type="default"/>
          <w:pgSz w:w="11906" w:h="16838"/>
          <w:pgMar w:top="1440" w:right="1588" w:bottom="1440" w:left="1588" w:header="851" w:footer="992" w:gutter="0"/>
          <w:pgNumType w:fmt="lowerRoman" w:start="1"/>
          <w:cols w:space="425" w:num="1"/>
          <w:docGrid w:linePitch="435" w:charSpace="0"/>
        </w:sectPr>
      </w:pPr>
      <w:r>
        <w:rPr>
          <w:rFonts w:hint="default" w:ascii="Times New Roman" w:hAnsi="Times New Roman" w:eastAsia="仿宋" w:cs="Times New Roman"/>
          <w:b/>
          <w:color w:val="000000" w:themeColor="text1"/>
          <w:sz w:val="44"/>
          <w:szCs w:val="44"/>
          <w14:textFill>
            <w14:solidFill>
              <w14:schemeClr w14:val="tx1"/>
            </w14:solidFill>
          </w14:textFill>
        </w:rPr>
        <w:br w:type="page"/>
      </w:r>
    </w:p>
    <w:p w14:paraId="73977B03">
      <w:pPr>
        <w:pStyle w:val="18"/>
        <w:rPr>
          <w:rFonts w:hint="default" w:ascii="Times New Roman" w:hAnsi="Times New Roman" w:eastAsia="仿宋" w:cs="Times New Roman"/>
        </w:rPr>
      </w:pPr>
      <w:bookmarkStart w:id="19" w:name="_Toc67038954"/>
      <w:bookmarkStart w:id="20" w:name="_Toc66712358"/>
      <w:r>
        <w:rPr>
          <w:rFonts w:hint="default" w:ascii="Times New Roman" w:hAnsi="Times New Roman" w:cs="Times New Roman"/>
        </w:rPr>
        <w:t>目 录</w:t>
      </w:r>
      <w:bookmarkEnd w:id="19"/>
      <w:bookmarkEnd w:id="20"/>
    </w:p>
    <w:sdt>
      <w:sdtPr>
        <w:rPr>
          <w:rFonts w:hint="default" w:ascii="Times New Roman" w:hAnsi="Times New Roman" w:eastAsia="仿宋" w:cs="Times New Roman"/>
          <w:color w:val="auto"/>
          <w:kern w:val="32"/>
          <w:szCs w:val="22"/>
          <w:lang w:val="zh-CN"/>
        </w:rPr>
        <w:id w:val="-546756771"/>
        <w:docPartObj>
          <w:docPartGallery w:val="Table of Contents"/>
          <w:docPartUnique/>
        </w:docPartObj>
      </w:sdtPr>
      <w:sdtEndPr>
        <w:rPr>
          <w:rFonts w:hint="default" w:ascii="Times New Roman" w:hAnsi="Times New Roman" w:eastAsia="仿宋" w:cs="Times New Roman"/>
          <w:bCs/>
          <w:color w:val="000000" w:themeColor="text1"/>
          <w:kern w:val="32"/>
          <w:szCs w:val="22"/>
          <w:lang w:val="zh-CN"/>
          <w14:textFill>
            <w14:solidFill>
              <w14:schemeClr w14:val="tx1"/>
            </w14:solidFill>
          </w14:textFill>
        </w:rPr>
      </w:sdtEndPr>
      <w:sdtContent>
        <w:p w14:paraId="017EFE70">
          <w:pPr>
            <w:pStyle w:val="61"/>
            <w:rPr>
              <w:rFonts w:hint="default" w:ascii="Times New Roman" w:hAnsi="Times New Roman" w:cs="Times New Roman"/>
              <w:sz w:val="24"/>
            </w:rPr>
          </w:pPr>
        </w:p>
        <w:p w14:paraId="05AF1790">
          <w:pPr>
            <w:pStyle w:val="14"/>
            <w:rPr>
              <w:rFonts w:hint="default" w:ascii="Times New Roman" w:hAnsi="Times New Roman" w:cs="Times New Roman" w:eastAsiaTheme="minorEastAsia"/>
              <w:kern w:val="2"/>
              <w:sz w:val="28"/>
              <w:szCs w:val="28"/>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TOC \o "1-3" \h \z \u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"_Toc67038952"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前  言</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_Toc67038952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i</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6004B9EB">
          <w:pPr>
            <w:pStyle w:val="14"/>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"_Toc67038953"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编制主要依据</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_Toc67038953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iii</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0FC3BF9D">
          <w:pPr>
            <w:pStyle w:val="14"/>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"_Toc67038954"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目 录</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_Toc67038954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ix</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4DE38E4B">
          <w:pPr>
            <w:pStyle w:val="14"/>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"_Toc67038955"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第一章 “十三五”发展回顾</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_Toc67038955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16B2FBD6">
          <w:pPr>
            <w:pStyle w:val="14"/>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"_Toc67038956"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第一节 发展成效</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_Toc67038956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5FF07F7D">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"_Toc67038957"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一、总量规模持续稳增长</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_Toc67038957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182E0B10">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"_Toc67038958"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二、产业结构持续性优化</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_Toc67038958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51C41EBB">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"_Toc67038959"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三、重点产业优强化发展</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_Toc67038959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451B2FA2">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"_Toc67038960"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四、供给侧改革成效显著</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_Toc67038960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5B9813D9">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"_Toc67038961"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五、创新实力显著在提升</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_Toc67038961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4</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75CAF6D1">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"_Toc67038962"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六、企业竞争力优势凸显</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_Toc67038962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6</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6F4D88B8">
          <w:pPr>
            <w:pStyle w:val="14"/>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"_Toc67038963"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第二节 “十三五”目标完成情况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_Toc67038963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7</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1FAD772D">
          <w:pPr>
            <w:pStyle w:val="14"/>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"_Toc67038964"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第三节 存在问题</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_Toc67038964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8</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3900DAAB">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"_Toc67038965"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一、要素保障不力</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_Toc67038965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8</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57E3EDF8">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"_Toc67038966"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二、区属占比过小</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_Toc67038966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8</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19DC4C42">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"_Toc67038967"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三、发展后劲不足</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_Toc67038967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9</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3D815212">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"_Toc67038968"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四、求变意识不强</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_Toc67038968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9</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0DD380B0">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"_Toc67038969"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五、人才短缺流失</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_Toc67038969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10</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6398BAA1">
          <w:pPr>
            <w:pStyle w:val="14"/>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"_Toc67038970"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第二章 “十四五”面临的形势</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_Toc67038970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10</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3EC7FFFB">
          <w:pPr>
            <w:pStyle w:val="14"/>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"_Toc67038971"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第一节 形势研判</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_Toc67038971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10</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7AD9285A">
          <w:pPr>
            <w:pStyle w:val="14"/>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"_Toc67038972"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第二节 发展机遇</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_Toc67038972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12</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45527CE1">
          <w:pPr>
            <w:pStyle w:val="14"/>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"_Toc67038973"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第三章 指导思想、发展原则与发展思路</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_Toc67038973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13</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4D8E65D3">
          <w:pPr>
            <w:pStyle w:val="14"/>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"_Toc67038974"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第一节 指导思想</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_Toc67038974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13</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3D534B62">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"_Toc67038975"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一、坚持新发展理念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_Toc67038975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14</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79C06E21">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"_Toc67038976"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二、着力于创新驱动</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_Toc67038976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14</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6671640A">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"_Toc67038977"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三、深化供给侧改革</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_Toc67038977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14</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3D8BB4CE">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"_Toc67038978"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四、推动创业+兴业</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_Toc67038978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15</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368DF280">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"_Toc67038979"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五、绿色发展为主线</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_Toc67038979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15</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4DAE1AB2">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"_Toc67038980"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六、改善发展软环境</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_Toc67038980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15</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6A526470">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"_Toc67038981"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七、实体经济为抓手</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_Toc67038981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16</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6F01FD1F">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"_Toc67038982"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八、建设产业链体系</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_Toc67038982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16</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67B6CD2C">
          <w:pPr>
            <w:pStyle w:val="14"/>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"_Toc67038983"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第三节 发展思路</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_Toc67038983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17</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098029F1">
          <w:pPr>
            <w:pStyle w:val="14"/>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"_Toc67038984"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第四章 发展目标</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_Toc67038984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18</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24298CDC">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"_Toc67038985"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一、总体目标</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_Toc67038985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18</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235FA122">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"_Toc67038986"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二、远景目标</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_Toc67038986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19</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033754C9">
          <w:pPr>
            <w:pStyle w:val="14"/>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"_Toc67038987"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第五章 总体布局</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_Toc67038987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20</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03D74DEC">
          <w:pPr>
            <w:pStyle w:val="14"/>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"_Toc67038988"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第六章 重点产业</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_Toc67038988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21</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3B927970">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"_Toc67038989"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一、卷烟配套产业</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_Toc67038989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21</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33A92514">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"_Toc67038990"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二、先进装备制造业</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_Toc67038990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22</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328A6C97">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"_Toc67038991"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三、钢铁及压延加工产业</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_Toc67038991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23</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6431EA72">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"_Toc67038992"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四、光电子新材料新能源产业</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_Toc67038992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23</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78C6E4B6">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"_Toc67038993"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五、生物医药及医疗器械产业</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_Toc67038993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24</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18C8FDA9">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"_Toc67038994"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六、现代建材产业</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_Toc67038994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24</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306D9A18">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"_Toc67038995"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七、绿色食品加工业</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_Toc67038995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25</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3C30E975">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"_Toc67038996"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八、数字经济</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_Toc67038996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26</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11DE0C6F">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"_Toc67038997"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九、现代物流业和服务业</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_Toc67038997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27</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36E808A2">
          <w:pPr>
            <w:pStyle w:val="14"/>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"_Toc67038998"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第七章 主要任务</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_Toc67038998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27</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3CDCAEB6">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"_Toc67038999"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一、并举做优存量扩充增量</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_Toc67038999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27</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0AB83269">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"_Toc67039000"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二、着力创新驱动提升动能</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_Toc67039000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28</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61A476BC">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"_Toc67039001"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三、培育壮大专精特新规模</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_Toc67039001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28</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723E1C97">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"_Toc67039002"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四、降低民营企业运营成本</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_Toc67039002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29</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3AEB6C38">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"_Toc67039003"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五、鼓励项目提升品牌打造</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_Toc67039003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29</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615D065C">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"_Toc67039004"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六、促进民营企业高质发展</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_Toc67039004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30</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0F6D7918">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"_Toc67039005"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七、加强工业园区提档建设</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_Toc67039005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30</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5A65CC44">
          <w:pPr>
            <w:pStyle w:val="14"/>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"_Toc67039006"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第八章 政策措施</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_Toc67039006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31</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5BB0E27B">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"_Toc67039007"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一、加强组织领导</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_Toc67039007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31</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5535A19A">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"_Toc67039008"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二、打造聚集高地</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_Toc67039008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32</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6D7AC108">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"_Toc67039009"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三、广辟投资渠道</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_Toc67039009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32</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1527EF00">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"_Toc67039010"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四、拓宽融资渠道</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_Toc67039010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33</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762DB22A">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"_Toc67039011"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五、做强创新集群</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_Toc67039011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34</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7F7DF63E">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"_Toc67039012"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六、完善支撑体系</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_Toc67039012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35</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4F225B5C">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"_Toc67039013"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七、加强运行监测</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_Toc67039013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36</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47E55D5C">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"_Toc67039014"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八、优化营商环境</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_Toc67039014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37</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031724AC">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"_Toc67039015"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九、推进绿色发展</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_Toc67039015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37</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530866E8">
          <w:pPr>
            <w:pStyle w:val="16"/>
            <w:rPr>
              <w:rFonts w:hint="default" w:ascii="Times New Roman" w:hAnsi="Times New Roman" w:cs="Times New Roman" w:eastAsiaTheme="minorEastAsia"/>
              <w:kern w:val="2"/>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"_Toc67039016" </w:instrText>
          </w:r>
          <w:r>
            <w:rPr>
              <w:rFonts w:hint="default" w:ascii="Times New Roman" w:hAnsi="Times New Roman" w:cs="Times New Roman"/>
            </w:rPr>
            <w:fldChar w:fldCharType="separate"/>
          </w:r>
          <w:r>
            <w:rPr>
              <w:rStyle w:val="25"/>
              <w:rFonts w:hint="default" w:ascii="Times New Roman" w:hAnsi="Times New Roman" w:cs="Times New Roman"/>
              <w:sz w:val="28"/>
              <w:szCs w:val="28"/>
            </w:rPr>
            <w:t>十、强化人才保障</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_Toc67039016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38</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668DE557">
          <w:pPr>
            <w:pStyle w:val="14"/>
            <w:spacing w:line="36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lang w:val="zh-CN"/>
              <w14:textFill>
                <w14:solidFill>
                  <w14:schemeClr w14:val="tx1"/>
                </w14:solidFill>
              </w14:textFill>
            </w:rPr>
            <w:fldChar w:fldCharType="end"/>
          </w:r>
        </w:p>
      </w:sdtContent>
    </w:sdt>
    <w:p w14:paraId="1E103C48">
      <w:pPr>
        <w:widowControl/>
        <w:spacing w:line="0" w:lineRule="atLeast"/>
        <w:ind w:firstLine="0" w:firstLineChars="0"/>
        <w:jc w:val="center"/>
        <w:rPr>
          <w:rFonts w:hint="default" w:ascii="Times New Roman" w:hAnsi="Times New Roman" w:eastAsia="仿宋" w:cs="Times New Roman"/>
          <w:b/>
          <w:color w:val="000000" w:themeColor="text1"/>
          <w:sz w:val="24"/>
          <w14:textFill>
            <w14:solidFill>
              <w14:schemeClr w14:val="tx1"/>
            </w14:solidFill>
          </w14:textFill>
        </w:rPr>
        <w:sectPr>
          <w:footerReference r:id="rId11" w:type="first"/>
          <w:pgSz w:w="11906" w:h="16838"/>
          <w:pgMar w:top="1440" w:right="1588" w:bottom="1440" w:left="1588" w:header="851" w:footer="992" w:gutter="0"/>
          <w:pgNumType w:fmt="lowerRoman" w:start="9"/>
          <w:cols w:space="425" w:num="1"/>
          <w:docGrid w:linePitch="435" w:charSpace="0"/>
        </w:sectPr>
      </w:pPr>
    </w:p>
    <w:p w14:paraId="001389BE">
      <w:pPr>
        <w:pStyle w:val="18"/>
        <w:rPr>
          <w:rFonts w:hint="default" w:ascii="Times New Roman" w:hAnsi="Times New Roman" w:cs="Times New Roman"/>
        </w:rPr>
      </w:pPr>
      <w:bookmarkStart w:id="21" w:name="_Toc67038955"/>
      <w:r>
        <w:rPr>
          <w:rFonts w:hint="default" w:ascii="Times New Roman" w:hAnsi="Times New Roman" w:cs="Times New Roman"/>
        </w:rPr>
        <w:t>第一章 “十三五”发展回顾</w:t>
      </w:r>
      <w:bookmarkEnd w:id="21"/>
    </w:p>
    <w:p w14:paraId="1FD2C9CA">
      <w:pPr>
        <w:pStyle w:val="4"/>
        <w:rPr>
          <w:rFonts w:hint="default" w:ascii="Times New Roman" w:hAnsi="Times New Roman" w:cs="Times New Roman"/>
        </w:rPr>
      </w:pPr>
      <w:bookmarkStart w:id="22" w:name="_Toc67038956"/>
      <w:r>
        <w:rPr>
          <w:rFonts w:hint="default" w:ascii="Times New Roman" w:hAnsi="Times New Roman" w:cs="Times New Roman"/>
        </w:rPr>
        <w:t>第一节 发展成效</w:t>
      </w:r>
      <w:bookmarkEnd w:id="22"/>
    </w:p>
    <w:p w14:paraId="31023D65">
      <w:pPr>
        <w:ind w:firstLine="640"/>
        <w:rPr>
          <w:rFonts w:hint="default" w:ascii="Times New Roman" w:hAnsi="Times New Roman" w:cs="Times New Roman"/>
        </w:rPr>
      </w:pPr>
      <w:r>
        <w:rPr>
          <w:rFonts w:hint="default" w:ascii="Times New Roman" w:hAnsi="Times New Roman" w:cs="Times New Roman"/>
        </w:rPr>
        <w:t>“十三五”时期，红塔区民营经济面对全球经济低迷、国内新常态下深度转型调整等严峻形势，红塔</w:t>
      </w:r>
      <w:r>
        <w:rPr>
          <w:rFonts w:hint="eastAsia" w:cs="Times New Roman"/>
          <w:lang w:eastAsia="zh-CN"/>
        </w:rPr>
        <w:t>区委</w:t>
      </w:r>
      <w:r>
        <w:rPr>
          <w:rFonts w:hint="default" w:ascii="Times New Roman" w:hAnsi="Times New Roman" w:cs="Times New Roman"/>
        </w:rPr>
        <w:t>、区政府科学应对，坚持供给侧结构性改革主线，立足科教引领创新发展，坚定不移地实施“生态立区、产业强区、创新活区、开放兴区”战略，出台36条稳增长政策、实施振兴实体经济行动计划，建立工业项目投资优化奖补机制，以及企业扩销促产、化解过剩产能、破解融资用地瓶颈等精准措施，积极主动作为，加快产业结构调整步伐，不断推进经济发展方式转变，优化民间投资和企业经营发展环境，破解发展难题，为全力打好民营经济、县域经济、园区经济“三大战役”提供了有力保障，促进了全区民营经济总量规模持续稳增长，民营经济增加值增速保持高于全区生产总值增速，比重不断提升的要求。</w:t>
      </w:r>
    </w:p>
    <w:p w14:paraId="43B6FC45">
      <w:pPr>
        <w:pStyle w:val="5"/>
        <w:spacing w:before="240" w:after="240"/>
        <w:rPr>
          <w:rFonts w:hint="default" w:ascii="Times New Roman" w:hAnsi="Times New Roman" w:cs="Times New Roman"/>
        </w:rPr>
      </w:pPr>
      <w:bookmarkStart w:id="23" w:name="_Toc67038957"/>
      <w:r>
        <w:rPr>
          <w:rFonts w:hint="default" w:ascii="Times New Roman" w:hAnsi="Times New Roman" w:cs="Times New Roman"/>
        </w:rPr>
        <w:t>一、</w:t>
      </w:r>
      <w:bookmarkStart w:id="24" w:name="_Hlk55074954"/>
      <w:r>
        <w:rPr>
          <w:rFonts w:hint="default" w:ascii="Times New Roman" w:hAnsi="Times New Roman" w:cs="Times New Roman"/>
        </w:rPr>
        <w:t>总量规模持续稳增长</w:t>
      </w:r>
      <w:bookmarkEnd w:id="23"/>
      <w:bookmarkEnd w:id="24"/>
    </w:p>
    <w:p w14:paraId="5C9BF3AF">
      <w:pPr>
        <w:ind w:firstLine="640"/>
        <w:rPr>
          <w:rFonts w:hint="default" w:ascii="Times New Roman" w:hAnsi="Times New Roman" w:cs="Times New Roman"/>
        </w:rPr>
      </w:pPr>
      <w:r>
        <w:rPr>
          <w:rFonts w:hint="default" w:ascii="Times New Roman" w:hAnsi="Times New Roman" w:cs="Times New Roman"/>
        </w:rPr>
        <w:t>“十三五”时期，民营经济增加值持续增长，由2016年的206.35亿元，增长至2019年279.90亿元，</w:t>
      </w:r>
      <w:bookmarkStart w:id="25" w:name="_Hlk53510469"/>
      <w:r>
        <w:rPr>
          <w:rFonts w:hint="default" w:ascii="Times New Roman" w:hAnsi="Times New Roman" w:cs="Times New Roman"/>
        </w:rPr>
        <w:t>年均增速10.70%</w:t>
      </w:r>
      <w:bookmarkEnd w:id="25"/>
      <w:r>
        <w:rPr>
          <w:rFonts w:hint="default" w:ascii="Times New Roman" w:hAnsi="Times New Roman" w:cs="Times New Roman"/>
        </w:rPr>
        <w:t>，是2015年的1.53倍；占</w:t>
      </w:r>
      <w:bookmarkStart w:id="26" w:name="_Hlk53501363"/>
      <w:r>
        <w:rPr>
          <w:rFonts w:hint="default" w:ascii="Times New Roman" w:hAnsi="Times New Roman" w:cs="Times New Roman"/>
        </w:rPr>
        <w:t>全区GDP的比重由2016年的29.39%提高到2019年的33.28%</w:t>
      </w:r>
      <w:bookmarkEnd w:id="26"/>
      <w:r>
        <w:rPr>
          <w:rFonts w:hint="default" w:ascii="Times New Roman" w:hAnsi="Times New Roman" w:cs="Times New Roman"/>
        </w:rPr>
        <w:t>，占区属GDP的比重由2016年的56.99%提高到2019年的61.45%。2020年，在遭受突如其来的新冠疫情及世界处于百年不遇之大变局的影响下，民营经济增加值达到291.07亿元，增长按可比价计算，扭负为正，同比增长1.00%，占全区生产总值的比重为32.70%，民营经济较好支撑了红塔区经济社会的发展。</w:t>
      </w:r>
    </w:p>
    <w:p w14:paraId="2F1E3290">
      <w:pPr>
        <w:pStyle w:val="5"/>
        <w:spacing w:before="240" w:after="240"/>
        <w:rPr>
          <w:rFonts w:hint="default" w:ascii="Times New Roman" w:hAnsi="Times New Roman" w:cs="Times New Roman"/>
        </w:rPr>
      </w:pPr>
      <w:bookmarkStart w:id="27" w:name="_Toc67038958"/>
      <w:r>
        <w:rPr>
          <w:rFonts w:hint="default" w:ascii="Times New Roman" w:hAnsi="Times New Roman" w:cs="Times New Roman"/>
        </w:rPr>
        <w:t>二、产业结构</w:t>
      </w:r>
      <w:bookmarkStart w:id="28" w:name="_Hlk57280961"/>
      <w:r>
        <w:rPr>
          <w:rFonts w:hint="default" w:ascii="Times New Roman" w:hAnsi="Times New Roman" w:cs="Times New Roman"/>
        </w:rPr>
        <w:t>持续性优化</w:t>
      </w:r>
      <w:bookmarkEnd w:id="27"/>
    </w:p>
    <w:bookmarkEnd w:id="28"/>
    <w:p w14:paraId="6BD7CBE0">
      <w:pPr>
        <w:ind w:firstLine="640"/>
        <w:rPr>
          <w:rFonts w:hint="default" w:ascii="Times New Roman" w:hAnsi="Times New Roman" w:cs="Times New Roman"/>
        </w:rPr>
      </w:pPr>
      <w:r>
        <w:rPr>
          <w:rFonts w:hint="default" w:ascii="Times New Roman" w:hAnsi="Times New Roman" w:cs="Times New Roman"/>
        </w:rPr>
        <w:t>“十三五”时期，民营经济增加值持续增长，民营经济三次产业占比保持了第三产业</w:t>
      </w:r>
      <w:r>
        <w:rPr>
          <w:rFonts w:hint="default" w:ascii="Times New Roman" w:hAnsi="Times New Roman" w:eastAsia="宋体" w:cs="Times New Roman"/>
        </w:rPr>
        <w:t>＞第</w:t>
      </w:r>
      <w:r>
        <w:rPr>
          <w:rFonts w:hint="default" w:ascii="Times New Roman" w:hAnsi="Times New Roman" w:cs="Times New Roman"/>
        </w:rPr>
        <w:t>二产业＞第一产业的优化态势，第三产业民营经济增加值对红塔区经济发展的支撑优势突显（表1 民营经济三次产业分布）。</w:t>
      </w:r>
    </w:p>
    <w:p w14:paraId="59B1EC69">
      <w:pPr>
        <w:spacing w:before="100" w:beforeAutospacing="1" w:line="0" w:lineRule="atLeast"/>
        <w:ind w:firstLine="0" w:firstLineChars="0"/>
        <w:jc w:val="center"/>
        <w:rPr>
          <w:rFonts w:hint="default" w:ascii="Times New Roman" w:hAnsi="Times New Roman" w:cs="Times New Roman"/>
          <w:b/>
          <w:bCs/>
          <w:color w:val="000000" w:themeColor="text1"/>
          <w14:textFill>
            <w14:solidFill>
              <w14:schemeClr w14:val="tx1"/>
            </w14:solidFill>
          </w14:textFill>
        </w:rPr>
      </w:pPr>
      <w:bookmarkStart w:id="29" w:name="_Hlk57298371"/>
      <w:r>
        <w:rPr>
          <w:rFonts w:hint="default" w:ascii="Times New Roman" w:hAnsi="Times New Roman" w:cs="Times New Roman"/>
          <w:b/>
          <w:bCs/>
          <w:color w:val="000000" w:themeColor="text1"/>
          <w14:textFill>
            <w14:solidFill>
              <w14:schemeClr w14:val="tx1"/>
            </w14:solidFill>
          </w14:textFill>
        </w:rPr>
        <w:t>表1           民营经济三次产业分布（亿元）</w:t>
      </w:r>
    </w:p>
    <w:bookmarkEnd w:id="29"/>
    <w:tbl>
      <w:tblPr>
        <w:tblStyle w:val="20"/>
        <w:tblW w:w="921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256"/>
        <w:gridCol w:w="993"/>
        <w:gridCol w:w="993"/>
        <w:gridCol w:w="993"/>
        <w:gridCol w:w="993"/>
        <w:gridCol w:w="993"/>
        <w:gridCol w:w="994"/>
      </w:tblGrid>
      <w:tr w14:paraId="14EC2DF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1" w:hRule="atLeast"/>
          <w:jc w:val="center"/>
        </w:trPr>
        <w:tc>
          <w:tcPr>
            <w:tcW w:w="3256" w:type="dxa"/>
            <w:shd w:val="clear" w:color="auto" w:fill="auto"/>
            <w:noWrap/>
            <w:vAlign w:val="center"/>
          </w:tcPr>
          <w:p w14:paraId="13516A50">
            <w:pPr>
              <w:widowControl/>
              <w:spacing w:line="0" w:lineRule="atLeast"/>
              <w:ind w:firstLine="0" w:firstLineChars="0"/>
              <w:jc w:val="left"/>
              <w:rPr>
                <w:rFonts w:hint="default" w:ascii="Times New Roman" w:hAnsi="Times New Roman" w:cs="Times New Roman"/>
                <w:color w:val="000000" w:themeColor="text1"/>
                <w:kern w:val="0"/>
                <w:sz w:val="21"/>
                <w:szCs w:val="21"/>
                <w14:textFill>
                  <w14:solidFill>
                    <w14:schemeClr w14:val="tx1"/>
                  </w14:solidFill>
                </w14:textFill>
              </w:rPr>
            </w:pPr>
          </w:p>
        </w:tc>
        <w:tc>
          <w:tcPr>
            <w:tcW w:w="993" w:type="dxa"/>
            <w:shd w:val="clear" w:color="auto" w:fill="auto"/>
            <w:noWrap/>
            <w:vAlign w:val="center"/>
          </w:tcPr>
          <w:p w14:paraId="6AE586B3">
            <w:pPr>
              <w:widowControl/>
              <w:spacing w:line="0" w:lineRule="atLeast"/>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2015年</w:t>
            </w:r>
          </w:p>
        </w:tc>
        <w:tc>
          <w:tcPr>
            <w:tcW w:w="993" w:type="dxa"/>
            <w:shd w:val="clear" w:color="auto" w:fill="auto"/>
            <w:noWrap/>
            <w:vAlign w:val="center"/>
          </w:tcPr>
          <w:p w14:paraId="323EA07F">
            <w:pPr>
              <w:widowControl/>
              <w:spacing w:line="0" w:lineRule="atLeast"/>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2016年</w:t>
            </w:r>
          </w:p>
        </w:tc>
        <w:tc>
          <w:tcPr>
            <w:tcW w:w="993" w:type="dxa"/>
            <w:shd w:val="clear" w:color="auto" w:fill="auto"/>
            <w:noWrap/>
            <w:vAlign w:val="center"/>
          </w:tcPr>
          <w:p w14:paraId="780B5077">
            <w:pPr>
              <w:widowControl/>
              <w:spacing w:line="0" w:lineRule="atLeast"/>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2017年</w:t>
            </w:r>
          </w:p>
        </w:tc>
        <w:tc>
          <w:tcPr>
            <w:tcW w:w="993" w:type="dxa"/>
            <w:shd w:val="clear" w:color="auto" w:fill="auto"/>
            <w:noWrap/>
            <w:vAlign w:val="center"/>
          </w:tcPr>
          <w:p w14:paraId="164C9898">
            <w:pPr>
              <w:widowControl/>
              <w:spacing w:line="0" w:lineRule="atLeast"/>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2018年</w:t>
            </w:r>
          </w:p>
        </w:tc>
        <w:tc>
          <w:tcPr>
            <w:tcW w:w="993" w:type="dxa"/>
            <w:shd w:val="clear" w:color="auto" w:fill="auto"/>
            <w:noWrap/>
            <w:vAlign w:val="center"/>
          </w:tcPr>
          <w:p w14:paraId="519BC7C0">
            <w:pPr>
              <w:widowControl/>
              <w:spacing w:line="0" w:lineRule="atLeast"/>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2019年</w:t>
            </w:r>
          </w:p>
        </w:tc>
        <w:tc>
          <w:tcPr>
            <w:tcW w:w="994" w:type="dxa"/>
            <w:shd w:val="clear" w:color="auto" w:fill="auto"/>
            <w:noWrap/>
            <w:vAlign w:val="center"/>
          </w:tcPr>
          <w:p w14:paraId="7D2E9425">
            <w:pPr>
              <w:widowControl/>
              <w:spacing w:line="0" w:lineRule="atLeast"/>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2020年</w:t>
            </w:r>
          </w:p>
        </w:tc>
      </w:tr>
      <w:tr w14:paraId="2EE3E53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3256" w:type="dxa"/>
            <w:shd w:val="clear" w:color="auto" w:fill="auto"/>
            <w:noWrap/>
            <w:vAlign w:val="center"/>
          </w:tcPr>
          <w:p w14:paraId="492CACA0">
            <w:pPr>
              <w:widowControl/>
              <w:spacing w:line="0" w:lineRule="atLeast"/>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民营经济</w:t>
            </w:r>
            <w:bookmarkStart w:id="30" w:name="_Hlk64304723"/>
            <w:r>
              <w:rPr>
                <w:rFonts w:hint="default" w:ascii="Times New Roman" w:hAnsi="Times New Roman" w:cs="Times New Roman"/>
                <w:color w:val="000000" w:themeColor="text1"/>
                <w:sz w:val="21"/>
                <w:szCs w:val="21"/>
                <w14:textFill>
                  <w14:solidFill>
                    <w14:schemeClr w14:val="tx1"/>
                  </w14:solidFill>
                </w14:textFill>
              </w:rPr>
              <w:t>增加值</w:t>
            </w:r>
            <w:bookmarkEnd w:id="30"/>
          </w:p>
        </w:tc>
        <w:tc>
          <w:tcPr>
            <w:tcW w:w="993" w:type="dxa"/>
            <w:shd w:val="clear" w:color="auto" w:fill="auto"/>
            <w:noWrap/>
            <w:vAlign w:val="center"/>
          </w:tcPr>
          <w:p w14:paraId="436FE5C7">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183.31</w:t>
            </w:r>
          </w:p>
        </w:tc>
        <w:tc>
          <w:tcPr>
            <w:tcW w:w="993" w:type="dxa"/>
            <w:shd w:val="clear" w:color="auto" w:fill="auto"/>
            <w:noWrap/>
            <w:vAlign w:val="center"/>
          </w:tcPr>
          <w:p w14:paraId="721AAFE6">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206.35</w:t>
            </w:r>
          </w:p>
        </w:tc>
        <w:tc>
          <w:tcPr>
            <w:tcW w:w="993" w:type="dxa"/>
            <w:shd w:val="clear" w:color="auto" w:fill="auto"/>
            <w:noWrap/>
            <w:vAlign w:val="center"/>
          </w:tcPr>
          <w:p w14:paraId="4BFBC30B">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222.84</w:t>
            </w:r>
          </w:p>
        </w:tc>
        <w:tc>
          <w:tcPr>
            <w:tcW w:w="993" w:type="dxa"/>
            <w:shd w:val="clear" w:color="auto" w:fill="auto"/>
            <w:noWrap/>
            <w:vAlign w:val="center"/>
          </w:tcPr>
          <w:p w14:paraId="116A3BC3">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269.21</w:t>
            </w:r>
          </w:p>
        </w:tc>
        <w:tc>
          <w:tcPr>
            <w:tcW w:w="993" w:type="dxa"/>
            <w:shd w:val="clear" w:color="auto" w:fill="auto"/>
            <w:noWrap/>
            <w:vAlign w:val="center"/>
          </w:tcPr>
          <w:p w14:paraId="457700DB">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279.90</w:t>
            </w:r>
          </w:p>
        </w:tc>
        <w:tc>
          <w:tcPr>
            <w:tcW w:w="994" w:type="dxa"/>
            <w:shd w:val="clear" w:color="auto" w:fill="auto"/>
            <w:noWrap/>
            <w:vAlign w:val="center"/>
          </w:tcPr>
          <w:p w14:paraId="4D846CCC">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291.07</w:t>
            </w:r>
          </w:p>
        </w:tc>
      </w:tr>
      <w:tr w14:paraId="2634F4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3256" w:type="dxa"/>
            <w:shd w:val="clear" w:color="auto" w:fill="auto"/>
            <w:noWrap/>
            <w:vAlign w:val="center"/>
          </w:tcPr>
          <w:p w14:paraId="6FFE8665">
            <w:pPr>
              <w:widowControl/>
              <w:spacing w:line="0" w:lineRule="atLeast"/>
              <w:ind w:firstLine="0" w:firstLineChars="0"/>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其中：第一产业民营经济增加值</w:t>
            </w:r>
          </w:p>
        </w:tc>
        <w:tc>
          <w:tcPr>
            <w:tcW w:w="993" w:type="dxa"/>
            <w:shd w:val="clear" w:color="auto" w:fill="auto"/>
            <w:noWrap/>
            <w:vAlign w:val="center"/>
          </w:tcPr>
          <w:p w14:paraId="456542CB">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5.22</w:t>
            </w:r>
          </w:p>
        </w:tc>
        <w:tc>
          <w:tcPr>
            <w:tcW w:w="993" w:type="dxa"/>
            <w:shd w:val="clear" w:color="auto" w:fill="auto"/>
            <w:noWrap/>
            <w:vAlign w:val="center"/>
          </w:tcPr>
          <w:p w14:paraId="20FC36CE">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5.37</w:t>
            </w:r>
          </w:p>
        </w:tc>
        <w:tc>
          <w:tcPr>
            <w:tcW w:w="993" w:type="dxa"/>
            <w:shd w:val="clear" w:color="auto" w:fill="auto"/>
            <w:noWrap/>
            <w:vAlign w:val="center"/>
          </w:tcPr>
          <w:p w14:paraId="06D4CF07">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5.51</w:t>
            </w:r>
          </w:p>
        </w:tc>
        <w:tc>
          <w:tcPr>
            <w:tcW w:w="993" w:type="dxa"/>
            <w:shd w:val="clear" w:color="auto" w:fill="auto"/>
            <w:noWrap/>
            <w:vAlign w:val="center"/>
          </w:tcPr>
          <w:p w14:paraId="6BC5728B">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5.31</w:t>
            </w:r>
          </w:p>
        </w:tc>
        <w:tc>
          <w:tcPr>
            <w:tcW w:w="993" w:type="dxa"/>
            <w:shd w:val="clear" w:color="auto" w:fill="auto"/>
            <w:noWrap/>
            <w:vAlign w:val="center"/>
          </w:tcPr>
          <w:p w14:paraId="43D83313">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6.36</w:t>
            </w:r>
          </w:p>
        </w:tc>
        <w:tc>
          <w:tcPr>
            <w:tcW w:w="994" w:type="dxa"/>
            <w:shd w:val="clear" w:color="auto" w:fill="auto"/>
            <w:noWrap/>
            <w:vAlign w:val="center"/>
          </w:tcPr>
          <w:p w14:paraId="1F84597E">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6.67</w:t>
            </w:r>
          </w:p>
        </w:tc>
      </w:tr>
      <w:tr w14:paraId="40C824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3256" w:type="dxa"/>
            <w:shd w:val="clear" w:color="auto" w:fill="FFE599" w:themeFill="accent4" w:themeFillTint="66"/>
            <w:noWrap/>
            <w:vAlign w:val="center"/>
          </w:tcPr>
          <w:p w14:paraId="3F7355C8">
            <w:pPr>
              <w:widowControl/>
              <w:spacing w:line="0" w:lineRule="atLeast"/>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第一产业占比%</w:t>
            </w:r>
          </w:p>
        </w:tc>
        <w:tc>
          <w:tcPr>
            <w:tcW w:w="993" w:type="dxa"/>
            <w:shd w:val="clear" w:color="auto" w:fill="FFE599" w:themeFill="accent4" w:themeFillTint="66"/>
            <w:noWrap/>
            <w:vAlign w:val="center"/>
          </w:tcPr>
          <w:p w14:paraId="714E610D">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2.85</w:t>
            </w:r>
          </w:p>
        </w:tc>
        <w:tc>
          <w:tcPr>
            <w:tcW w:w="993" w:type="dxa"/>
            <w:shd w:val="clear" w:color="auto" w:fill="FFE599" w:themeFill="accent4" w:themeFillTint="66"/>
            <w:noWrap/>
            <w:vAlign w:val="center"/>
          </w:tcPr>
          <w:p w14:paraId="1C42E3AD">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2.60</w:t>
            </w:r>
          </w:p>
        </w:tc>
        <w:tc>
          <w:tcPr>
            <w:tcW w:w="993" w:type="dxa"/>
            <w:shd w:val="clear" w:color="auto" w:fill="FFE599" w:themeFill="accent4" w:themeFillTint="66"/>
            <w:noWrap/>
            <w:vAlign w:val="center"/>
          </w:tcPr>
          <w:p w14:paraId="28933783">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2.47</w:t>
            </w:r>
          </w:p>
        </w:tc>
        <w:tc>
          <w:tcPr>
            <w:tcW w:w="993" w:type="dxa"/>
            <w:shd w:val="clear" w:color="auto" w:fill="FFE599" w:themeFill="accent4" w:themeFillTint="66"/>
            <w:noWrap/>
            <w:vAlign w:val="center"/>
          </w:tcPr>
          <w:p w14:paraId="3F0EDDCD">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1.97</w:t>
            </w:r>
          </w:p>
        </w:tc>
        <w:tc>
          <w:tcPr>
            <w:tcW w:w="993" w:type="dxa"/>
            <w:shd w:val="clear" w:color="auto" w:fill="FFE599" w:themeFill="accent4" w:themeFillTint="66"/>
            <w:noWrap/>
            <w:vAlign w:val="center"/>
          </w:tcPr>
          <w:p w14:paraId="5C110303">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2.27</w:t>
            </w:r>
          </w:p>
        </w:tc>
        <w:tc>
          <w:tcPr>
            <w:tcW w:w="994" w:type="dxa"/>
            <w:shd w:val="clear" w:color="auto" w:fill="FFE599" w:themeFill="accent4" w:themeFillTint="66"/>
            <w:noWrap/>
            <w:vAlign w:val="center"/>
          </w:tcPr>
          <w:p w14:paraId="0DD9831E">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2.29</w:t>
            </w:r>
          </w:p>
        </w:tc>
      </w:tr>
      <w:tr w14:paraId="44EB98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3256" w:type="dxa"/>
            <w:shd w:val="clear" w:color="auto" w:fill="auto"/>
            <w:noWrap/>
            <w:vAlign w:val="center"/>
          </w:tcPr>
          <w:p w14:paraId="5A041115">
            <w:pPr>
              <w:widowControl/>
              <w:spacing w:line="0" w:lineRule="atLeast"/>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第二产业民营经济增加值</w:t>
            </w:r>
          </w:p>
        </w:tc>
        <w:tc>
          <w:tcPr>
            <w:tcW w:w="993" w:type="dxa"/>
            <w:shd w:val="clear" w:color="auto" w:fill="auto"/>
            <w:noWrap/>
            <w:vAlign w:val="center"/>
          </w:tcPr>
          <w:p w14:paraId="5F15DB8F">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102.33</w:t>
            </w:r>
          </w:p>
        </w:tc>
        <w:tc>
          <w:tcPr>
            <w:tcW w:w="993" w:type="dxa"/>
            <w:shd w:val="clear" w:color="auto" w:fill="auto"/>
            <w:noWrap/>
            <w:vAlign w:val="center"/>
          </w:tcPr>
          <w:p w14:paraId="62B77B9B">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83.88</w:t>
            </w:r>
          </w:p>
        </w:tc>
        <w:tc>
          <w:tcPr>
            <w:tcW w:w="993" w:type="dxa"/>
            <w:shd w:val="clear" w:color="auto" w:fill="auto"/>
            <w:noWrap/>
            <w:vAlign w:val="center"/>
          </w:tcPr>
          <w:p w14:paraId="27E74240">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92.66</w:t>
            </w:r>
          </w:p>
        </w:tc>
        <w:tc>
          <w:tcPr>
            <w:tcW w:w="993" w:type="dxa"/>
            <w:shd w:val="clear" w:color="auto" w:fill="auto"/>
            <w:noWrap/>
            <w:vAlign w:val="center"/>
          </w:tcPr>
          <w:p w14:paraId="495B12C0">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120.93</w:t>
            </w:r>
          </w:p>
        </w:tc>
        <w:tc>
          <w:tcPr>
            <w:tcW w:w="993" w:type="dxa"/>
            <w:shd w:val="clear" w:color="auto" w:fill="auto"/>
            <w:noWrap/>
            <w:vAlign w:val="center"/>
          </w:tcPr>
          <w:p w14:paraId="1BCF00F5">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119.49</w:t>
            </w:r>
          </w:p>
        </w:tc>
        <w:tc>
          <w:tcPr>
            <w:tcW w:w="994" w:type="dxa"/>
            <w:shd w:val="clear" w:color="auto" w:fill="auto"/>
            <w:noWrap/>
            <w:vAlign w:val="center"/>
          </w:tcPr>
          <w:p w14:paraId="548AB298">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122.31</w:t>
            </w:r>
          </w:p>
        </w:tc>
      </w:tr>
      <w:tr w14:paraId="36EE32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3256" w:type="dxa"/>
            <w:shd w:val="clear" w:color="auto" w:fill="FFE599" w:themeFill="accent4" w:themeFillTint="66"/>
            <w:noWrap/>
            <w:vAlign w:val="center"/>
          </w:tcPr>
          <w:p w14:paraId="39B893E0">
            <w:pPr>
              <w:widowControl/>
              <w:spacing w:line="0" w:lineRule="atLeast"/>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 xml:space="preserve"> 第二产业占比%</w:t>
            </w:r>
          </w:p>
        </w:tc>
        <w:tc>
          <w:tcPr>
            <w:tcW w:w="993" w:type="dxa"/>
            <w:shd w:val="clear" w:color="auto" w:fill="FFE599" w:themeFill="accent4" w:themeFillTint="66"/>
            <w:noWrap/>
            <w:vAlign w:val="center"/>
          </w:tcPr>
          <w:p w14:paraId="47511E6C">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55.82</w:t>
            </w:r>
          </w:p>
        </w:tc>
        <w:tc>
          <w:tcPr>
            <w:tcW w:w="993" w:type="dxa"/>
            <w:shd w:val="clear" w:color="auto" w:fill="FFE599" w:themeFill="accent4" w:themeFillTint="66"/>
            <w:noWrap/>
            <w:vAlign w:val="center"/>
          </w:tcPr>
          <w:p w14:paraId="7721CD47">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40.65</w:t>
            </w:r>
          </w:p>
        </w:tc>
        <w:tc>
          <w:tcPr>
            <w:tcW w:w="993" w:type="dxa"/>
            <w:shd w:val="clear" w:color="auto" w:fill="FFE599" w:themeFill="accent4" w:themeFillTint="66"/>
            <w:noWrap/>
            <w:vAlign w:val="center"/>
          </w:tcPr>
          <w:p w14:paraId="235C678E">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41.58</w:t>
            </w:r>
          </w:p>
        </w:tc>
        <w:tc>
          <w:tcPr>
            <w:tcW w:w="993" w:type="dxa"/>
            <w:shd w:val="clear" w:color="auto" w:fill="FFE599" w:themeFill="accent4" w:themeFillTint="66"/>
            <w:noWrap/>
            <w:vAlign w:val="center"/>
          </w:tcPr>
          <w:p w14:paraId="00041EDA">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44.92</w:t>
            </w:r>
          </w:p>
        </w:tc>
        <w:tc>
          <w:tcPr>
            <w:tcW w:w="993" w:type="dxa"/>
            <w:shd w:val="clear" w:color="auto" w:fill="FFE599" w:themeFill="accent4" w:themeFillTint="66"/>
            <w:noWrap/>
            <w:vAlign w:val="center"/>
          </w:tcPr>
          <w:p w14:paraId="38CF3C9F">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42.69</w:t>
            </w:r>
          </w:p>
        </w:tc>
        <w:tc>
          <w:tcPr>
            <w:tcW w:w="994" w:type="dxa"/>
            <w:shd w:val="clear" w:color="auto" w:fill="FFE599" w:themeFill="accent4" w:themeFillTint="66"/>
            <w:noWrap/>
            <w:vAlign w:val="center"/>
          </w:tcPr>
          <w:p w14:paraId="2F4A6453">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42.02</w:t>
            </w:r>
          </w:p>
        </w:tc>
      </w:tr>
      <w:tr w14:paraId="359465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3256" w:type="dxa"/>
            <w:shd w:val="clear" w:color="auto" w:fill="auto"/>
            <w:noWrap/>
            <w:vAlign w:val="center"/>
          </w:tcPr>
          <w:p w14:paraId="1B4EB630">
            <w:pPr>
              <w:widowControl/>
              <w:spacing w:line="0" w:lineRule="atLeast"/>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bookmarkStart w:id="31" w:name="_Hlk64304978"/>
            <w:r>
              <w:rPr>
                <w:rFonts w:hint="default" w:ascii="Times New Roman" w:hAnsi="Times New Roman" w:cs="Times New Roman"/>
                <w:color w:val="000000" w:themeColor="text1"/>
                <w:kern w:val="0"/>
                <w:sz w:val="21"/>
                <w:szCs w:val="21"/>
                <w14:textFill>
                  <w14:solidFill>
                    <w14:schemeClr w14:val="tx1"/>
                  </w14:solidFill>
                </w14:textFill>
              </w:rPr>
              <w:t>第三产业民营经济增加值</w:t>
            </w:r>
            <w:bookmarkEnd w:id="31"/>
          </w:p>
        </w:tc>
        <w:tc>
          <w:tcPr>
            <w:tcW w:w="993" w:type="dxa"/>
            <w:shd w:val="clear" w:color="auto" w:fill="auto"/>
            <w:noWrap/>
            <w:vAlign w:val="center"/>
          </w:tcPr>
          <w:p w14:paraId="18F6B631">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75.76</w:t>
            </w:r>
          </w:p>
        </w:tc>
        <w:tc>
          <w:tcPr>
            <w:tcW w:w="993" w:type="dxa"/>
            <w:shd w:val="clear" w:color="auto" w:fill="auto"/>
            <w:noWrap/>
            <w:vAlign w:val="center"/>
          </w:tcPr>
          <w:p w14:paraId="61D9F032">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117.10</w:t>
            </w:r>
          </w:p>
        </w:tc>
        <w:tc>
          <w:tcPr>
            <w:tcW w:w="993" w:type="dxa"/>
            <w:shd w:val="clear" w:color="auto" w:fill="auto"/>
            <w:noWrap/>
            <w:vAlign w:val="center"/>
          </w:tcPr>
          <w:p w14:paraId="28F8ADF5">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124.67</w:t>
            </w:r>
          </w:p>
        </w:tc>
        <w:tc>
          <w:tcPr>
            <w:tcW w:w="993" w:type="dxa"/>
            <w:shd w:val="clear" w:color="auto" w:fill="auto"/>
            <w:noWrap/>
            <w:vAlign w:val="center"/>
          </w:tcPr>
          <w:p w14:paraId="7B9654BC">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142.97</w:t>
            </w:r>
          </w:p>
        </w:tc>
        <w:tc>
          <w:tcPr>
            <w:tcW w:w="993" w:type="dxa"/>
            <w:shd w:val="clear" w:color="auto" w:fill="auto"/>
            <w:noWrap/>
            <w:vAlign w:val="center"/>
          </w:tcPr>
          <w:p w14:paraId="66E0E8E4">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154.05</w:t>
            </w:r>
          </w:p>
        </w:tc>
        <w:tc>
          <w:tcPr>
            <w:tcW w:w="994" w:type="dxa"/>
            <w:shd w:val="clear" w:color="auto" w:fill="auto"/>
            <w:noWrap/>
            <w:vAlign w:val="center"/>
          </w:tcPr>
          <w:p w14:paraId="13E960D2">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162.08</w:t>
            </w:r>
          </w:p>
        </w:tc>
      </w:tr>
      <w:tr w14:paraId="489698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3256" w:type="dxa"/>
            <w:shd w:val="clear" w:color="auto" w:fill="FFE599" w:themeFill="accent4" w:themeFillTint="66"/>
            <w:vAlign w:val="center"/>
          </w:tcPr>
          <w:p w14:paraId="391C83DA">
            <w:pPr>
              <w:widowControl/>
              <w:spacing w:line="0" w:lineRule="atLeast"/>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第三产业占比%</w:t>
            </w:r>
          </w:p>
        </w:tc>
        <w:tc>
          <w:tcPr>
            <w:tcW w:w="993" w:type="dxa"/>
            <w:shd w:val="clear" w:color="auto" w:fill="FFE599" w:themeFill="accent4" w:themeFillTint="66"/>
            <w:noWrap/>
            <w:vAlign w:val="center"/>
          </w:tcPr>
          <w:p w14:paraId="0095D1E2">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41.33</w:t>
            </w:r>
          </w:p>
        </w:tc>
        <w:tc>
          <w:tcPr>
            <w:tcW w:w="993" w:type="dxa"/>
            <w:shd w:val="clear" w:color="auto" w:fill="FFE599" w:themeFill="accent4" w:themeFillTint="66"/>
            <w:noWrap/>
            <w:vAlign w:val="center"/>
          </w:tcPr>
          <w:p w14:paraId="06188A9F">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56.75</w:t>
            </w:r>
          </w:p>
        </w:tc>
        <w:tc>
          <w:tcPr>
            <w:tcW w:w="993" w:type="dxa"/>
            <w:shd w:val="clear" w:color="auto" w:fill="FFE599" w:themeFill="accent4" w:themeFillTint="66"/>
            <w:noWrap/>
            <w:vAlign w:val="center"/>
          </w:tcPr>
          <w:p w14:paraId="5EA47895">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55.95</w:t>
            </w:r>
          </w:p>
        </w:tc>
        <w:tc>
          <w:tcPr>
            <w:tcW w:w="993" w:type="dxa"/>
            <w:shd w:val="clear" w:color="auto" w:fill="FFE599" w:themeFill="accent4" w:themeFillTint="66"/>
            <w:noWrap/>
            <w:vAlign w:val="center"/>
          </w:tcPr>
          <w:p w14:paraId="46401450">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53.11</w:t>
            </w:r>
          </w:p>
        </w:tc>
        <w:tc>
          <w:tcPr>
            <w:tcW w:w="993" w:type="dxa"/>
            <w:shd w:val="clear" w:color="auto" w:fill="FFE599" w:themeFill="accent4" w:themeFillTint="66"/>
            <w:noWrap/>
            <w:vAlign w:val="center"/>
          </w:tcPr>
          <w:p w14:paraId="1BB774AF">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55.04</w:t>
            </w:r>
          </w:p>
        </w:tc>
        <w:tc>
          <w:tcPr>
            <w:tcW w:w="994" w:type="dxa"/>
            <w:shd w:val="clear" w:color="auto" w:fill="FFE599" w:themeFill="accent4" w:themeFillTint="66"/>
            <w:noWrap/>
            <w:vAlign w:val="center"/>
          </w:tcPr>
          <w:p w14:paraId="350F0E59">
            <w:pPr>
              <w:widowControl/>
              <w:spacing w:line="0" w:lineRule="atLeast"/>
              <w:ind w:firstLine="0" w:firstLineChars="0"/>
              <w:jc w:val="righ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55.57</w:t>
            </w:r>
          </w:p>
        </w:tc>
      </w:tr>
    </w:tbl>
    <w:p w14:paraId="145EED6A">
      <w:pPr>
        <w:pStyle w:val="5"/>
        <w:spacing w:before="240" w:after="240"/>
        <w:rPr>
          <w:rFonts w:hint="default" w:ascii="Times New Roman" w:hAnsi="Times New Roman" w:cs="Times New Roman"/>
        </w:rPr>
      </w:pPr>
      <w:bookmarkStart w:id="32" w:name="_Toc67038959"/>
      <w:r>
        <w:rPr>
          <w:rFonts w:hint="default" w:ascii="Times New Roman" w:hAnsi="Times New Roman" w:cs="Times New Roman"/>
        </w:rPr>
        <w:t>三、重点产业优强化发展</w:t>
      </w:r>
      <w:bookmarkEnd w:id="32"/>
    </w:p>
    <w:p w14:paraId="0DF2D644">
      <w:pPr>
        <w:ind w:firstLine="640"/>
        <w:rPr>
          <w:rFonts w:hint="default" w:ascii="Times New Roman" w:hAnsi="Times New Roman" w:cs="Times New Roman"/>
        </w:rPr>
      </w:pPr>
      <w:r>
        <w:rPr>
          <w:rFonts w:hint="default" w:ascii="Times New Roman" w:hAnsi="Times New Roman" w:cs="Times New Roman"/>
        </w:rPr>
        <w:t>农业种植、钢铁产业、水泥、装备制造、战略性新兴产业、农产品加工业、生物医药、光电子器件、节能环保、批零住餐、道路运输、旅游教育、电子商务、文化创意、现代物流等较快发展，骨干企业不断</w:t>
      </w:r>
      <w:bookmarkStart w:id="33" w:name="_Hlk55278051"/>
      <w:r>
        <w:rPr>
          <w:rFonts w:hint="default" w:ascii="Times New Roman" w:hAnsi="Times New Roman" w:cs="Times New Roman"/>
        </w:rPr>
        <w:t>壮大</w:t>
      </w:r>
      <w:bookmarkEnd w:id="33"/>
      <w:r>
        <w:rPr>
          <w:rFonts w:hint="default" w:ascii="Times New Roman" w:hAnsi="Times New Roman" w:cs="Times New Roman"/>
        </w:rPr>
        <w:t>，大集团、大企业等支撑作用明显增强。五年来，红塔区扣除烟草制品的其他行业呈现企稳回升态势，钢铁及压延加工产业保持年均26.90%的增幅，装备制造产业保持年均16.70%的增幅，农产品加工业保持年均6.40%的增幅，战略性新兴产业保持年均35.80%的增幅。全区“三品一标”企业19家、产品49个，其中新增绿色食品企业2家、产品20个，农产品加工企业发展至75个。爱必达盆栽迷你玫瑰、明珠花卉的百合鲜切花获全省“十大名花”称号。玉昆钢铁、汇溪钢铁和福玉钢铁三户企业整合成效凸显，带动全区钢铁及压延加工产业较快增长以宇城杭萧为龙头，正鑫科技商品钢筋、艾普威新型墙面材料、兴红新型集热板太阳能、活发木地板等产业已基本形成链式发展，新型建材产业在观音山片区基本成型。“滇雪”被认定为中国驰名商标、“滇雪粮油”被列为“国家粮食战略安全保障单位”、入选全国疫情防控重点保障企业名单。云南达利食品入围全省绿色食品十强企业、云南猫哆哩集团食品有限责任公司获评云南省绿色食品“20佳创新企业”，云南维和药业股份有限公司“三七”获全省“十大名药”称号，云南克雷斯制药恒古骨伤愈合剂纳入2019版国家医保目录，逐步走上正轨。民营企业在现代物流、电子商务等新兴产业领域发展活跃，增加值中第三产业比重保持高位。</w:t>
      </w:r>
    </w:p>
    <w:p w14:paraId="32F62815">
      <w:pPr>
        <w:pStyle w:val="5"/>
        <w:spacing w:before="240" w:after="240"/>
        <w:rPr>
          <w:rFonts w:hint="default" w:ascii="Times New Roman" w:hAnsi="Times New Roman" w:cs="Times New Roman"/>
        </w:rPr>
      </w:pPr>
      <w:bookmarkStart w:id="34" w:name="_Toc67038960"/>
      <w:r>
        <w:rPr>
          <w:rFonts w:hint="default" w:ascii="Times New Roman" w:hAnsi="Times New Roman" w:cs="Times New Roman"/>
        </w:rPr>
        <w:t>四、供给侧改革成效显著</w:t>
      </w:r>
      <w:bookmarkEnd w:id="34"/>
    </w:p>
    <w:p w14:paraId="344329C5">
      <w:pPr>
        <w:ind w:firstLine="640"/>
        <w:rPr>
          <w:rFonts w:hint="default" w:ascii="Times New Roman" w:hAnsi="Times New Roman" w:cs="Times New Roman"/>
        </w:rPr>
      </w:pPr>
      <w:r>
        <w:rPr>
          <w:rFonts w:hint="default" w:ascii="Times New Roman" w:hAnsi="Times New Roman" w:cs="Times New Roman"/>
        </w:rPr>
        <w:t>“十三五”时期，红塔区紧扣供给侧结构性改革主线，聚焦做大扣除烟草制品的其他产业，以推动钢铁行业整合延伸为突破口，加快农产品加工产业提档升级，全力推动扣除烟草制品的其他传统优势产业提档升级。玉昆整体收购汇溪和福玉新组建的全省最大民营钢铁企业全面释放产能；太标精工实施67吨特钢电炉项目，推动钢铁产品迈向中高端；滇雪粮油完成技改扩能并居身云南食用油龙头；酱丰圆建成绿色农产品深加工项目；凤凰食品组织实施生物制品生产项目；玉昆科技上马通信铁塔制造项目，成功实现与中国铁塔的合作；国内分析仪器和环保监测仪器行业龙头聚光科技成功入驻红塔工业园区；蓝晶科技整体并入华灿光电后启动3500万片LED衬底片扩能项目，处于全球蓝宝石生产行业前列；维和药业加快实施加工中心项目，推进了三七药剂全产业链延伸；汇龙科技成功牵手飞利浦，展开新能源开发项目。以加大招商引资力度、推动存量企业对外合作为突破口，着力培育壮大新兴产业。通过不断加大工业投资力度，五年累计完成工业投资项目380个，投资额超过204亿元，加速了产业转型升级步伐。扎根园区，优势企业再创辉煌，玉溪建福集团机床有限责任公司率先实现涅槃重生，云南省玉溪水力发电设备有限责任公司产品扩展到5万千瓦水轮发电机组设备生产，云南前列电缆有限公司突破“以铝代铜”的技术难题，成为西南地区同行业中首个叩开智能制造之门的企业。</w:t>
      </w:r>
    </w:p>
    <w:p w14:paraId="63647348">
      <w:pPr>
        <w:pStyle w:val="5"/>
        <w:spacing w:before="240" w:after="240"/>
        <w:rPr>
          <w:rFonts w:hint="default" w:ascii="Times New Roman" w:hAnsi="Times New Roman" w:cs="Times New Roman"/>
        </w:rPr>
      </w:pPr>
      <w:bookmarkStart w:id="35" w:name="_Toc67038961"/>
      <w:r>
        <w:rPr>
          <w:rFonts w:hint="default" w:ascii="Times New Roman" w:hAnsi="Times New Roman" w:cs="Times New Roman"/>
        </w:rPr>
        <w:t>五、创新实力显著在提升</w:t>
      </w:r>
      <w:bookmarkEnd w:id="35"/>
    </w:p>
    <w:p w14:paraId="390BF672">
      <w:pPr>
        <w:ind w:firstLine="640"/>
        <w:rPr>
          <w:rFonts w:hint="default" w:ascii="Times New Roman" w:hAnsi="Times New Roman" w:cs="Times New Roman"/>
        </w:rPr>
      </w:pPr>
      <w:r>
        <w:rPr>
          <w:rFonts w:hint="default" w:ascii="Times New Roman" w:hAnsi="Times New Roman" w:cs="Times New Roman"/>
        </w:rPr>
        <w:t>红塔工业园区不断培育创新主体，搭建创新载体，优化创新环境，园区先后被认定为国家新型工业化产业（生物产业）示范基地、云南省高新技术产业开发区、省级新型工业化产业（烟草加工）示范基地。基本形成以钢铁和卷烟配套为主导，新能源新材料、生物医药及大健康、先进装备制造、商贸物流服务为特色的产业体系。截至2020年底，拥有高新技术企业14户、科技型中小企业26户、列入省级创新型试点企业7户、科技小巨人企业2户；建成市级工程技术研究中心9个，企业技术中心15个，其中，2020年新增省级企业技术中心4个、云南省院士工作站2个，企业产学研合作不断深化。拥有国家知识产权优势企业1户，云南省知识产权优势企业3户。园区企业专利申请量增长幅度逐年增高，2020年末，申请专利157件，其中，发明专利14件、实用新型84件、其他专利59件。授权专利91件，其中，发明专利1件、实用新型50件、外观设计6件、其他专利34件。截止2020年底有效专利拥有量552件，其中，发明专利69件，实用新型351件，外观设计59件，其他专利73件；注册商标拥有量214个；企业拥有自主开发的新技术、新产品208个，43个项目通过科技成果鉴定。云南太标太阳能集团通过实施创新驱动和多元化发展战略，发展成为以太阳能、钢铁、精工铸造、数控机床、废旧汽车回收与拆解五大产业为支柱的企业。玉溪市兴红太阳能设备有限公司入选2020年第一批国家科技型中小企业，与云南省玉溪市太标太阳能设备有限公司一道获云南省知识产权优势企业。云南克雷斯制药股份有限公司、云南正成工精密机械有限公司入选工信部专精特新“小巨人”企业。云南省玉溪市太标太阳能设备有限公司工业设计中心2016年获省级认定，2018年通过复核；云南玉溪水松纸厂工业设计中心2018年获省级认定。红塔区五年累计争取各级科技计划项目278项，研究与开发投入强度达1.30%。建成院士专家工作站等7个高层次创新平台，截止2020年，全区共有市级及以上认定的企业技术中心55个，其中：国家级认定的1个，省级认定30个；区属（不含高新区）市级及以上认定企业技术中心23个，其中省级认定14个。拥有高新技术企业73户，省级和国家级科技型中小企业183户，市级以上工程技术研究中心、重点实验室达28个，国家级众创空间2个、省级众创空间4个、省级科技企业孵化器2个、星创天地2个，产业创新能力不断提升。</w:t>
      </w:r>
    </w:p>
    <w:p w14:paraId="7F5F4673">
      <w:pPr>
        <w:pStyle w:val="5"/>
        <w:spacing w:before="240" w:after="240"/>
        <w:rPr>
          <w:rFonts w:hint="default" w:ascii="Times New Roman" w:hAnsi="Times New Roman" w:cs="Times New Roman"/>
        </w:rPr>
      </w:pPr>
      <w:bookmarkStart w:id="36" w:name="_Toc67038962"/>
      <w:r>
        <w:rPr>
          <w:rFonts w:hint="default" w:ascii="Times New Roman" w:hAnsi="Times New Roman" w:cs="Times New Roman"/>
        </w:rPr>
        <w:t>六、企业竞争力优势凸显</w:t>
      </w:r>
      <w:bookmarkEnd w:id="36"/>
    </w:p>
    <w:p w14:paraId="75B35B93">
      <w:pPr>
        <w:ind w:firstLine="640"/>
        <w:rPr>
          <w:rFonts w:hint="default" w:ascii="Times New Roman" w:hAnsi="Times New Roman" w:cs="Times New Roman"/>
        </w:rPr>
      </w:pPr>
      <w:r>
        <w:rPr>
          <w:rFonts w:hint="default" w:ascii="Times New Roman" w:hAnsi="Times New Roman" w:cs="Times New Roman"/>
        </w:rPr>
        <w:t>截至目前，工商登记民营企业数量已达到51957</w:t>
      </w:r>
      <w:bookmarkStart w:id="37" w:name="_Hlk57298984"/>
      <w:r>
        <w:rPr>
          <w:rFonts w:hint="default" w:ascii="Times New Roman" w:hAnsi="Times New Roman" w:cs="Times New Roman"/>
        </w:rPr>
        <w:t>户</w:t>
      </w:r>
      <w:bookmarkEnd w:id="37"/>
      <w:r>
        <w:rPr>
          <w:rFonts w:hint="default" w:ascii="Times New Roman" w:hAnsi="Times New Roman" w:cs="Times New Roman"/>
        </w:rPr>
        <w:t>，私营企11398户，数量是2015年7406户的1.54倍。个私从业人员由2015年的199847人增加到</w:t>
      </w:r>
      <w:bookmarkStart w:id="38" w:name="_Hlk57403281"/>
      <w:r>
        <w:rPr>
          <w:rFonts w:hint="default" w:ascii="Times New Roman" w:hAnsi="Times New Roman" w:cs="Times New Roman"/>
        </w:rPr>
        <w:t>2019年（2020年不进行统计）的</w:t>
      </w:r>
      <w:bookmarkEnd w:id="38"/>
      <w:r>
        <w:rPr>
          <w:rFonts w:hint="default" w:ascii="Times New Roman" w:hAnsi="Times New Roman" w:cs="Times New Roman"/>
        </w:rPr>
        <w:t>233863人；私营企业从业人员由2015年的91973人增加到2019年（2020年不进行统计）的137988人。规模以上民营企业占全部规模以上企业95%的比例，民营经济活力不断增强。玉昆钢铁集团营业收入突破100亿元大关，上榜“2020年中国民营企业500强”榜单，上榜位居“2020中国制造业民营企业500强”第283位， “2020云南非公企业100强”第二名，“2020云南非公制造业20强”第一名。云南太标太阳能集团、云南省活发集团获2020年云南非公100强企业、2020云南非公企业制造业20强企业。2020年，玉溪新兴钢铁有限公司、云南玉溪玉昆钢铁集团有限公司、云南省活发集团、云南太标太阳能集团等12户民营企业获 “红塔区千万级纳税大户”称号，玉溪富强混凝土搅拌有限公司、云南玉溪水松纸厂、云南蓝晶科技有限公司获“红塔区五百万级纳税大户”称号，云南正成工精密机械有限公司、玉溪市大营街铝箔纸有限责任公司、云南台正数控机床有限公司、云南广和工控设备有限公司获“红塔区百万级纳税大户”称号。</w:t>
      </w:r>
      <w:bookmarkStart w:id="39" w:name="_Hlk57305539"/>
      <w:r>
        <w:rPr>
          <w:rFonts w:hint="default" w:ascii="Times New Roman" w:hAnsi="Times New Roman" w:cs="Times New Roman"/>
        </w:rPr>
        <w:t>10</w:t>
      </w:r>
      <w:bookmarkStart w:id="40" w:name="_Hlk57305590"/>
      <w:r>
        <w:rPr>
          <w:rFonts w:hint="default" w:ascii="Times New Roman" w:hAnsi="Times New Roman" w:cs="Times New Roman"/>
        </w:rPr>
        <w:t>户民营企业</w:t>
      </w:r>
      <w:bookmarkEnd w:id="39"/>
      <w:bookmarkEnd w:id="40"/>
      <w:r>
        <w:rPr>
          <w:rFonts w:hint="default" w:ascii="Times New Roman" w:hAnsi="Times New Roman" w:cs="Times New Roman"/>
        </w:rPr>
        <w:t>获红塔区优强工业企业，10户民营企业获创新型工业企业。21户民营企业最具社会责任感工业企业。</w:t>
      </w:r>
    </w:p>
    <w:p w14:paraId="2F3C52A6">
      <w:pPr>
        <w:ind w:firstLine="640"/>
        <w:rPr>
          <w:rFonts w:hint="default" w:ascii="Times New Roman" w:hAnsi="Times New Roman" w:cs="Times New Roman"/>
        </w:rPr>
      </w:pPr>
      <w:r>
        <w:rPr>
          <w:rFonts w:hint="default" w:ascii="Times New Roman" w:hAnsi="Times New Roman" w:cs="Times New Roman"/>
        </w:rPr>
        <w:t>——制造业单项冠军示范企业。云南蓝晶科技有限公司（蓝宝石衬底片）获2016年省级第一批、2018年国家级第三批</w:t>
      </w:r>
      <w:bookmarkStart w:id="41" w:name="_Hlk56322011"/>
      <w:r>
        <w:rPr>
          <w:rFonts w:hint="default" w:ascii="Times New Roman" w:hAnsi="Times New Roman" w:cs="Times New Roman"/>
        </w:rPr>
        <w:t>制造业单项冠军示范企业</w:t>
      </w:r>
      <w:bookmarkEnd w:id="41"/>
      <w:r>
        <w:rPr>
          <w:rFonts w:hint="default" w:ascii="Times New Roman" w:hAnsi="Times New Roman" w:cs="Times New Roman"/>
        </w:rPr>
        <w:t xml:space="preserve">，是云南省第一家国家级制造业单项冠军示范企业；云南省玉溪市太标太阳能设备有限公司（太阳能热水器、超高真空紫金太阳集热管）为2016年省级首批单项冠军培育企业。 </w:t>
      </w:r>
    </w:p>
    <w:p w14:paraId="1F583654">
      <w:pPr>
        <w:ind w:firstLine="640"/>
        <w:rPr>
          <w:rFonts w:hint="default" w:ascii="Times New Roman" w:hAnsi="Times New Roman" w:cs="Times New Roman"/>
        </w:rPr>
      </w:pPr>
      <w:r>
        <w:rPr>
          <w:rFonts w:hint="default" w:ascii="Times New Roman" w:hAnsi="Times New Roman" w:cs="Times New Roman"/>
        </w:rPr>
        <w:t>——国家级绿色工厂。云南玉溪水松纸厂2018年国家工信部认定为第三批国家绿色工厂。</w:t>
      </w:r>
    </w:p>
    <w:p w14:paraId="57806B35">
      <w:pPr>
        <w:ind w:firstLine="640"/>
        <w:rPr>
          <w:rFonts w:hint="default" w:ascii="Times New Roman" w:hAnsi="Times New Roman" w:cs="Times New Roman"/>
        </w:rPr>
      </w:pPr>
      <w:r>
        <w:rPr>
          <w:rFonts w:hint="default" w:ascii="Times New Roman" w:hAnsi="Times New Roman" w:cs="Times New Roman"/>
        </w:rPr>
        <w:t>——节水型企业。玉溪新兴钢铁有限公司2016年省级认定，玉溪汇溪金属铸造制品有限公司2017年省级认定，云南玉溪玉昆钢铁集团有限公司2017年省级认定节水标杆企业，玉溪市酱丰圆食品有限公司2019年市级认定。</w:t>
      </w:r>
    </w:p>
    <w:p w14:paraId="3F89DE0A">
      <w:pPr>
        <w:pStyle w:val="4"/>
        <w:rPr>
          <w:rFonts w:hint="default" w:ascii="Times New Roman" w:hAnsi="Times New Roman" w:cs="Times New Roman"/>
        </w:rPr>
      </w:pPr>
      <w:bookmarkStart w:id="42" w:name="_Toc67038963"/>
      <w:r>
        <w:rPr>
          <w:rFonts w:hint="default" w:ascii="Times New Roman" w:hAnsi="Times New Roman" w:cs="Times New Roman"/>
        </w:rPr>
        <w:t>第二节 “十三五”目标完成情况</w:t>
      </w:r>
      <w:bookmarkEnd w:id="42"/>
    </w:p>
    <w:p w14:paraId="4A565B02">
      <w:pPr>
        <w:ind w:firstLine="640"/>
        <w:rPr>
          <w:rFonts w:hint="default" w:ascii="Times New Roman" w:hAnsi="Times New Roman" w:cs="Times New Roman"/>
        </w:rPr>
      </w:pPr>
      <w:r>
        <w:rPr>
          <w:rFonts w:hint="default" w:ascii="Times New Roman" w:hAnsi="Times New Roman" w:cs="Times New Roman"/>
        </w:rPr>
        <w:t>“十三五”时期，全区民营经济持续稳定发展，在各部门的共同努力下，取得明显成效，2020年，红塔区民营经济增加值为291.07亿元，超出规划目标217亿元的74.07亿元。</w:t>
      </w:r>
    </w:p>
    <w:p w14:paraId="2256C940">
      <w:pPr>
        <w:ind w:firstLine="640"/>
        <w:rPr>
          <w:rFonts w:hint="default" w:ascii="Times New Roman" w:hAnsi="Times New Roman" w:cs="Times New Roman"/>
        </w:rPr>
      </w:pPr>
      <w:r>
        <w:rPr>
          <w:rFonts w:hint="default" w:ascii="Times New Roman" w:hAnsi="Times New Roman" w:cs="Times New Roman"/>
          <w:color w:val="000000" w:themeColor="text1"/>
          <w14:textFill>
            <w14:solidFill>
              <w14:schemeClr w14:val="tx1"/>
            </w14:solidFill>
          </w14:textFill>
        </w:rPr>
        <w:t>创新驱动活力增强。截至2020年，红塔区工业民营经济共有市级以上企业技术中心53个，其中，省级29个；区属23个，高新区30个；高新技术企业达到 70个。“十三五”期间，钢铁及压延加工产业快速发展，预计工业总产值由99.46亿元发展到276.50亿元，年均增长22.70%。装备制造产业平稳较快发展，预计工业</w:t>
      </w:r>
      <w:r>
        <w:rPr>
          <w:rFonts w:hint="default" w:ascii="Times New Roman" w:hAnsi="Times New Roman" w:cs="Times New Roman"/>
        </w:rPr>
        <w:t>总产值由22.65亿元发展到48亿元，年均增长16.20%。战略性新兴产业预计工业总产值由12.29亿元发展到45亿元，年均增长29.60%。农产品加工产业平稳发展，预计工业总产值由39.58亿元发展到53.40亿元，年均增长6.20%。</w:t>
      </w:r>
    </w:p>
    <w:p w14:paraId="1B47CB0B">
      <w:pPr>
        <w:ind w:firstLine="640"/>
        <w:rPr>
          <w:rFonts w:hint="default" w:ascii="Times New Roman" w:hAnsi="Times New Roman" w:cs="Times New Roman"/>
        </w:rPr>
      </w:pPr>
      <w:r>
        <w:rPr>
          <w:rFonts w:hint="default" w:ascii="Times New Roman" w:hAnsi="Times New Roman" w:cs="Times New Roman"/>
        </w:rPr>
        <w:t>通过稳步推进淘汰和化解落后过剩产能，累计淘汰化解落后过剩产能超过1100万吨、红砖产能超过2500万块，为新兴产业发展腾出了空间。新型干法水泥熟料生产线建设、废钢加工利用、转炉煤气综合利用等11个项目转报省、市工信委开展节能审查。推动6户企业开展自愿性清洁生产，并通过市工信委组织的清洁生产审核验收。</w:t>
      </w:r>
    </w:p>
    <w:p w14:paraId="67A66779">
      <w:pPr>
        <w:pStyle w:val="4"/>
        <w:rPr>
          <w:rFonts w:hint="default" w:ascii="Times New Roman" w:hAnsi="Times New Roman" w:cs="Times New Roman"/>
        </w:rPr>
      </w:pPr>
      <w:bookmarkStart w:id="43" w:name="_Toc67038964"/>
      <w:r>
        <w:rPr>
          <w:rFonts w:hint="default" w:ascii="Times New Roman" w:hAnsi="Times New Roman" w:cs="Times New Roman"/>
        </w:rPr>
        <w:t>第三节 存在问题</w:t>
      </w:r>
      <w:bookmarkEnd w:id="43"/>
    </w:p>
    <w:p w14:paraId="319A6AE6">
      <w:pPr>
        <w:pStyle w:val="5"/>
        <w:spacing w:before="240" w:after="240"/>
        <w:rPr>
          <w:rFonts w:hint="default" w:ascii="Times New Roman" w:hAnsi="Times New Roman" w:cs="Times New Roman"/>
        </w:rPr>
      </w:pPr>
      <w:bookmarkStart w:id="44" w:name="_Toc67038965"/>
      <w:r>
        <w:rPr>
          <w:rFonts w:hint="default" w:ascii="Times New Roman" w:hAnsi="Times New Roman" w:cs="Times New Roman"/>
        </w:rPr>
        <w:t>一、要素保障不力</w:t>
      </w:r>
      <w:bookmarkEnd w:id="44"/>
    </w:p>
    <w:p w14:paraId="5FC8FB0A">
      <w:pPr>
        <w:ind w:firstLine="640"/>
        <w:rPr>
          <w:rFonts w:hint="default" w:ascii="Times New Roman" w:hAnsi="Times New Roman" w:cs="Times New Roman"/>
        </w:rPr>
      </w:pPr>
      <w:r>
        <w:rPr>
          <w:rFonts w:hint="default" w:ascii="Times New Roman" w:hAnsi="Times New Roman" w:cs="Times New Roman"/>
        </w:rPr>
        <w:t>融资难、用地难、项目落地难、营商环境欠佳、环境承载能力弱等要素保障不力问题仍然存在。优惠政策落实滞后，金融服务不够完善，区级配套措施不够健全，融资渠道单一，缺少直接</w:t>
      </w:r>
      <w:bookmarkStart w:id="45" w:name="_Hlk63026079"/>
      <w:r>
        <w:rPr>
          <w:rFonts w:hint="default" w:ascii="Times New Roman" w:hAnsi="Times New Roman" w:cs="Times New Roman"/>
        </w:rPr>
        <w:t>融资</w:t>
      </w:r>
      <w:bookmarkEnd w:id="45"/>
      <w:r>
        <w:rPr>
          <w:rFonts w:hint="default" w:ascii="Times New Roman" w:hAnsi="Times New Roman" w:cs="Times New Roman"/>
        </w:rPr>
        <w:t>途径，在融资问题上政府扶持政策落实不到位，土地越来越紧缺和政策不配套已制约现有企业的扩大生产规模、提升发展，招商引资工作推进和项目落地。</w:t>
      </w:r>
    </w:p>
    <w:p w14:paraId="55CB35BF">
      <w:pPr>
        <w:pStyle w:val="5"/>
        <w:spacing w:before="240" w:after="240"/>
        <w:rPr>
          <w:rFonts w:hint="default" w:ascii="Times New Roman" w:hAnsi="Times New Roman" w:cs="Times New Roman"/>
        </w:rPr>
      </w:pPr>
      <w:bookmarkStart w:id="46" w:name="_Toc67038966"/>
      <w:r>
        <w:rPr>
          <w:rFonts w:hint="default" w:ascii="Times New Roman" w:hAnsi="Times New Roman" w:cs="Times New Roman"/>
        </w:rPr>
        <w:t>二、</w:t>
      </w:r>
      <w:bookmarkStart w:id="47" w:name="_Hlk63012128"/>
      <w:r>
        <w:rPr>
          <w:rFonts w:hint="default" w:ascii="Times New Roman" w:hAnsi="Times New Roman" w:cs="Times New Roman"/>
        </w:rPr>
        <w:t>区属</w:t>
      </w:r>
      <w:bookmarkEnd w:id="47"/>
      <w:r>
        <w:rPr>
          <w:rFonts w:hint="default" w:ascii="Times New Roman" w:hAnsi="Times New Roman" w:cs="Times New Roman"/>
        </w:rPr>
        <w:t>占比过小</w:t>
      </w:r>
      <w:bookmarkEnd w:id="46"/>
    </w:p>
    <w:p w14:paraId="0B7A1A11">
      <w:pPr>
        <w:ind w:firstLine="640"/>
        <w:rPr>
          <w:rFonts w:hint="default" w:ascii="Times New Roman" w:hAnsi="Times New Roman" w:cs="Times New Roman"/>
        </w:rPr>
      </w:pPr>
      <w:r>
        <w:rPr>
          <w:rFonts w:hint="default" w:ascii="Times New Roman" w:hAnsi="Times New Roman" w:cs="Times New Roman"/>
        </w:rPr>
        <w:t>区属企业数量少、规模小、发展水平不高，抗御市场风险能力弱，多处于产业链的低端，民营经济占比远低于全省全市水平。2017年，云南省、玉溪市民营经济增加值占GDP的比重分别是47.20%、36.40%，在全省129个县区中，区非公比重仅高于水富县（20.70%）。伴随玉溪市工业园区优化提升方案的实施，红塔工业园区划归高新区管理和绿色钢城建设，进一步缩小区属民营经济的占比。</w:t>
      </w:r>
    </w:p>
    <w:p w14:paraId="229DFCE1">
      <w:pPr>
        <w:pStyle w:val="5"/>
        <w:spacing w:before="240" w:after="240"/>
        <w:rPr>
          <w:rFonts w:hint="default" w:ascii="Times New Roman" w:hAnsi="Times New Roman" w:cs="Times New Roman"/>
        </w:rPr>
      </w:pPr>
      <w:bookmarkStart w:id="48" w:name="_Toc67038967"/>
      <w:r>
        <w:rPr>
          <w:rFonts w:hint="default" w:ascii="Times New Roman" w:hAnsi="Times New Roman" w:cs="Times New Roman"/>
        </w:rPr>
        <w:t>三、发展后劲不足</w:t>
      </w:r>
      <w:bookmarkEnd w:id="48"/>
    </w:p>
    <w:p w14:paraId="57FA7050">
      <w:pPr>
        <w:ind w:firstLine="640"/>
        <w:rPr>
          <w:rFonts w:hint="default" w:ascii="Times New Roman" w:hAnsi="Times New Roman" w:cs="Times New Roman"/>
        </w:rPr>
      </w:pPr>
      <w:r>
        <w:rPr>
          <w:rFonts w:hint="default" w:ascii="Times New Roman" w:hAnsi="Times New Roman" w:cs="Times New Roman"/>
        </w:rPr>
        <w:t>近10年的</w:t>
      </w:r>
      <w:bookmarkStart w:id="49" w:name="_Hlk63021263"/>
      <w:r>
        <w:rPr>
          <w:rFonts w:hint="default" w:ascii="Times New Roman" w:hAnsi="Times New Roman" w:cs="Times New Roman"/>
        </w:rPr>
        <w:t>民营</w:t>
      </w:r>
      <w:bookmarkEnd w:id="49"/>
      <w:r>
        <w:rPr>
          <w:rFonts w:hint="default" w:ascii="Times New Roman" w:hAnsi="Times New Roman" w:cs="Times New Roman"/>
        </w:rPr>
        <w:t>投资主要集中在第三产业，平均增速低于全区投资总额平均增速1.8个百分点，民营工业投资仅占总投资的17.30%，并持续下滑，工业项目少，产品技术含量不高，自主创新能力不足，发展后劲乏力，投资增长的内生动力不足。多数民营企业还处在发展初级阶段，易受宏观经济环境影响，受制于经济形势的波动影响生产经营，投资积极性不高，投资能力下降。</w:t>
      </w:r>
    </w:p>
    <w:p w14:paraId="5150CF16">
      <w:pPr>
        <w:pStyle w:val="5"/>
        <w:spacing w:before="240" w:after="240"/>
        <w:rPr>
          <w:rFonts w:hint="default" w:ascii="Times New Roman" w:hAnsi="Times New Roman" w:cs="Times New Roman"/>
        </w:rPr>
      </w:pPr>
      <w:bookmarkStart w:id="50" w:name="_Toc67038968"/>
      <w:r>
        <w:rPr>
          <w:rFonts w:hint="default" w:ascii="Times New Roman" w:hAnsi="Times New Roman" w:cs="Times New Roman"/>
        </w:rPr>
        <w:t>四、</w:t>
      </w:r>
      <w:bookmarkStart w:id="51" w:name="_Hlk63027256"/>
      <w:r>
        <w:rPr>
          <w:rFonts w:hint="default" w:ascii="Times New Roman" w:hAnsi="Times New Roman" w:cs="Times New Roman"/>
        </w:rPr>
        <w:t>求变意识</w:t>
      </w:r>
      <w:bookmarkEnd w:id="51"/>
      <w:r>
        <w:rPr>
          <w:rFonts w:hint="default" w:ascii="Times New Roman" w:hAnsi="Times New Roman" w:cs="Times New Roman"/>
        </w:rPr>
        <w:t>不强</w:t>
      </w:r>
      <w:bookmarkEnd w:id="50"/>
    </w:p>
    <w:p w14:paraId="6D3C46AA">
      <w:pPr>
        <w:ind w:firstLine="640"/>
        <w:rPr>
          <w:rFonts w:hint="default" w:ascii="Times New Roman" w:hAnsi="Times New Roman" w:cs="Times New Roman"/>
        </w:rPr>
      </w:pPr>
      <w:r>
        <w:rPr>
          <w:rFonts w:hint="default" w:ascii="Times New Roman" w:hAnsi="Times New Roman" w:cs="Times New Roman"/>
        </w:rPr>
        <w:t>部分民营企业经营理念和管理方式继承传统，</w:t>
      </w:r>
      <w:bookmarkStart w:id="52" w:name="_Hlk63009699"/>
      <w:r>
        <w:rPr>
          <w:rFonts w:hint="default" w:ascii="Times New Roman" w:hAnsi="Times New Roman" w:cs="Times New Roman"/>
        </w:rPr>
        <w:t>存在因循守旧、小富则安、固步自封的思想观念，求变意识不强</w:t>
      </w:r>
      <w:bookmarkEnd w:id="52"/>
      <w:r>
        <w:rPr>
          <w:rFonts w:hint="default" w:ascii="Times New Roman" w:hAnsi="Times New Roman" w:cs="Times New Roman"/>
        </w:rPr>
        <w:t>，缺乏体制创新和机制创新的动力，对</w:t>
      </w:r>
      <w:bookmarkStart w:id="53" w:name="_Hlk63022072"/>
      <w:r>
        <w:rPr>
          <w:rFonts w:hint="default" w:ascii="Times New Roman" w:hAnsi="Times New Roman" w:cs="Times New Roman"/>
        </w:rPr>
        <w:t>市场的预测分析能力</w:t>
      </w:r>
      <w:bookmarkEnd w:id="53"/>
      <w:r>
        <w:rPr>
          <w:rFonts w:hint="default" w:ascii="Times New Roman" w:hAnsi="Times New Roman" w:cs="Times New Roman"/>
        </w:rPr>
        <w:t>和竞争力弱等，面对复杂经济环境的应变能力明显不足，没有形成优势明显的产业集群。卷烟配套企业面对省内、省外同行业的竞争对手，除受卷烟专卖政策限制外，自身因配套产业链不完整、企业生产规模、装备技术</w:t>
      </w:r>
      <w:r>
        <w:rPr>
          <w:rFonts w:hint="eastAsia" w:cs="Times New Roman"/>
          <w:lang w:eastAsia="zh-CN"/>
        </w:rPr>
        <w:t>，</w:t>
      </w:r>
      <w:r>
        <w:rPr>
          <w:rFonts w:hint="default" w:ascii="Times New Roman" w:hAnsi="Times New Roman" w:cs="Times New Roman"/>
        </w:rPr>
        <w:t>特别是产品价格的竞争优势不凸显，带来生产经营困难，下行压力增大的问题， 有求变意识，但转型渠道单一。</w:t>
      </w:r>
    </w:p>
    <w:p w14:paraId="483EFD22">
      <w:pPr>
        <w:pStyle w:val="5"/>
        <w:spacing w:before="240" w:after="240"/>
        <w:rPr>
          <w:rFonts w:hint="default" w:ascii="Times New Roman" w:hAnsi="Times New Roman" w:cs="Times New Roman"/>
        </w:rPr>
      </w:pPr>
      <w:bookmarkStart w:id="54" w:name="_Toc67038969"/>
      <w:r>
        <w:rPr>
          <w:rFonts w:hint="default" w:ascii="Times New Roman" w:hAnsi="Times New Roman" w:cs="Times New Roman"/>
        </w:rPr>
        <w:t>五、人才短缺流失</w:t>
      </w:r>
      <w:bookmarkEnd w:id="54"/>
    </w:p>
    <w:p w14:paraId="7728DE70">
      <w:pPr>
        <w:ind w:firstLine="640"/>
        <w:rPr>
          <w:rFonts w:hint="default" w:ascii="Times New Roman" w:hAnsi="Times New Roman" w:cs="Times New Roman"/>
        </w:rPr>
      </w:pPr>
      <w:r>
        <w:rPr>
          <w:rFonts w:hint="default" w:ascii="Times New Roman" w:hAnsi="Times New Roman" w:cs="Times New Roman"/>
        </w:rPr>
        <w:t>高端技术人才匮乏，多数企业对人才的吸引力不大，在才竞争中处于劣势，懂技术、会管理的复合型人才缺乏，人招不进、留不住，人才短缺问题成为影响和制约民营企业创新转型发展的主要“瓶颈”。</w:t>
      </w:r>
    </w:p>
    <w:p w14:paraId="0453A967">
      <w:pPr>
        <w:pStyle w:val="18"/>
        <w:rPr>
          <w:rFonts w:hint="default" w:ascii="Times New Roman" w:hAnsi="Times New Roman" w:cs="Times New Roman"/>
        </w:rPr>
      </w:pPr>
      <w:bookmarkStart w:id="55" w:name="_Toc67038970"/>
      <w:r>
        <w:rPr>
          <w:rFonts w:hint="default" w:ascii="Times New Roman" w:hAnsi="Times New Roman" w:cs="Times New Roman"/>
        </w:rPr>
        <w:t>第二章 “十四五”面临的形势</w:t>
      </w:r>
      <w:bookmarkEnd w:id="55"/>
    </w:p>
    <w:p w14:paraId="5C85AEBD">
      <w:pPr>
        <w:pStyle w:val="4"/>
        <w:rPr>
          <w:rFonts w:hint="default" w:ascii="Times New Roman" w:hAnsi="Times New Roman" w:cs="Times New Roman"/>
        </w:rPr>
      </w:pPr>
      <w:bookmarkStart w:id="56" w:name="_Toc67038971"/>
      <w:r>
        <w:rPr>
          <w:rFonts w:hint="default" w:ascii="Times New Roman" w:hAnsi="Times New Roman" w:cs="Times New Roman"/>
        </w:rPr>
        <w:t>第一节 形势研判</w:t>
      </w:r>
      <w:bookmarkEnd w:id="56"/>
    </w:p>
    <w:p w14:paraId="69C91220">
      <w:pPr>
        <w:ind w:firstLine="640"/>
        <w:rPr>
          <w:rFonts w:hint="default" w:ascii="Times New Roman" w:hAnsi="Times New Roman" w:cs="Times New Roman"/>
        </w:rPr>
      </w:pPr>
      <w:r>
        <w:rPr>
          <w:rFonts w:hint="default" w:ascii="Times New Roman" w:hAnsi="Times New Roman" w:cs="Times New Roman"/>
        </w:rPr>
        <w:t>当今世界正经历百年未有之大变局，一方面经济全球化遭遇逆流，正处于发展、调整、变革的关键时期。国际环境日趋复杂，全球经贸规则加速重构，以货物贸易和外商直接投资为主的经济全球化传统动能更趋疲弱，主要发达经济体积极在推动建立排他性保护性较强的区域贸易协定，贸易保护主义、单边主义势头增强，威胁全球自由贸易进程，（WTO）组织改革受阻，中美大国经贸关系面临重塑，大国博弈、地缘政治影响等不稳定性、不确定性因素明显增加，世界进入风险上升的动荡变革期，多变和急变成为常态。对我国“卡脖子”技术的封锁力度加大，关键技术、高端装备和核心部件“断供”风险增大。另一方面受新冠肺炎疫情冲击，世界经济陷入深度衰退，疫情防控成效差异成为影响各国经济表现的重要因素。全球产业链供应链面临重构，出现本地化、多元化、分散化趋势，均对我国产业链带来冲击，阻碍我国产业链升级。同时，新一轮科技革命和产业变革深度演进、相互交织，人工智能、量子科技、生物科技等蓬勃发展，重大颠覆性技术不断涌现，产业组织形式和产业链条更具垄断性，国际力量对比深刻调整，处于重大突破的历史关口，科技竞争越来越成为大国竞争的重要方面，可能重构全球经济格局和创新版图，进一步影响甚至重塑全球竞争格局。如何在这纷繁诡谲的国际形势中把握这种“大变局”，避免外部环境干扰，充分发挥国内国外各种力量，坚定不移走自己的路，集中力量办好自己的事，这对我国应对复杂形势的智慧和能力是一个十分巨大的考验。</w:t>
      </w:r>
    </w:p>
    <w:p w14:paraId="35B4E2E5">
      <w:pPr>
        <w:ind w:firstLine="640"/>
        <w:rPr>
          <w:rFonts w:hint="default" w:ascii="Times New Roman" w:hAnsi="Times New Roman" w:cs="Times New Roman"/>
        </w:rPr>
      </w:pPr>
      <w:r>
        <w:rPr>
          <w:rFonts w:hint="default" w:ascii="Times New Roman" w:hAnsi="Times New Roman" w:cs="Times New Roman"/>
        </w:rPr>
        <w:t>我国经济从“十二五”的经济增速换挡到“十三五”经济动能初步转换，基本完成了从稳增长到调结构的转变，“十四五”将是我国经济突破发展瓶颈、释放新动能、实现高质量发展的关键五年。从奋斗目标看，“十四五”时期是我国实现第一个百年奋斗目标之后，乘势而上开启全面建设社会主义现代化国家新征程、向第二个百年奋斗目标进军的第一个五年。从主要任务看，这五年将全面构建高质量的现代化经济体系，实现综合国力和国际影响力的大幅提升，体现对深刻变化的国内外环境的清醒认识和科学把握，为党和国家在新阶段谋划新发展提供了根本遵循。</w:t>
      </w:r>
    </w:p>
    <w:p w14:paraId="298EBDAA">
      <w:pPr>
        <w:ind w:firstLine="640"/>
        <w:rPr>
          <w:rFonts w:hint="default" w:ascii="Times New Roman" w:hAnsi="Times New Roman" w:cs="Times New Roman"/>
        </w:rPr>
      </w:pPr>
      <w:r>
        <w:rPr>
          <w:rFonts w:hint="default" w:ascii="Times New Roman" w:hAnsi="Times New Roman" w:cs="Times New Roman"/>
        </w:rPr>
        <w:t>深刻认识这一“大变局”的丰富内涵和我国社会主要矛盾变化带来的新特征新要求，牢牢把握大变局给中华民族伟大复兴带来的机遇和挑战，增强机遇意识和风险意识，办好自己的事，认识和把握发展规律，树立底线思维，准确识变、科学应变、主动求变，在危机中育先机、于变局中开新局，是科学制定“十四五”规划的重要前提。</w:t>
      </w:r>
    </w:p>
    <w:p w14:paraId="56039EFA">
      <w:pPr>
        <w:pStyle w:val="4"/>
        <w:rPr>
          <w:rFonts w:hint="default" w:ascii="Times New Roman" w:hAnsi="Times New Roman" w:cs="Times New Roman"/>
        </w:rPr>
      </w:pPr>
      <w:bookmarkStart w:id="57" w:name="_Toc67038972"/>
      <w:r>
        <w:rPr>
          <w:rFonts w:hint="default" w:ascii="Times New Roman" w:hAnsi="Times New Roman" w:cs="Times New Roman"/>
        </w:rPr>
        <w:t>第二节 发展机遇</w:t>
      </w:r>
      <w:bookmarkEnd w:id="57"/>
    </w:p>
    <w:p w14:paraId="20849673">
      <w:pPr>
        <w:ind w:firstLine="640"/>
        <w:rPr>
          <w:rFonts w:hint="default" w:ascii="Times New Roman" w:hAnsi="Times New Roman" w:cs="Times New Roman"/>
        </w:rPr>
      </w:pPr>
      <w:r>
        <w:rPr>
          <w:rFonts w:hint="default" w:ascii="Times New Roman" w:hAnsi="Times New Roman" w:cs="Times New Roman"/>
        </w:rPr>
        <w:t>红塔区民营经济“十四五”发展，要</w:t>
      </w:r>
      <w:bookmarkStart w:id="58" w:name="_Hlk64105247"/>
      <w:r>
        <w:rPr>
          <w:rFonts w:hint="default" w:ascii="Times New Roman" w:hAnsi="Times New Roman" w:cs="Times New Roman"/>
        </w:rPr>
        <w:t>在中华民族伟大复兴战略全局、世界百年未有之大变局中谋划区域工业发展蓝图，在构建以国内大循环为主体、国内国际双循环相互促进的新发展格局中找准自身定位，</w:t>
      </w:r>
      <w:bookmarkEnd w:id="58"/>
      <w:r>
        <w:rPr>
          <w:rFonts w:hint="default" w:ascii="Times New Roman" w:hAnsi="Times New Roman" w:cs="Times New Roman"/>
        </w:rPr>
        <w:t>通过自觉推进全面深化改革和主动扩大更高层次、更高水平对外开放所带来的活力和动力，推动红塔区工业的高质量发展。要把握全球经济增长重心移至亚洲、甚至我国的机遇，云南省在全国发展大局中的坐标方位和使命机遇，产业链远端收缩、本地化延展的机遇。特别是要把握好玉溪将加快推动5G、人工智能、工业互联网等建设，稳步推进传统基础设施的“数字+”、“智能+”升级，撬动供应链产业链价值链的畅通，数字价值化、产业数字化、数字产业化和数字化治理和智能化的转型，促进消费拉动，城乡一体化和产城融合建设带来的传统产业新发展、新兴产业新期待、创新驱动新局面，以及在国家同南亚东南亚的交流合作不断加强，泛亚铁路中线明年通车，玉溪市的枢纽作用越发凸显等方面加快释放战略节点性、生态宜居性、开放创新性、产业体系较完备优势的机遇。</w:t>
      </w:r>
    </w:p>
    <w:p w14:paraId="4395D381">
      <w:pPr>
        <w:pStyle w:val="7"/>
        <w:rPr>
          <w:rFonts w:hint="default" w:ascii="Times New Roman" w:hAnsi="Times New Roman" w:cs="Times New Roman"/>
        </w:rPr>
      </w:pPr>
      <w:r>
        <w:rPr>
          <w:rFonts w:hint="default" w:ascii="Times New Roman" w:hAnsi="Times New Roman" w:cs="Times New Roman"/>
        </w:rPr>
        <w:t>第三节 面对挑战</w:t>
      </w:r>
    </w:p>
    <w:p w14:paraId="35CE7EB4">
      <w:pPr>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十四五”红塔区工业发展不可避免地会面对全球技术周期、金融周期、经济周期叠加影响下，经贸格局、技术格局、产业分工等将发生重大变革，世界经济呈现动能趋缓、分化明显、下行风险上升、规则调整加快，不确定不稳定因素增多的挑战，以及我国经济与自身发展所面临的不平衡问题相叠加，稳增长、防风险难度加大，企业转型升级压力增加，生产成本上升，利润增速下降，投资大幅下滑，民营经济普遍面临资金短缺，企业急需的技术、管理类人才短缺的形势。</w:t>
      </w:r>
    </w:p>
    <w:p w14:paraId="393CC14A">
      <w:pPr>
        <w:pStyle w:val="18"/>
        <w:rPr>
          <w:rFonts w:hint="default" w:ascii="Times New Roman" w:hAnsi="Times New Roman" w:cs="Times New Roman"/>
        </w:rPr>
      </w:pPr>
      <w:bookmarkStart w:id="59" w:name="_Toc67038973"/>
      <w:r>
        <w:rPr>
          <w:rFonts w:hint="default" w:ascii="Times New Roman" w:hAnsi="Times New Roman" w:cs="Times New Roman"/>
        </w:rPr>
        <w:t>第三章 指导思想、发展原则与发展思路</w:t>
      </w:r>
      <w:bookmarkEnd w:id="59"/>
    </w:p>
    <w:p w14:paraId="1F20F04A">
      <w:pPr>
        <w:pStyle w:val="4"/>
        <w:rPr>
          <w:rFonts w:hint="default" w:ascii="Times New Roman" w:hAnsi="Times New Roman" w:cs="Times New Roman"/>
        </w:rPr>
      </w:pPr>
      <w:bookmarkStart w:id="60" w:name="_Toc67038974"/>
      <w:r>
        <w:rPr>
          <w:rFonts w:hint="default" w:ascii="Times New Roman" w:hAnsi="Times New Roman" w:cs="Times New Roman"/>
        </w:rPr>
        <w:t>第一节 指导思想</w:t>
      </w:r>
      <w:bookmarkEnd w:id="60"/>
    </w:p>
    <w:p w14:paraId="43C2E0A5">
      <w:pPr>
        <w:ind w:firstLine="640"/>
        <w:rPr>
          <w:rFonts w:hint="default" w:ascii="Times New Roman" w:hAnsi="Times New Roman" w:cs="Times New Roman"/>
        </w:rPr>
      </w:pPr>
      <w:r>
        <w:rPr>
          <w:rFonts w:hint="default" w:ascii="Times New Roman" w:hAnsi="Times New Roman" w:cs="Times New Roman"/>
        </w:rPr>
        <w:t>坚持以</w:t>
      </w:r>
      <w:r>
        <w:rPr>
          <w:rFonts w:hint="eastAsia" w:cs="Times New Roman"/>
          <w:lang w:eastAsia="zh-CN"/>
        </w:rPr>
        <w:t>习近平</w:t>
      </w:r>
      <w:r>
        <w:rPr>
          <w:rFonts w:hint="default" w:ascii="Times New Roman" w:hAnsi="Times New Roman" w:cs="Times New Roman"/>
        </w:rPr>
        <w:t>新时代中国特色社会主义思想为指导，全面贯彻落实党的十九大和十九届三中、四中、五中全会精神，牢固树立并切实贯彻创新、协调、绿色、开放、共享的发展理念，以科技创新为核心，以产业创新为重点，以体制机制创新为动力，以提质增效为目标，按照玉溪市打造“两区一高地”要求，以提升创业创新能力为主线，提高红塔区在烟草、钢铁、数控机床、绿色农产品、生物医药、现代物流、数字经济等领域，全面提升玉溪的嵌入度、贡献率和价值链地位，降成本、补短板。推进供给侧结构性改革，完善法律政策，改善公共服务，优化发展环境，推动大众创业万众创新，不断培育新增量、新动能，促进民营企业实现持续健康发展。加快发展现代产业体系，推动经济体系优化升级，融入国内市场，在面向南亚东南亚辐射取得进展，构建新发展格局。</w:t>
      </w:r>
    </w:p>
    <w:p w14:paraId="1252592A">
      <w:pPr>
        <w:pStyle w:val="7"/>
        <w:rPr>
          <w:rFonts w:hint="default" w:ascii="Times New Roman" w:hAnsi="Times New Roman" w:cs="Times New Roman"/>
        </w:rPr>
      </w:pPr>
      <w:r>
        <w:rPr>
          <w:rFonts w:hint="default" w:ascii="Times New Roman" w:hAnsi="Times New Roman" w:cs="Times New Roman"/>
        </w:rPr>
        <w:t>第二节 基本原则</w:t>
      </w:r>
    </w:p>
    <w:p w14:paraId="4834AD2F">
      <w:pPr>
        <w:ind w:firstLine="640"/>
        <w:rPr>
          <w:rFonts w:hint="default" w:ascii="Times New Roman" w:hAnsi="Times New Roman" w:cs="Times New Roman"/>
        </w:rPr>
      </w:pPr>
      <w:r>
        <w:rPr>
          <w:rFonts w:hint="default" w:ascii="Times New Roman" w:hAnsi="Times New Roman" w:cs="Times New Roman"/>
        </w:rPr>
        <w:t>本规划立足当前区基本现状和民营经济发展实际，在问题引导、目标导向，以及政府引导、市场主导、社会参与总体原则基础上，遵循以下基本原则。</w:t>
      </w:r>
    </w:p>
    <w:p w14:paraId="50AAD6E1">
      <w:pPr>
        <w:pStyle w:val="5"/>
        <w:spacing w:before="240" w:after="240"/>
        <w:rPr>
          <w:rFonts w:hint="default" w:ascii="Times New Roman" w:hAnsi="Times New Roman" w:cs="Times New Roman"/>
        </w:rPr>
      </w:pPr>
      <w:bookmarkStart w:id="61" w:name="_Toc67038975"/>
      <w:r>
        <w:rPr>
          <w:rFonts w:hint="default" w:ascii="Times New Roman" w:hAnsi="Times New Roman" w:cs="Times New Roman"/>
        </w:rPr>
        <w:t>一、坚持新发展理念</w:t>
      </w:r>
      <w:bookmarkEnd w:id="61"/>
    </w:p>
    <w:p w14:paraId="37820E92">
      <w:pPr>
        <w:ind w:firstLine="640"/>
        <w:rPr>
          <w:rFonts w:hint="default" w:ascii="Times New Roman" w:hAnsi="Times New Roman" w:cs="Times New Roman"/>
        </w:rPr>
      </w:pPr>
      <w:r>
        <w:rPr>
          <w:rFonts w:hint="default" w:ascii="Times New Roman" w:hAnsi="Times New Roman" w:cs="Times New Roman"/>
        </w:rPr>
        <w:t>牢固树立创新、协调、绿色、开放、共享发展理念，坚持稳中求进工作总基调，以推动民营经济高质量发展为主题，以深化供给侧结构性改革为主线，以改革创新为根本动力，持续推进民营经济产业结构优化升级，推动民营工业经济转向高质量发展，把新发展理念贯彻落实到民营经济发展全过程，坚持开放型、创新型和自动化、高端化、信息化、绿色化、安全化的发展方向，用新发展理念破解发展难题，指导发展。</w:t>
      </w:r>
    </w:p>
    <w:p w14:paraId="2BF8156D">
      <w:pPr>
        <w:pStyle w:val="5"/>
        <w:spacing w:before="240" w:after="240"/>
        <w:rPr>
          <w:rFonts w:hint="default" w:ascii="Times New Roman" w:hAnsi="Times New Roman" w:cs="Times New Roman"/>
        </w:rPr>
      </w:pPr>
      <w:bookmarkStart w:id="62" w:name="_Toc67038976"/>
      <w:r>
        <w:rPr>
          <w:rFonts w:hint="default" w:ascii="Times New Roman" w:hAnsi="Times New Roman" w:cs="Times New Roman"/>
        </w:rPr>
        <w:t>二、着力于创新驱动</w:t>
      </w:r>
      <w:bookmarkEnd w:id="62"/>
    </w:p>
    <w:p w14:paraId="7180B693">
      <w:pPr>
        <w:ind w:firstLine="640"/>
        <w:rPr>
          <w:rFonts w:hint="default" w:ascii="Times New Roman" w:hAnsi="Times New Roman" w:cs="Times New Roman"/>
        </w:rPr>
      </w:pPr>
      <w:r>
        <w:rPr>
          <w:rFonts w:hint="default" w:ascii="Times New Roman" w:hAnsi="Times New Roman" w:cs="Times New Roman"/>
        </w:rPr>
        <w:t>坚持创新驱动，推动转型。把创新摆在民营经济发展全局的核心位置，强化科技创新对民营经济的引领作用，推动科技创新与大众创业、万众创新有机结合，建立健全完善的服务于民营经济的公共创新平台体系，进一步增强民营企业自主创新能力，进一步完善现代企业治理结构，转变传统发展思路和发展方式，用好外资外脑外力，鼓励民营企业加快从物质要素投入为主向创新驱动为主转变，提高民营企业全要素生产率，推动民营企业新旧动能转换和转型升级，推动产业由低端向中高端转变，拓展产业发展新空间，着力打造红塔区本土品牌。</w:t>
      </w:r>
    </w:p>
    <w:p w14:paraId="7B51FC45">
      <w:pPr>
        <w:pStyle w:val="5"/>
        <w:spacing w:before="240" w:after="240"/>
        <w:rPr>
          <w:rFonts w:hint="default" w:ascii="Times New Roman" w:hAnsi="Times New Roman" w:cs="Times New Roman"/>
        </w:rPr>
      </w:pPr>
      <w:bookmarkStart w:id="63" w:name="_Toc67038977"/>
      <w:r>
        <w:rPr>
          <w:rFonts w:hint="default" w:ascii="Times New Roman" w:hAnsi="Times New Roman" w:cs="Times New Roman"/>
        </w:rPr>
        <w:t>三、深化供给侧改革</w:t>
      </w:r>
      <w:bookmarkEnd w:id="63"/>
    </w:p>
    <w:p w14:paraId="60A2B5B4">
      <w:pPr>
        <w:ind w:firstLine="640"/>
        <w:rPr>
          <w:rFonts w:hint="default" w:ascii="Times New Roman" w:hAnsi="Times New Roman" w:cs="Times New Roman"/>
        </w:rPr>
      </w:pPr>
      <w:r>
        <w:rPr>
          <w:rFonts w:hint="default" w:ascii="Times New Roman" w:hAnsi="Times New Roman" w:cs="Times New Roman"/>
        </w:rPr>
        <w:t>继续以</w:t>
      </w:r>
      <w:bookmarkStart w:id="64" w:name="_Hlk56318768"/>
      <w:r>
        <w:rPr>
          <w:rFonts w:hint="default" w:ascii="Times New Roman" w:hAnsi="Times New Roman" w:cs="Times New Roman"/>
        </w:rPr>
        <w:t>供给侧</w:t>
      </w:r>
      <w:bookmarkEnd w:id="64"/>
      <w:r>
        <w:rPr>
          <w:rFonts w:hint="default" w:ascii="Times New Roman" w:hAnsi="Times New Roman" w:cs="Times New Roman"/>
        </w:rPr>
        <w:t>结构性改革为引领，着力补齐产业发展短板，优化要素配置，推动产业结构升级，增强有效供给、高效供给能力，严格落实国家产业政策，严禁产能过剩行业新增产能，坚决淘汰落后产能，夯实实体经济根基。</w:t>
      </w:r>
      <w:bookmarkStart w:id="65" w:name="_Hlk56319120"/>
      <w:r>
        <w:rPr>
          <w:rFonts w:hint="default" w:ascii="Times New Roman" w:hAnsi="Times New Roman" w:cs="Times New Roman"/>
        </w:rPr>
        <w:t>鼓励民营经济转型升级</w:t>
      </w:r>
      <w:bookmarkEnd w:id="65"/>
      <w:r>
        <w:rPr>
          <w:rFonts w:hint="default" w:ascii="Times New Roman" w:hAnsi="Times New Roman" w:cs="Times New Roman"/>
        </w:rPr>
        <w:t>，支持民营企业通过技术改造优化产品结构，从粗放经营、数量扩张向集约经营、结构优化、科技创新转变，加快民营经济产业结构调整步伐，补齐区域绿色生态协调发展短板。</w:t>
      </w:r>
    </w:p>
    <w:p w14:paraId="73DB8CEB">
      <w:pPr>
        <w:pStyle w:val="5"/>
        <w:spacing w:before="240" w:after="240"/>
        <w:rPr>
          <w:rFonts w:hint="default" w:ascii="Times New Roman" w:hAnsi="Times New Roman" w:cs="Times New Roman"/>
        </w:rPr>
      </w:pPr>
      <w:bookmarkStart w:id="66" w:name="_Toc67038978"/>
      <w:r>
        <w:rPr>
          <w:rFonts w:hint="default" w:ascii="Times New Roman" w:hAnsi="Times New Roman" w:cs="Times New Roman"/>
        </w:rPr>
        <w:t>四、推动创业+兴业</w:t>
      </w:r>
      <w:bookmarkEnd w:id="66"/>
    </w:p>
    <w:p w14:paraId="3F723072">
      <w:pPr>
        <w:ind w:firstLine="640"/>
        <w:rPr>
          <w:rFonts w:hint="default" w:ascii="Times New Roman" w:hAnsi="Times New Roman" w:cs="Times New Roman"/>
        </w:rPr>
      </w:pPr>
      <w:r>
        <w:rPr>
          <w:rFonts w:hint="default" w:ascii="Times New Roman" w:hAnsi="Times New Roman" w:cs="Times New Roman"/>
        </w:rPr>
        <w:t>把</w:t>
      </w:r>
      <w:bookmarkStart w:id="67" w:name="_Hlk56318943"/>
      <w:r>
        <w:rPr>
          <w:rFonts w:hint="default" w:ascii="Times New Roman" w:hAnsi="Times New Roman" w:cs="Times New Roman"/>
        </w:rPr>
        <w:t>推动</w:t>
      </w:r>
      <w:bookmarkEnd w:id="67"/>
      <w:r>
        <w:rPr>
          <w:rFonts w:hint="default" w:ascii="Times New Roman" w:hAnsi="Times New Roman" w:cs="Times New Roman"/>
        </w:rPr>
        <w:t>创业兴业作为打造区工业经济增长的新引擎。大力扶持小微企业，打造民营经济核心竞争力，扩大市场份额。弘扬创业精神，培育创业主体，完善创业服务，全面激发民营经济创新活力和创业激情，加快推动民营经济发展转入科技引领、创新驱动轨道，提高创业兴业能力。着力补齐民营经济发展短板，优化要素配置，推动产业结构升级，增强有效供给、高效供给能力。</w:t>
      </w:r>
    </w:p>
    <w:p w14:paraId="14B03EB1">
      <w:pPr>
        <w:pStyle w:val="5"/>
        <w:spacing w:before="240" w:after="240"/>
        <w:rPr>
          <w:rFonts w:hint="default" w:ascii="Times New Roman" w:hAnsi="Times New Roman" w:cs="Times New Roman"/>
        </w:rPr>
      </w:pPr>
      <w:bookmarkStart w:id="68" w:name="_Toc67038979"/>
      <w:r>
        <w:rPr>
          <w:rFonts w:hint="default" w:ascii="Times New Roman" w:hAnsi="Times New Roman" w:cs="Times New Roman"/>
        </w:rPr>
        <w:t>五、绿色发展为主线</w:t>
      </w:r>
      <w:bookmarkEnd w:id="68"/>
    </w:p>
    <w:p w14:paraId="2455CC42">
      <w:pPr>
        <w:ind w:firstLine="640"/>
        <w:rPr>
          <w:rFonts w:hint="default" w:ascii="Times New Roman" w:hAnsi="Times New Roman" w:cs="Times New Roman"/>
        </w:rPr>
      </w:pPr>
      <w:r>
        <w:rPr>
          <w:rFonts w:hint="default" w:ascii="Times New Roman" w:hAnsi="Times New Roman" w:cs="Times New Roman"/>
        </w:rPr>
        <w:t>以</w:t>
      </w:r>
      <w:bookmarkStart w:id="69" w:name="_Hlk56319432"/>
      <w:r>
        <w:rPr>
          <w:rFonts w:hint="default" w:ascii="Times New Roman" w:hAnsi="Times New Roman" w:cs="Times New Roman"/>
        </w:rPr>
        <w:t>绿色发展为主线</w:t>
      </w:r>
      <w:bookmarkEnd w:id="69"/>
      <w:r>
        <w:rPr>
          <w:rFonts w:hint="default" w:ascii="Times New Roman" w:hAnsi="Times New Roman" w:cs="Times New Roman"/>
        </w:rPr>
        <w:t>。坚持生态优先、绿色发展，坚持生态红线，坚决杜绝污染环境、影响生态的产业发展，重点发展绿色产业，实现产业发展与生态建设有机统一、相互促进、和谐共赢。选择引进对社会建设、生态环境、改善民生作用明显的项目，走绿色、协调和可持续发展道路，提高发展质量和效益。</w:t>
      </w:r>
    </w:p>
    <w:p w14:paraId="3F243884">
      <w:pPr>
        <w:pStyle w:val="5"/>
        <w:spacing w:before="240" w:after="240"/>
        <w:rPr>
          <w:rFonts w:hint="default" w:ascii="Times New Roman" w:hAnsi="Times New Roman" w:cs="Times New Roman"/>
        </w:rPr>
      </w:pPr>
      <w:bookmarkStart w:id="70" w:name="_Toc67038980"/>
      <w:r>
        <w:rPr>
          <w:rFonts w:hint="default" w:ascii="Times New Roman" w:hAnsi="Times New Roman" w:cs="Times New Roman"/>
        </w:rPr>
        <w:t>六、改善发展软环境</w:t>
      </w:r>
      <w:bookmarkEnd w:id="70"/>
    </w:p>
    <w:p w14:paraId="58B1F897">
      <w:pPr>
        <w:ind w:firstLine="640"/>
        <w:rPr>
          <w:rFonts w:hint="default" w:ascii="Times New Roman" w:hAnsi="Times New Roman" w:cs="Times New Roman"/>
        </w:rPr>
      </w:pPr>
      <w:r>
        <w:rPr>
          <w:rFonts w:hint="default" w:ascii="Times New Roman" w:hAnsi="Times New Roman" w:cs="Times New Roman"/>
        </w:rPr>
        <w:t>充分发挥市场在资源配置中的决定性作用，进一步完善鼓励民营经济发展政策，不断改进服务方式，提高政府管理与公共服务能力，降低企业成本、减轻企业负担，营造更加有利于民营企业发展的环境，继续加大“放管服”改革力度，从软环境、硬环境上极大程度的释放政策活力、制度活力，大力破解制约民营经济发展的体制机制障碍，不断优化民营经济营商环境，营造民营经济依法平等使用生产要素、公平参与市场竞争的体制环境，真正落实民营经济平等的社会地位。</w:t>
      </w:r>
    </w:p>
    <w:p w14:paraId="7CAB0751">
      <w:pPr>
        <w:pStyle w:val="5"/>
        <w:spacing w:before="240" w:after="240"/>
        <w:rPr>
          <w:rFonts w:hint="default" w:ascii="Times New Roman" w:hAnsi="Times New Roman" w:cs="Times New Roman"/>
        </w:rPr>
      </w:pPr>
      <w:bookmarkStart w:id="71" w:name="_Toc67038981"/>
      <w:r>
        <w:rPr>
          <w:rFonts w:hint="default" w:ascii="Times New Roman" w:hAnsi="Times New Roman" w:cs="Times New Roman"/>
        </w:rPr>
        <w:t>七、实体经济为抓手</w:t>
      </w:r>
      <w:bookmarkEnd w:id="71"/>
    </w:p>
    <w:p w14:paraId="416B440C">
      <w:pPr>
        <w:ind w:firstLine="640"/>
        <w:rPr>
          <w:rFonts w:hint="default" w:ascii="Times New Roman" w:hAnsi="Times New Roman" w:cs="Times New Roman"/>
        </w:rPr>
      </w:pPr>
      <w:r>
        <w:rPr>
          <w:rFonts w:hint="default" w:ascii="Times New Roman" w:hAnsi="Times New Roman" w:cs="Times New Roman"/>
        </w:rPr>
        <w:t>以</w:t>
      </w:r>
      <w:bookmarkStart w:id="72" w:name="_Hlk56292629"/>
      <w:r>
        <w:rPr>
          <w:rFonts w:hint="default" w:ascii="Times New Roman" w:hAnsi="Times New Roman" w:cs="Times New Roman"/>
        </w:rPr>
        <w:t>发展实体经济</w:t>
      </w:r>
      <w:bookmarkEnd w:id="72"/>
      <w:bookmarkStart w:id="73" w:name="_Hlk56319736"/>
      <w:r>
        <w:rPr>
          <w:rFonts w:hint="default" w:ascii="Times New Roman" w:hAnsi="Times New Roman" w:cs="Times New Roman"/>
        </w:rPr>
        <w:t>为抓手</w:t>
      </w:r>
      <w:bookmarkEnd w:id="73"/>
      <w:r>
        <w:rPr>
          <w:rFonts w:hint="default" w:ascii="Times New Roman" w:hAnsi="Times New Roman" w:cs="Times New Roman"/>
        </w:rPr>
        <w:t>，大力发展实体经济，筑牢现代化经济体系的坚实基础，主动服务和融入国家发展战略，积极把握国内大循环为主体、国内国际双循环相互促进新发展格局发展先机和市场商机，深化国际合作和省内区域合作，统筹利用国内国际两个市场，两种资源，准确识变、科学应变、主动求变，在危机中育先机、于变局中开新局。坚持市场化运作，深化改革开放，发挥市场在资源配置中的决定性作用，政府重点在营造环境、规划引导、加强服务、市场失灵环节等方面主动作为。</w:t>
      </w:r>
    </w:p>
    <w:p w14:paraId="4F90420A">
      <w:pPr>
        <w:pStyle w:val="5"/>
        <w:spacing w:before="240" w:after="240"/>
        <w:rPr>
          <w:rFonts w:hint="default" w:ascii="Times New Roman" w:hAnsi="Times New Roman" w:cs="Times New Roman"/>
        </w:rPr>
      </w:pPr>
      <w:bookmarkStart w:id="74" w:name="_Toc67038982"/>
      <w:r>
        <w:rPr>
          <w:rFonts w:hint="default" w:ascii="Times New Roman" w:hAnsi="Times New Roman" w:cs="Times New Roman"/>
        </w:rPr>
        <w:t>八、建设产业链体系</w:t>
      </w:r>
      <w:bookmarkEnd w:id="74"/>
    </w:p>
    <w:p w14:paraId="6BC7F514">
      <w:pPr>
        <w:ind w:firstLine="640"/>
        <w:rPr>
          <w:rFonts w:hint="default" w:ascii="Times New Roman" w:hAnsi="Times New Roman" w:cs="Times New Roman"/>
        </w:rPr>
      </w:pPr>
      <w:r>
        <w:rPr>
          <w:rFonts w:hint="default" w:ascii="Times New Roman" w:hAnsi="Times New Roman" w:cs="Times New Roman"/>
        </w:rPr>
        <w:t>产业基础高级化、产业链现代化水平明显提高是“十四五”时期我国经济社会发展的一项主要目标。借力于玉溪市工业产业链体系建设，“拉长板”、“补短板”推动产业基础高级化、产业链现代化进程，实施技改工程，推进传统产业数字化、网络化、智能化升级改造，以链引导，选择与红塔区禀赋相匹配的项目招商和产业发展，避免同质化竞争，实现产业差异化健康发展。突破性培育发展数字经济、人工智能等，夯实产业后发基础。</w:t>
      </w:r>
    </w:p>
    <w:p w14:paraId="2C95E007">
      <w:pPr>
        <w:pStyle w:val="4"/>
        <w:rPr>
          <w:rFonts w:hint="default" w:ascii="Times New Roman" w:hAnsi="Times New Roman" w:cs="Times New Roman"/>
        </w:rPr>
      </w:pPr>
      <w:bookmarkStart w:id="75" w:name="_Toc67038983"/>
      <w:r>
        <w:rPr>
          <w:rFonts w:hint="default" w:ascii="Times New Roman" w:hAnsi="Times New Roman" w:cs="Times New Roman"/>
        </w:rPr>
        <w:t>第三节 发展思路</w:t>
      </w:r>
      <w:bookmarkEnd w:id="75"/>
    </w:p>
    <w:p w14:paraId="08706530">
      <w:pPr>
        <w:ind w:firstLine="640"/>
        <w:rPr>
          <w:rFonts w:hint="default" w:ascii="Times New Roman" w:hAnsi="Times New Roman" w:cs="Times New Roman"/>
        </w:rPr>
      </w:pPr>
      <w:r>
        <w:rPr>
          <w:rFonts w:hint="default" w:ascii="Times New Roman" w:hAnsi="Times New Roman" w:cs="Times New Roman"/>
        </w:rPr>
        <w:t>“十四五”时期，深入贯彻落实党的十九大和十九届二中、三中、四中、五中全会和习近平总书记在民营企业座谈会上的</w:t>
      </w:r>
      <w:r>
        <w:rPr>
          <w:rFonts w:hint="eastAsia" w:cs="Times New Roman"/>
          <w:lang w:eastAsia="zh-CN"/>
        </w:rPr>
        <w:t>重要</w:t>
      </w:r>
      <w:r>
        <w:rPr>
          <w:rFonts w:hint="default" w:ascii="Times New Roman" w:hAnsi="Times New Roman" w:cs="Times New Roman"/>
        </w:rPr>
        <w:t>讲话精神，深刻认识民营经济在我区经济社会发展中的重要地位和作用，着力固根基、扬优势、补短板、强弱项，坚持“两个毫不动摇”“三个没有变”，聚力“在推动经济高质量发展上要走在全省前列”，打好“三张牌”，坚持“生态立区、创新兴区、产业强区、开放活区”发展战略和“三抓三保”工作，按照市委市政府大力发展高</w:t>
      </w:r>
      <w:bookmarkStart w:id="126" w:name="_GoBack"/>
      <w:bookmarkEnd w:id="126"/>
      <w:r>
        <w:rPr>
          <w:rFonts w:hint="default" w:ascii="Times New Roman" w:hAnsi="Times New Roman" w:cs="Times New Roman"/>
        </w:rPr>
        <w:t>原特色现代农业、矿冶、旅游文化、现代物流、健康服务等千亿级产业，加快发展卷烟及配套、先进装备制造、数字经济、生物医药及医疗器械、建筑、金融、房地产、新能源新材料等百亿级产业，打造千亿级园区、千亿级产业集群的要求，落实市委市政府引导民营企业参与混合所有制改革，设立工业产业发展引导基金，培育一批“专精特新”中小企业、制造业“单项冠军”和行业“小巨人”的要求。坚持新发展理念，发展是第一要务，以供给侧结构性改革为主线、高质量共建“一带一路”为契机，坚持和创新的核心地位，把科技自立自强作为国家发展的战略支撑，进一步深化创新驱动，改革完善有利于科技创新的体制机制，激发红塔区民营经济未来发展的活力和动力。立足“做精一产、做强二产、做大三产”，充分发挥民营经济在一二三产业融合发展，构建“一核三带”生产力空间格局中的支撑优势，突出抓重点、攻难点、赶热点，重视园区的优化提升方案实施和绿色钢城建设带来的区属工业管理范围大幅收窄影响，抓民企减负重点，为企业解忧</w:t>
      </w:r>
      <w:bookmarkStart w:id="76" w:name="_Hlk63234124"/>
      <w:r>
        <w:rPr>
          <w:rFonts w:hint="default" w:ascii="Times New Roman" w:hAnsi="Times New Roman" w:cs="Times New Roman"/>
        </w:rPr>
        <w:t>纾困</w:t>
      </w:r>
      <w:bookmarkEnd w:id="76"/>
      <w:r>
        <w:rPr>
          <w:rFonts w:hint="default" w:ascii="Times New Roman" w:hAnsi="Times New Roman" w:cs="Times New Roman"/>
        </w:rPr>
        <w:t>，攻克融资难、融资贵瓶颈，围绕红塔区钢铁及压延加工、卷烟配套、装备制造、战略性新兴产业及信息产业、生物医药和大健康等重点产业，加大扶持力度，优化发展环境，全力以赴统筹推进协调发展，加快传统产业向数字化、智能化转型升级，新兴产业向引领性、战略性培育壮大，助推民企转型升级步入高质量发展轨道。提高服务效能，千方百计促消费扩内需，激活民营经济市场主体活力和创造力，加快转型升级。不断提升民营企业综合实力和竞争力，促进民营经济迈向中高端水平。</w:t>
      </w:r>
    </w:p>
    <w:p w14:paraId="58A88EC3">
      <w:pPr>
        <w:pStyle w:val="18"/>
        <w:rPr>
          <w:rFonts w:hint="default" w:ascii="Times New Roman" w:hAnsi="Times New Roman" w:cs="Times New Roman"/>
        </w:rPr>
      </w:pPr>
      <w:bookmarkStart w:id="77" w:name="_Toc67038984"/>
      <w:r>
        <w:rPr>
          <w:rFonts w:hint="default" w:ascii="Times New Roman" w:hAnsi="Times New Roman" w:cs="Times New Roman"/>
        </w:rPr>
        <w:t>第四章 发展目标</w:t>
      </w:r>
      <w:bookmarkEnd w:id="77"/>
    </w:p>
    <w:p w14:paraId="31B56FB6">
      <w:pPr>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十四五”时期，红塔区民营经济发展是通过政府引导、制度创新、政策扶持，不断激发民营经济的创造力，营造民营经济发展的良好环境，鼓励民营企业进入更多的产业领域，构建与区属产业体系相适应的民营经济发展体系。坚持“两个毫不动摇”，引导民营企业参与混合所有制改革，设立工业产业发展引导基金，培育一批“专精特新”中小企业、制造业“单项冠军”和行业“小巨人”。到2025年，力争民营经济保持总体规模不断扩大、发展环境更加优化，经济贡献稳步提高，投资领域不断扩大，吸纳就业显著，创新能力明显提升，产业链条全面延伸，区域产品覆盖范围更广，环保价值越发凸显的民营经济发展体系。</w:t>
      </w:r>
    </w:p>
    <w:p w14:paraId="640C2A04">
      <w:pPr>
        <w:pStyle w:val="5"/>
        <w:spacing w:before="240" w:after="240"/>
        <w:rPr>
          <w:rFonts w:hint="default" w:ascii="Times New Roman" w:hAnsi="Times New Roman" w:cs="Times New Roman"/>
        </w:rPr>
      </w:pPr>
      <w:bookmarkStart w:id="78" w:name="_Toc67038985"/>
      <w:r>
        <w:rPr>
          <w:rFonts w:hint="default" w:ascii="Times New Roman" w:hAnsi="Times New Roman" w:cs="Times New Roman"/>
        </w:rPr>
        <w:t>一、总体目标</w:t>
      </w:r>
      <w:bookmarkEnd w:id="78"/>
    </w:p>
    <w:p w14:paraId="27493F90">
      <w:pPr>
        <w:ind w:firstLine="640"/>
        <w:rPr>
          <w:rFonts w:hint="default" w:ascii="Times New Roman" w:hAnsi="Times New Roman" w:cs="Times New Roman"/>
        </w:rPr>
      </w:pPr>
      <w:bookmarkStart w:id="79" w:name="_Hlk56285591"/>
      <w:r>
        <w:rPr>
          <w:rFonts w:hint="default" w:ascii="Times New Roman" w:hAnsi="Times New Roman" w:cs="Times New Roman"/>
        </w:rPr>
        <w:t>“十四五”时期，红塔区民营经济发展，主动服务于和融入国家发展、滇中城市群和昆玉一体化战略，切实增强责任感，紧迫感，使命感，实现民营经济与2020年相比，规模总量有所扩大，创新能力和水平不断提升，企业发展活力显著增强，企业发展实力较好提升，对经济和社会发展贡献成效明显。</w:t>
      </w:r>
    </w:p>
    <w:p w14:paraId="601A0783">
      <w:pPr>
        <w:ind w:firstLine="640"/>
        <w:rPr>
          <w:rFonts w:hint="default" w:ascii="Times New Roman" w:hAnsi="Times New Roman" w:cs="Times New Roman"/>
        </w:rPr>
      </w:pPr>
      <w:r>
        <w:rPr>
          <w:rFonts w:hint="default" w:ascii="Times New Roman" w:hAnsi="Times New Roman" w:cs="Times New Roman"/>
        </w:rPr>
        <w:t>2025年，民营经济三次产业结构进一步优化匹配，</w:t>
      </w:r>
      <w:bookmarkEnd w:id="79"/>
      <w:r>
        <w:rPr>
          <w:rFonts w:hint="default" w:ascii="Times New Roman" w:hAnsi="Times New Roman" w:cs="Times New Roman"/>
        </w:rPr>
        <w:t>实现区民营经济增速高于区GDP增速、不低于全市民营经济增速，占区GDP比重不低于50%。企业实力进一步增强，梯次培育形成一批主营业务收入过1亿、10亿、20亿、50亿的大集团、大企业，其中，1亿元以上10家，包含10亿元以上5家、20亿元以上2家、50亿元以上1家。企业创新活力不断激发，企业研究与试验发展（R&amp;D）经费支出占主营业务收入比重不断提高，市级以上认定的民营企业技术中心数量达到65家左右，全区高新技术企业数量达到40户以上。形成一批具有创新能力、知识产权创造优势和知名品牌的科技型中小企业。民间投资不断增大，民间投资占全区固定资产投资比重达到60%以上。民营经济就业人员年均增长3%以上，从业人员总量达到278100人以上。</w:t>
      </w:r>
    </w:p>
    <w:p w14:paraId="523F546A">
      <w:pPr>
        <w:pStyle w:val="5"/>
        <w:spacing w:before="240" w:after="240"/>
        <w:rPr>
          <w:rFonts w:hint="default" w:ascii="Times New Roman" w:hAnsi="Times New Roman" w:cs="Times New Roman"/>
        </w:rPr>
      </w:pPr>
      <w:bookmarkStart w:id="80" w:name="_Toc67038986"/>
      <w:r>
        <w:rPr>
          <w:rFonts w:hint="default" w:ascii="Times New Roman" w:hAnsi="Times New Roman" w:cs="Times New Roman"/>
        </w:rPr>
        <w:t>二、远景目标</w:t>
      </w:r>
      <w:bookmarkEnd w:id="80"/>
    </w:p>
    <w:p w14:paraId="36457BD2">
      <w:pPr>
        <w:ind w:firstLine="640"/>
        <w:rPr>
          <w:rFonts w:hint="default" w:ascii="Times New Roman" w:hAnsi="Times New Roman" w:cs="Times New Roman"/>
        </w:rPr>
      </w:pPr>
      <w:r>
        <w:rPr>
          <w:rFonts w:hint="default" w:ascii="Times New Roman" w:hAnsi="Times New Roman" w:cs="Times New Roman"/>
        </w:rPr>
        <w:t>力争到2035年，基于现有重点产业的</w:t>
      </w:r>
      <w:bookmarkStart w:id="81" w:name="_Hlk56357386"/>
      <w:r>
        <w:rPr>
          <w:rFonts w:hint="default" w:ascii="Times New Roman" w:hAnsi="Times New Roman" w:cs="Times New Roman"/>
        </w:rPr>
        <w:t>民营经济工业总产值</w:t>
      </w:r>
      <w:bookmarkEnd w:id="81"/>
      <w:r>
        <w:rPr>
          <w:rFonts w:hint="default" w:ascii="Times New Roman" w:hAnsi="Times New Roman" w:cs="Times New Roman"/>
        </w:rPr>
        <w:t>突破1440亿元，年均增长10%以上；同时，招商引资，开辟产业新增发展极，支撑民营经济工业总产值的增长。力争培育一批100亿元级、50亿元级、10亿元级民营企业。届时，民营经济实力、企业科技研发实力大幅跃升，经济总量迈上新台阶，多领域关键核心技术实现重大突破，进入创新排名玉溪市、云南省前列，在玉溪市实现新型工业化、信息化、城镇化、农业现代化等方面做出较大贡献。</w:t>
      </w:r>
    </w:p>
    <w:p w14:paraId="17ED66ED">
      <w:pPr>
        <w:pStyle w:val="18"/>
        <w:rPr>
          <w:rFonts w:hint="default" w:ascii="Times New Roman" w:hAnsi="Times New Roman" w:cs="Times New Roman"/>
        </w:rPr>
      </w:pPr>
      <w:bookmarkStart w:id="82" w:name="_Toc67038987"/>
      <w:r>
        <w:rPr>
          <w:rFonts w:hint="default" w:ascii="Times New Roman" w:hAnsi="Times New Roman" w:cs="Times New Roman"/>
        </w:rPr>
        <w:t>第五章 总体布局</w:t>
      </w:r>
      <w:bookmarkEnd w:id="82"/>
    </w:p>
    <w:p w14:paraId="5AEF77C4">
      <w:pPr>
        <w:ind w:firstLine="640"/>
        <w:rPr>
          <w:rFonts w:hint="default" w:ascii="Times New Roman" w:hAnsi="Times New Roman" w:cs="Times New Roman"/>
        </w:rPr>
      </w:pPr>
      <w:r>
        <w:rPr>
          <w:rFonts w:hint="default" w:ascii="Times New Roman" w:hAnsi="Times New Roman" w:cs="Times New Roman"/>
        </w:rPr>
        <w:t>以高新区为重点核心区，特色产业集群为主要支撑，覆盖街道的民营经济网络，布局卷烟配套产业、钢铁及压延加工业、装备制造业、新材料新能源产业、生物医药产业、现代建材产业、数字经济主体产业、现代食品加工业、现代物流业和服务业等民营经济重点产业，奠定民营经济“十四五”发展的坚实基础。展望2035年，促进管理进一步理顺，民营企业创新能力进一步增强，产业不断拓展，支撑区域工业经济高质量发展。</w:t>
      </w:r>
    </w:p>
    <w:p w14:paraId="221DBEEE">
      <w:pPr>
        <w:ind w:firstLine="640"/>
        <w:rPr>
          <w:rFonts w:hint="default" w:ascii="Times New Roman" w:hAnsi="Times New Roman" w:cs="Times New Roman"/>
        </w:rPr>
      </w:pPr>
      <w:r>
        <w:rPr>
          <w:rFonts w:hint="default" w:ascii="Times New Roman" w:hAnsi="Times New Roman" w:cs="Times New Roman"/>
        </w:rPr>
        <w:t>以高新区“一核四片区”为核心，对接红塔区的“一轴两带四组团”发展布局，“一核心四板块”的产业布局，打造重点布局疫苗、单抗、免疫球蛋白、特色中成药、智慧医疗等健康产业的健康特色产城融合示范区；重点发展电子元器件、第三代半导体、智能终端制造的信息特色数字经济生态区；重点聚焦电池材料、锂离子动力电池、绿色环保储能等产业的绿色能源特色制造区；依托维和、赛灵制药，推进与中国中医药大学等科研院所合作建立生物医药产业实训和研发基地，加快发展医疗机构院内制剂、中医药、民族药等生物医药和大健康产业；推进红塔区卷烟配套产业整合，稳定红塔配套，加大对外拓展，填平补齐提升卷烟配套水平；积极开展光电子产业和新能源、新材料产业研究的高质量转型提升示范区。</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p>
    <w:p w14:paraId="46F89B65">
      <w:pPr>
        <w:pStyle w:val="18"/>
        <w:rPr>
          <w:rFonts w:hint="default" w:ascii="Times New Roman" w:hAnsi="Times New Roman" w:cs="Times New Roman"/>
        </w:rPr>
      </w:pPr>
      <w:bookmarkStart w:id="83" w:name="_Toc67038988"/>
      <w:r>
        <w:rPr>
          <w:rFonts w:hint="default" w:ascii="Times New Roman" w:hAnsi="Times New Roman" w:cs="Times New Roman"/>
        </w:rPr>
        <w:t>第六章 重点产业</w:t>
      </w:r>
      <w:bookmarkEnd w:id="83"/>
    </w:p>
    <w:p w14:paraId="27722169">
      <w:pPr>
        <w:pStyle w:val="5"/>
        <w:spacing w:before="240" w:after="240"/>
        <w:rPr>
          <w:rFonts w:hint="default" w:ascii="Times New Roman" w:hAnsi="Times New Roman" w:cs="Times New Roman"/>
        </w:rPr>
      </w:pPr>
      <w:bookmarkStart w:id="84" w:name="_Toc56264754"/>
      <w:bookmarkStart w:id="85" w:name="_Toc67038989"/>
      <w:r>
        <w:rPr>
          <w:rFonts w:hint="default" w:ascii="Times New Roman" w:hAnsi="Times New Roman" w:cs="Times New Roman"/>
        </w:rPr>
        <w:t>一、卷烟配套产业</w:t>
      </w:r>
      <w:bookmarkEnd w:id="84"/>
      <w:bookmarkEnd w:id="85"/>
    </w:p>
    <w:p w14:paraId="6EAD2740">
      <w:pPr>
        <w:ind w:firstLine="640"/>
        <w:rPr>
          <w:rFonts w:hint="default" w:ascii="Times New Roman" w:hAnsi="Times New Roman" w:cs="Times New Roman"/>
        </w:rPr>
      </w:pPr>
      <w:r>
        <w:rPr>
          <w:rFonts w:hint="default" w:ascii="Times New Roman" w:hAnsi="Times New Roman" w:cs="Times New Roman"/>
        </w:rPr>
        <w:t>卷烟配套积极推动大营街卷烟配套企业“退二进三”异地搬迁建设项目，发挥卷烟配套产业覆盖面全、技术能力强、基础牢固的特点，模范打造卷烟配套产业集聚发展区，引导卷烟配套企业开展“二次创业”发展。依托云南红塔塑胶有限公司BOPP薄膜生产线建设项目，采用平面逐次双向拉伸技术，形成年产5万吨BOPP薄膜的生产能力；依托玉溪自强玉新包装材料有限公司多功能软包装材料项目采用印刷、复合、制袋生产工序，生产多功能软包装材料；依托云南创新新材料股份有限公司高智能化液体食品彩印包装盒生产线与自动物流一体化项目，引进目前世界最先进的高智能化淋膜设备，建立自动精准配料、输送及成品自动包装入库输送系统，有效提升产品质量，提高生产率，减少工人劳动强度，降低生产成本，加快卷烟配套产品科技创新。</w:t>
      </w:r>
    </w:p>
    <w:p w14:paraId="65956A37">
      <w:pPr>
        <w:ind w:firstLine="640"/>
        <w:rPr>
          <w:rFonts w:hint="default" w:ascii="Times New Roman" w:hAnsi="Times New Roman" w:cs="Times New Roman"/>
        </w:rPr>
      </w:pPr>
      <w:r>
        <w:rPr>
          <w:rFonts w:hint="default" w:ascii="Times New Roman" w:hAnsi="Times New Roman" w:cs="Times New Roman"/>
        </w:rPr>
        <w:t>依托云南省玉溪印刷有限责任公司、玉溪环球彩印纸盒有限公司、云南红塔彩印包装有限公司、云南通印股份有限公司，彩印包装要拓展出版、娱乐、医药、食品、日用品等扣除烟草制品的其他领域中高档印刷市场；依托云南玉溪水松纸厂，水松纸要加快已开发薄型基材高精度分切设备、薄型基材激光打孔机、薄型基材多单元电子打孔设备、水松纸多色烫金机等“光机电一体化”产业化步伐，自粘金拉线要加大医药、食品、化妆品等市场开拓力度；依托天宏香精香料有限公司、玉溪市高桥化工添加剂、云南玉溪市云溪香精香料有限责任公司，生物化工要大力开发天然的日用、食用、药用等香精香料；依托云南荷乐宾防伪技术有限公司，防伪标识要积极开发更高防伪性能的OVD卷烟防伪箔膜、射频防伪技术等，大力拓展医药、酒类、化妆品等扣除烟草制品的其他领域市场。拓展延伸扣除烟草制品的其他领域新产品，积极拓展扣除烟草制品的其他产品市场，加强行业联合，进一步巩固提升卷烟及配套产业在全国的影响力。</w:t>
      </w:r>
    </w:p>
    <w:p w14:paraId="7C4FF427">
      <w:pPr>
        <w:pStyle w:val="5"/>
        <w:spacing w:before="240" w:after="240"/>
        <w:rPr>
          <w:rFonts w:hint="default" w:ascii="Times New Roman" w:hAnsi="Times New Roman" w:cs="Times New Roman"/>
        </w:rPr>
      </w:pPr>
      <w:bookmarkStart w:id="86" w:name="_Toc67038990"/>
      <w:bookmarkStart w:id="87" w:name="_Toc56264755"/>
      <w:r>
        <w:rPr>
          <w:rFonts w:hint="default" w:ascii="Times New Roman" w:hAnsi="Times New Roman" w:cs="Times New Roman"/>
        </w:rPr>
        <w:t>二、先进装备制造业</w:t>
      </w:r>
      <w:bookmarkEnd w:id="86"/>
      <w:bookmarkEnd w:id="87"/>
    </w:p>
    <w:p w14:paraId="47BEB95F">
      <w:pPr>
        <w:ind w:firstLine="640"/>
        <w:rPr>
          <w:rFonts w:hint="default" w:ascii="Times New Roman" w:hAnsi="Times New Roman" w:cs="Times New Roman"/>
        </w:rPr>
      </w:pPr>
      <w:r>
        <w:rPr>
          <w:rFonts w:hint="default" w:ascii="Times New Roman" w:hAnsi="Times New Roman" w:cs="Times New Roman"/>
        </w:rPr>
        <w:t>积极贯彻落实《玉溪市装备制造业发展规划（2016～2025）》，重点发展高端数控机床、电力装备、装配式钢结构建筑等产业。构建集设计、研发、制造、服务为一体的先进装备制造业产业链，打造全国知名的数控机床产业基地及全省重要的风电装备、智能制造和优质铸造基地。加快发展高端装备制造业，积极发展智能制造业。依托玉溪高新区做强数控机床，提升数控机床研发及生产制造水平，促进传统装备制造企业向数字化、智能化、绿色化、服务化发展，加快推动数控机床产业数字化升级改造的试点示范，支持云界科技深化机床网络协同制造，加快生产组织方式创新，拓展数控机床型谱，从小批量、多品种、专业化方向及高速、复合、精密、高效专用、生产制造服务性领域方向着力，立足数控机床产业优势，围绕主轴、刀库等核心部件，推进产品高端化，延伸整机、光机及关键功能部件产业链，做精专用设备制造，发展互联网+个性化定制、云制造等新型制造模式，引进发展汽车配件等高端装备制造业。</w:t>
      </w:r>
      <w:bookmarkStart w:id="88" w:name="_Toc56264756"/>
      <w:r>
        <w:rPr>
          <w:rFonts w:hint="default" w:ascii="Times New Roman" w:hAnsi="Times New Roman" w:cs="Times New Roman"/>
        </w:rPr>
        <w:t>引进一批科技型企业，构建研发平台。</w:t>
      </w:r>
    </w:p>
    <w:p w14:paraId="5141A7D2">
      <w:pPr>
        <w:pStyle w:val="5"/>
        <w:spacing w:before="240" w:after="240"/>
        <w:rPr>
          <w:rFonts w:hint="default" w:ascii="Times New Roman" w:hAnsi="Times New Roman" w:cs="Times New Roman"/>
        </w:rPr>
      </w:pPr>
      <w:bookmarkStart w:id="89" w:name="_Toc67038991"/>
      <w:r>
        <w:rPr>
          <w:rFonts w:hint="default" w:ascii="Times New Roman" w:hAnsi="Times New Roman" w:cs="Times New Roman"/>
        </w:rPr>
        <w:t>三、钢铁及压延加工产业</w:t>
      </w:r>
      <w:bookmarkEnd w:id="88"/>
      <w:bookmarkEnd w:id="89"/>
    </w:p>
    <w:p w14:paraId="2CA56F23">
      <w:pPr>
        <w:ind w:firstLine="640"/>
        <w:rPr>
          <w:rFonts w:hint="default" w:ascii="Times New Roman" w:hAnsi="Times New Roman" w:cs="Times New Roman"/>
        </w:rPr>
      </w:pPr>
      <w:bookmarkStart w:id="90" w:name="_Toc56264757"/>
      <w:r>
        <w:rPr>
          <w:rFonts w:hint="default" w:ascii="Times New Roman" w:hAnsi="Times New Roman" w:cs="Times New Roman"/>
        </w:rPr>
        <w:t>配套产能置换升级改造的科技项目，建设特殊钢、高强度钢、高韧性抗震钢研究中心、钢铁材料检测中心、节能减排智能化标准研究中心、人才培训基地，提升企业核心竞争力。推进太标合金钢项目开工，依托昆玉一体化的有利契机，充分利用现玉昆基地约1920亩土地、资产、铁路设施设备，立足于钢材产品批发市场的需求，配套钢材交易、钢材集散、配送、运输、装卸、加工、仓储等综合服务，计划投资30亿元转型建设集物流信息、钢材交易、现代仓储、专业加工配送、信息配载为一体的现代钢铁物流交易中心。支持钒钛矿冶炼提钒炼钢技术优势的充分发挥，构建玉溪钢铁发展的新支撑。</w:t>
      </w:r>
    </w:p>
    <w:p w14:paraId="0E2A3E0C">
      <w:pPr>
        <w:pStyle w:val="5"/>
        <w:spacing w:before="240" w:after="240"/>
        <w:rPr>
          <w:rFonts w:hint="default" w:ascii="Times New Roman" w:hAnsi="Times New Roman" w:cs="Times New Roman"/>
        </w:rPr>
      </w:pPr>
      <w:bookmarkStart w:id="91" w:name="_Toc67038992"/>
      <w:r>
        <w:rPr>
          <w:rFonts w:hint="default" w:ascii="Times New Roman" w:hAnsi="Times New Roman" w:cs="Times New Roman"/>
        </w:rPr>
        <w:t>四、光电子新材料新能源产业</w:t>
      </w:r>
      <w:bookmarkEnd w:id="90"/>
      <w:bookmarkEnd w:id="91"/>
    </w:p>
    <w:p w14:paraId="780D474A">
      <w:pPr>
        <w:ind w:firstLine="640"/>
        <w:rPr>
          <w:rFonts w:hint="default" w:ascii="Times New Roman" w:hAnsi="Times New Roman" w:cs="Times New Roman"/>
        </w:rPr>
      </w:pPr>
      <w:r>
        <w:rPr>
          <w:rFonts w:hint="default" w:ascii="Times New Roman" w:hAnsi="Times New Roman" w:cs="Times New Roman"/>
        </w:rPr>
        <w:t>统筹打造玉溪高新区龙泉片区云南（玉溪）新能源新材料产业园、光电子产业园区和建设科教创新城两大战线，构建以企业为主体、科研机构为支撑、产业研用相互促进的新材料产业体系，以技术、体制机制和管理全面创新为目标，以开放引资和自主发展为路径，整合国内外高端资源，引进光电子上中下游全产业链项目，打造形成特色鲜明的产业基地。支持蓝晶科技拓展蓝宝石晶片产业链，拓展新的生产服务模式。加快推进华电达、振华新能源、振华数码等动力电池及正负极材料投产速度，打好产业发展基础。发展云南红塔特铜新材料股份有限公司铬锆铜带和钛青铜带项目，依托发现大规模锂矿的战略机遇，重点发展锂矿资源开发及锂金属新材料、锂电池及材料、电池梯次利用等领域。加快建设新能源产业技术研究院、电池检测中心、先进锂电池联合实验室等产业技术创新平台，聚集高层次专业技术人才，打造云南省新能源材料产业集群。</w:t>
      </w:r>
    </w:p>
    <w:p w14:paraId="2F1D4AFF">
      <w:pPr>
        <w:pStyle w:val="5"/>
        <w:spacing w:before="240" w:after="240"/>
        <w:rPr>
          <w:rFonts w:hint="default" w:ascii="Times New Roman" w:hAnsi="Times New Roman" w:cs="Times New Roman"/>
        </w:rPr>
      </w:pPr>
      <w:bookmarkStart w:id="92" w:name="_Toc56264758"/>
      <w:bookmarkStart w:id="93" w:name="_Toc67038993"/>
      <w:r>
        <w:rPr>
          <w:rFonts w:hint="default" w:ascii="Times New Roman" w:hAnsi="Times New Roman" w:cs="Times New Roman"/>
        </w:rPr>
        <w:t>五、生物医药及医疗器械产业</w:t>
      </w:r>
      <w:bookmarkEnd w:id="92"/>
      <w:bookmarkEnd w:id="93"/>
    </w:p>
    <w:p w14:paraId="5F5BB139">
      <w:pPr>
        <w:ind w:firstLine="640"/>
        <w:rPr>
          <w:rFonts w:hint="default" w:ascii="Times New Roman" w:hAnsi="Times New Roman" w:cs="Times New Roman"/>
        </w:rPr>
      </w:pPr>
      <w:r>
        <w:rPr>
          <w:rFonts w:hint="default" w:ascii="Times New Roman" w:hAnsi="Times New Roman" w:cs="Times New Roman"/>
        </w:rPr>
        <w:t>坚持继承和创新并重，优先发展具有特色治疗优势的中药、民族药。对特色中药、民族药品种进行二次开发，鼓励育苗等生物制品和天然保健品创新发展。抓住近几年一批专利药的专利保护即将到期的时机，加快专利药的仿制。鼓励医学与信息、材料等领域新技术交叉融合发展，引进发展医疗器械产业。支持沃森、维和、赛灵等企业做大做强，推进赛灵上市工作取得新进展。生物制药领域联合沃森等龙头企业建设疫苗产业园，搭建实验动物中心，重点培育疫苗、单抗、免疫球蛋白制品集群，加快推进在研产品研发和产业化进程，开展多联多价疫苗、基因工程疫苗等关键技术攻关，推进生物疫苗产品国际化认证。现代中药领域支持维和药业、玉药生物、红云制药等企业加强与高校院所联合创新，进一步壮大发展心脑血管疾病、跌打损伤、祛风除湿、感冒消炎、补血养血等领域的中药产品。把握仿制药一致性评价等医药改革机遇，适时布局心脑血管、肿瘤、糖尿病等领域的仿制药生产。</w:t>
      </w:r>
    </w:p>
    <w:p w14:paraId="26014549">
      <w:pPr>
        <w:pStyle w:val="5"/>
        <w:spacing w:before="240" w:after="240"/>
        <w:rPr>
          <w:rFonts w:hint="default" w:ascii="Times New Roman" w:hAnsi="Times New Roman" w:cs="Times New Roman"/>
        </w:rPr>
      </w:pPr>
      <w:bookmarkStart w:id="94" w:name="_Toc56264759"/>
      <w:bookmarkStart w:id="95" w:name="_Toc67038994"/>
      <w:r>
        <w:rPr>
          <w:rFonts w:hint="default" w:ascii="Times New Roman" w:hAnsi="Times New Roman" w:cs="Times New Roman"/>
        </w:rPr>
        <w:t>六、现代建材产业</w:t>
      </w:r>
      <w:bookmarkEnd w:id="94"/>
      <w:bookmarkEnd w:id="95"/>
    </w:p>
    <w:p w14:paraId="621F929B">
      <w:pPr>
        <w:ind w:firstLine="640"/>
        <w:rPr>
          <w:rFonts w:hint="default" w:ascii="Times New Roman" w:hAnsi="Times New Roman" w:cs="Times New Roman"/>
        </w:rPr>
      </w:pPr>
      <w:r>
        <w:rPr>
          <w:rFonts w:hint="default" w:ascii="Times New Roman" w:hAnsi="Times New Roman" w:cs="Times New Roman"/>
        </w:rPr>
        <w:t>“十四五”期间，瞄准全省大交通、大基建、滇中城市群建设需求，按照《住房和城乡建设部等部门关于加快新型建筑工业化发展的若干意见》的要求，在红塔片区的观音山地块打造全省绿色新型建筑板材和构件产业化示范基地，以新型建筑工业化带动建筑业全面转型升级，拓展高速公路、铁路简支桥梁板（预制梁、预制柱、叠合板、格构梁及其他组件等）、预应力混凝土预制管件、高层建筑、新型墙材的大型构件、混凝土部品部件集约化规模化生产，提升区基建工程钢结构、建筑建材发展水平。以云南省活发集团刘总旗水泥有限公司、云南鲁玉绿色建材科技有限公司鲁玉绿色建材产业园项目为龙头，玉溪市桥龙水泥有限公司、玉溪东亿建材有限公司、玉溪水电志达混凝土有限责任公司为支撑，优化区域布局，推广新型干法水泥生产工艺，引导开发高性能专用混凝土、高性能外加剂等水泥制品及新型建筑材料，大力发展节能环保的新型建筑材料。重点推进日产5000吨新型干法水泥熟料，干混砂浆40万吨、特种砂浆10万吨、腻子粉10万吨、高性能绿色混凝土140万方、15000吨砼预制件、70万立方米混凝土搅拌的新型建筑工厂化生产和绿色建材发展。以宇城杭萧为龙头，重点推进正鑫科技商品钢筋、艾普威新型墙面材料、兴红新型集热板太阳能、活发木地板等新型建材产业。引入发展装配式建筑，发展多样化、轻质化、节能化、利废化、复合化和改善建筑功能的新型墙体材料，开发高档化、系列化、多功能和无公害的新型绿色建材。</w:t>
      </w:r>
    </w:p>
    <w:p w14:paraId="6AC29CE1">
      <w:pPr>
        <w:pStyle w:val="5"/>
        <w:spacing w:before="240" w:after="240"/>
        <w:rPr>
          <w:rFonts w:hint="default" w:ascii="Times New Roman" w:hAnsi="Times New Roman" w:cs="Times New Roman"/>
        </w:rPr>
      </w:pPr>
      <w:bookmarkStart w:id="96" w:name="_Toc67038995"/>
      <w:r>
        <w:rPr>
          <w:rFonts w:hint="default" w:ascii="Times New Roman" w:hAnsi="Times New Roman" w:cs="Times New Roman"/>
        </w:rPr>
        <w:t>七、绿色食品加工业</w:t>
      </w:r>
      <w:bookmarkEnd w:id="96"/>
    </w:p>
    <w:p w14:paraId="0A3E5AE0">
      <w:pPr>
        <w:ind w:firstLine="640"/>
        <w:rPr>
          <w:rFonts w:hint="default" w:ascii="Times New Roman" w:hAnsi="Times New Roman" w:cs="Times New Roman"/>
        </w:rPr>
      </w:pPr>
      <w:r>
        <w:rPr>
          <w:rFonts w:hint="default" w:ascii="Times New Roman" w:hAnsi="Times New Roman" w:cs="Times New Roman"/>
        </w:rPr>
        <w:t>紧抓云南省打造“绿色食品品牌”机遇，把滇雪、猫哆哩等打造成云南最优的农产品加工龙头企业和品牌，构建多层次、多环节转化增值的精深加工全产业链，把原料变成食品之前的加工留在玉溪，把增值的环节放在玉溪。鼓励达利、猫哆哩、贡润祥等龙头企业进一步开发高附加值、深加工高原绿色新产品，支持健坤生物加大对废弃烟草的深度利用，延伸发展以辅酶Q10、维生素K2等为主要原料的功能保健品和日化品。</w:t>
      </w:r>
    </w:p>
    <w:p w14:paraId="5F1ABBB5">
      <w:pPr>
        <w:pStyle w:val="5"/>
        <w:spacing w:before="240" w:after="240"/>
        <w:rPr>
          <w:rFonts w:hint="default" w:ascii="Times New Roman" w:hAnsi="Times New Roman" w:cs="Times New Roman"/>
        </w:rPr>
      </w:pPr>
      <w:bookmarkStart w:id="97" w:name="_Toc67038996"/>
      <w:bookmarkStart w:id="98" w:name="_Toc56264760"/>
      <w:r>
        <w:rPr>
          <w:rFonts w:hint="default" w:ascii="Times New Roman" w:hAnsi="Times New Roman" w:cs="Times New Roman"/>
        </w:rPr>
        <w:t>八、数字经济</w:t>
      </w:r>
      <w:bookmarkEnd w:id="97"/>
      <w:bookmarkEnd w:id="98"/>
    </w:p>
    <w:p w14:paraId="00047680">
      <w:pPr>
        <w:ind w:firstLine="640"/>
        <w:rPr>
          <w:rFonts w:hint="default" w:ascii="Times New Roman" w:hAnsi="Times New Roman" w:cs="Times New Roman"/>
        </w:rPr>
      </w:pPr>
      <w:r>
        <w:rPr>
          <w:rFonts w:hint="default" w:ascii="Times New Roman" w:hAnsi="Times New Roman" w:cs="Times New Roman"/>
        </w:rPr>
        <w:t>抢抓数字云南、数字玉溪建设机遇，走“以资源引企业、以市场换产业、以应用促发展”的路子，吸引一流企业到玉溪推广应用数字化的新技术、新业态，以精准招商补链、延链和强化行业应用为核心，建强以 5G通信、数据中心、人工智能、软件和信息技术服务等为重点的产业，大力发展电子信息产品制造领域，加快拓展数字服务领域，积极布局工业互联网、第三代半导体等新业态，培育数字经济新动能。全面拓展 5G应用场景，引导企业向智能化、自动化、数字化转型。依托天合力、天宇科技等企业，巩固发展光电子配套设备、电子元器件、光学仪器设备等产品，延伸发展RFID、传感器、基站天线、天线射频等产品。数字服务依托华为玉溪云计算数据中心、云南联通云计算数据中心，招引大数据分析与服务、大数据融合应用等企业，完善大数据产业链条。重点围绕工业、政务服务、交通、医疗、城市治理等领域，部署实施一批大数据、云服务应用示范项目，加快推进“4351”网络安全产业项目建设。其他领域，结合产业智能化、数字化转型需求，积极布局工业互联网，以试点打造“智慧工厂”促进工业传感、智能控制、工业软件等信息技术和产品应用。</w:t>
      </w:r>
    </w:p>
    <w:p w14:paraId="0C3508E0">
      <w:pPr>
        <w:pStyle w:val="5"/>
        <w:spacing w:before="240" w:after="240"/>
        <w:rPr>
          <w:rFonts w:hint="default" w:ascii="Times New Roman" w:hAnsi="Times New Roman" w:cs="Times New Roman"/>
        </w:rPr>
      </w:pPr>
      <w:bookmarkStart w:id="99" w:name="_Toc67038997"/>
      <w:r>
        <w:rPr>
          <w:rFonts w:hint="default" w:ascii="Times New Roman" w:hAnsi="Times New Roman" w:cs="Times New Roman"/>
        </w:rPr>
        <w:t>九、</w:t>
      </w:r>
      <w:bookmarkStart w:id="100" w:name="_Hlk60696033"/>
      <w:r>
        <w:rPr>
          <w:rFonts w:hint="default" w:ascii="Times New Roman" w:hAnsi="Times New Roman" w:cs="Times New Roman"/>
        </w:rPr>
        <w:t>现代物流业和服务业</w:t>
      </w:r>
      <w:bookmarkEnd w:id="99"/>
      <w:bookmarkEnd w:id="100"/>
    </w:p>
    <w:p w14:paraId="40E659E4">
      <w:pPr>
        <w:ind w:firstLine="640"/>
        <w:rPr>
          <w:rFonts w:hint="default" w:ascii="Times New Roman" w:hAnsi="Times New Roman" w:cs="Times New Roman"/>
        </w:rPr>
      </w:pPr>
      <w:r>
        <w:rPr>
          <w:rFonts w:hint="default" w:ascii="Times New Roman" w:hAnsi="Times New Roman" w:cs="Times New Roman"/>
        </w:rPr>
        <w:t xml:space="preserve">提前规划布局航空物流，构建“通道+枢纽+网络+平台”的现代物流运行体系。作为玉溪市城市经济发展的主战场，充分发挥通力物流园区、云南活发物流园的带动作用，完善物流高效配送网络，全力构建城乡一体的商贸共配体系，加快物流基础设施建设，打造玉溪国际物流集散地。以玉溪创建云南数字经济第一城为契机，进一步抓好总部经济，推进现代服务业创新发展。依托众创空间、创新创业孵化器、文化创意园、电子商务园区等创新创业平台，打通供应链、产业链和价值链的堵点，提高初创企业成活率、加快成长速度。完善“互联网+”消费生态体系，进行特色小镇、康养中心建设，打好提升振兴消费经济的“组合拳”，拓宽红塔区现代物流业和服务业的发展空间。 </w:t>
      </w:r>
    </w:p>
    <w:p w14:paraId="7510B936">
      <w:pPr>
        <w:pStyle w:val="18"/>
        <w:rPr>
          <w:rFonts w:hint="default" w:ascii="Times New Roman" w:hAnsi="Times New Roman" w:cs="Times New Roman"/>
        </w:rPr>
      </w:pPr>
      <w:bookmarkStart w:id="101" w:name="_Toc67038998"/>
      <w:r>
        <w:rPr>
          <w:rFonts w:hint="default" w:ascii="Times New Roman" w:hAnsi="Times New Roman" w:cs="Times New Roman"/>
        </w:rPr>
        <w:t>第七章 主要任务</w:t>
      </w:r>
      <w:bookmarkEnd w:id="101"/>
    </w:p>
    <w:p w14:paraId="3CAE2952">
      <w:pPr>
        <w:pStyle w:val="5"/>
        <w:spacing w:before="240" w:after="240"/>
        <w:rPr>
          <w:rFonts w:hint="default" w:ascii="Times New Roman" w:hAnsi="Times New Roman" w:cs="Times New Roman"/>
        </w:rPr>
      </w:pPr>
      <w:bookmarkStart w:id="102" w:name="_Toc67038999"/>
      <w:r>
        <w:rPr>
          <w:rFonts w:hint="default" w:ascii="Times New Roman" w:hAnsi="Times New Roman" w:cs="Times New Roman"/>
        </w:rPr>
        <w:t>一、并举做优存量扩充增量</w:t>
      </w:r>
      <w:bookmarkEnd w:id="102"/>
    </w:p>
    <w:p w14:paraId="7169A454">
      <w:pPr>
        <w:ind w:firstLine="640"/>
        <w:rPr>
          <w:rFonts w:hint="default" w:ascii="Times New Roman" w:hAnsi="Times New Roman" w:cs="Times New Roman"/>
        </w:rPr>
      </w:pPr>
      <w:r>
        <w:rPr>
          <w:rFonts w:hint="default" w:ascii="Times New Roman" w:hAnsi="Times New Roman" w:cs="Times New Roman"/>
        </w:rPr>
        <w:t>围绕红塔区现代农业、现代服务业、现代物流业及工业重点领域，加强民营经济产业引导，实施重大科技专项和重大科技工程，支持一批能引领产业发展的关键核心技术成果产业化，确定一批具有发展活力和潜力和民营企业及重点项目，整合优惠政策，给予分类支持，形成一批拥有自主知识产权的核心技术，提高技术创新对民营企业经济发展的支撑力，培育一批产业辐射带动能力强、经济社会贡献大的民营标杆企业。实现“十四五”时期，民营经济规模总量不断扩大，民营企业数量保持稳定增长，发展质量进一步提高，产品技术含量和附加值进一步提升，一批“专精特新”企业成长壮大。结构调整和转变发展方式取得明显成效，主业突出，企业发展活力增强，集群发展特色更加鲜明，市场竞争力显著提高，抗风险能力明显提升。</w:t>
      </w:r>
    </w:p>
    <w:p w14:paraId="2E330E73">
      <w:pPr>
        <w:pStyle w:val="5"/>
        <w:spacing w:before="240" w:after="240"/>
        <w:rPr>
          <w:rFonts w:hint="default" w:ascii="Times New Roman" w:hAnsi="Times New Roman" w:cs="Times New Roman"/>
        </w:rPr>
      </w:pPr>
      <w:bookmarkStart w:id="103" w:name="_Toc67039000"/>
      <w:r>
        <w:rPr>
          <w:rFonts w:hint="default" w:ascii="Times New Roman" w:hAnsi="Times New Roman" w:cs="Times New Roman"/>
        </w:rPr>
        <w:t>二、着力创新驱动提升动能</w:t>
      </w:r>
      <w:bookmarkEnd w:id="103"/>
    </w:p>
    <w:p w14:paraId="41E5B665">
      <w:pPr>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rPr>
        <w:t>着力于民营经济生存能力提高、发展活力激发、发展动力增强和竞争力提升等重点，进一步完善体制机制，优化政策环境，构建创新主体和创新公共平台，构建企业为主体、市场为导向、政产学研用相结合的技术创新体系，围绕关键基础材料、核心基础零部件（元器件）、先进基础工艺和技术等，支持优势企业开展政产学研用联合攻关，突破关键共性环节和重点工程产业化瓶颈。把解决传统优势产业改造升级和发展新型产业的关键技术摆在突出位置，鼓励企业高水平建设企业技术中心、制造业创新中心（工业技术研究基地）、工程（技术）研究中心、重点实验室、工业设计中心等创新平台，引导优势龙头企业建</w:t>
      </w:r>
      <w:r>
        <w:rPr>
          <w:rFonts w:hint="default" w:ascii="Times New Roman" w:hAnsi="Times New Roman" w:cs="Times New Roman"/>
          <w:color w:val="000000" w:themeColor="text1"/>
          <w14:textFill>
            <w14:solidFill>
              <w14:schemeClr w14:val="tx1"/>
            </w14:solidFill>
          </w14:textFill>
        </w:rPr>
        <w:t>立博士后工作站、院士工作站。</w:t>
      </w:r>
    </w:p>
    <w:p w14:paraId="38878242">
      <w:pPr>
        <w:pStyle w:val="5"/>
        <w:spacing w:before="240" w:after="240"/>
        <w:rPr>
          <w:rFonts w:hint="default" w:ascii="Times New Roman" w:hAnsi="Times New Roman" w:cs="Times New Roman"/>
        </w:rPr>
      </w:pPr>
      <w:bookmarkStart w:id="104" w:name="_Toc67039001"/>
      <w:r>
        <w:rPr>
          <w:rFonts w:hint="default" w:ascii="Times New Roman" w:hAnsi="Times New Roman" w:cs="Times New Roman"/>
        </w:rPr>
        <w:t>三、培育壮大专精特新规模</w:t>
      </w:r>
      <w:bookmarkEnd w:id="104"/>
    </w:p>
    <w:p w14:paraId="0509EAB9">
      <w:pPr>
        <w:ind w:firstLine="640"/>
        <w:rPr>
          <w:rFonts w:hint="default" w:ascii="Times New Roman" w:hAnsi="Times New Roman" w:cs="Times New Roman"/>
        </w:rPr>
      </w:pPr>
      <w:r>
        <w:rPr>
          <w:rFonts w:hint="default" w:ascii="Times New Roman" w:hAnsi="Times New Roman" w:cs="Times New Roman"/>
        </w:rPr>
        <w:t>支持发展特色产业集群，培育一批</w:t>
      </w:r>
      <w:bookmarkStart w:id="105" w:name="_Hlk63233762"/>
      <w:r>
        <w:rPr>
          <w:rFonts w:hint="default" w:ascii="Times New Roman" w:hAnsi="Times New Roman" w:cs="Times New Roman"/>
        </w:rPr>
        <w:t>“专精特新</w:t>
      </w:r>
      <w:bookmarkEnd w:id="105"/>
      <w:r>
        <w:rPr>
          <w:rFonts w:hint="default" w:ascii="Times New Roman" w:hAnsi="Times New Roman" w:cs="Times New Roman"/>
        </w:rPr>
        <w:t>”骨干企业、制造业“单项冠军”和行业“小巨人”，集中扶持一批民营企业壮大规模，引导有实力的民营企业联合发展，对产业集聚效应明显、辐射带动有力、经济社会效益较好的项目，配套基础设施建设，促进产业发展。引导鼓励有条件的民营企业建立现代企业制度，推动企业规模化发展。</w:t>
      </w:r>
    </w:p>
    <w:p w14:paraId="68AA7024">
      <w:pPr>
        <w:pStyle w:val="5"/>
        <w:spacing w:before="240" w:after="240"/>
        <w:rPr>
          <w:rFonts w:hint="default" w:ascii="Times New Roman" w:hAnsi="Times New Roman" w:cs="Times New Roman"/>
        </w:rPr>
      </w:pPr>
      <w:bookmarkStart w:id="106" w:name="_Toc67039002"/>
      <w:r>
        <w:rPr>
          <w:rFonts w:hint="default" w:ascii="Times New Roman" w:hAnsi="Times New Roman" w:cs="Times New Roman"/>
        </w:rPr>
        <w:t>四、降低民营企业运营成本</w:t>
      </w:r>
      <w:bookmarkEnd w:id="106"/>
    </w:p>
    <w:p w14:paraId="6B5608CC">
      <w:pPr>
        <w:ind w:firstLine="640"/>
        <w:rPr>
          <w:rFonts w:hint="default" w:ascii="Times New Roman" w:hAnsi="Times New Roman" w:cs="Times New Roman"/>
        </w:rPr>
      </w:pPr>
      <w:r>
        <w:rPr>
          <w:rFonts w:hint="default" w:ascii="Times New Roman" w:hAnsi="Times New Roman" w:cs="Times New Roman"/>
        </w:rPr>
        <w:t>切实降低企业用工、用地、用能成本。按照国家统一部署，降低社保缴费费率，确保企业缴费实际负担有实质性下降。落实国家延长阶段性降低企业住房公积金缴存比例政策的期限等政策，允许企业在规定基数5%～12%范围内实行差异化配缴。进一步清理精简行政审批事项和涉企收费项目。规范中间环节、中介组织行为，坚决杜绝中介机构利用政府影响违规收费，最大限度地减轻企业隐性负担。</w:t>
      </w:r>
    </w:p>
    <w:p w14:paraId="350C77C2">
      <w:pPr>
        <w:pStyle w:val="5"/>
        <w:spacing w:before="240" w:after="240"/>
        <w:rPr>
          <w:rFonts w:hint="default" w:ascii="Times New Roman" w:hAnsi="Times New Roman" w:cs="Times New Roman"/>
        </w:rPr>
      </w:pPr>
      <w:bookmarkStart w:id="107" w:name="_Toc67039003"/>
      <w:r>
        <w:rPr>
          <w:rFonts w:hint="default" w:ascii="Times New Roman" w:hAnsi="Times New Roman" w:cs="Times New Roman"/>
        </w:rPr>
        <w:t>五、鼓励项目提升品牌打造</w:t>
      </w:r>
      <w:bookmarkEnd w:id="107"/>
    </w:p>
    <w:p w14:paraId="6C9A7536">
      <w:pPr>
        <w:ind w:firstLine="640"/>
        <w:rPr>
          <w:rFonts w:hint="default" w:ascii="Times New Roman" w:hAnsi="Times New Roman" w:cs="Times New Roman"/>
        </w:rPr>
      </w:pPr>
      <w:r>
        <w:rPr>
          <w:rFonts w:hint="default" w:ascii="Times New Roman" w:hAnsi="Times New Roman" w:cs="Times New Roman"/>
        </w:rPr>
        <w:t>储备和实施一批优质技术改造项目，扩大投资总量，优化投资结构。引导企业资金和社会资本投向用地少、消耗低、智能化程度高、绿色环保的技术改造项目建设。深入贯彻落实</w:t>
      </w:r>
      <w:r>
        <w:rPr>
          <w:rFonts w:hint="default" w:ascii="Times New Roman" w:hAnsi="Times New Roman" w:cs="Times New Roman"/>
          <w:color w:val="333333"/>
          <w:shd w:val="clear" w:color="auto" w:fill="FFFFFF"/>
        </w:rPr>
        <w:t>十九届五中全会提出的“坚定不移建设制造强国、质量强国”的指示</w:t>
      </w:r>
      <w:r>
        <w:rPr>
          <w:rFonts w:hint="default" w:ascii="Times New Roman" w:hAnsi="Times New Roman" w:cs="Times New Roman"/>
        </w:rPr>
        <w:t>，培育一批智能制造示范项目。引导和鼓励优势企业采用国际和国内先进标准组织生产，提高工业产品采标水平。开展质量标杆活动，推广先进生产管理模式和方法。开展制造业单项冠军企业培育提升专项行动，支持企业走“专特优精”的单项冠军发展道路，打造一批省级制造业单项冠军企业；鼓励企业争创中国驰名商标、云南省著名商标、云南名牌、地理标志产品、生产原产地保护产品、老字号等。</w:t>
      </w:r>
    </w:p>
    <w:p w14:paraId="0DA3F234">
      <w:pPr>
        <w:pStyle w:val="5"/>
        <w:spacing w:before="240" w:after="240"/>
        <w:rPr>
          <w:rFonts w:hint="default" w:ascii="Times New Roman" w:hAnsi="Times New Roman" w:cs="Times New Roman"/>
        </w:rPr>
      </w:pPr>
      <w:bookmarkStart w:id="108" w:name="_Toc67039004"/>
      <w:r>
        <w:rPr>
          <w:rFonts w:hint="default" w:ascii="Times New Roman" w:hAnsi="Times New Roman" w:cs="Times New Roman"/>
        </w:rPr>
        <w:t>六、促进民营企业高质发展</w:t>
      </w:r>
      <w:bookmarkEnd w:id="108"/>
    </w:p>
    <w:p w14:paraId="5B07C2B7">
      <w:pPr>
        <w:ind w:firstLine="640"/>
        <w:rPr>
          <w:rFonts w:hint="default" w:ascii="Times New Roman" w:hAnsi="Times New Roman" w:cs="Times New Roman"/>
        </w:rPr>
      </w:pPr>
      <w:r>
        <w:rPr>
          <w:rFonts w:hint="default" w:ascii="Times New Roman" w:hAnsi="Times New Roman" w:cs="Times New Roman"/>
        </w:rPr>
        <w:t>加快中小微企业发展。以推动科技创新、提高企业能力为支撑，以优化发展环境、提升政府服务效能、加快社会化服务体系建设为基础，着力营造透明高效的政务环境、竞争有序的市场环境、公平公正的法治环境、宽松便利的营商环境，推动民营中小企业健康较快发展。实施中小企业成长和“行业小巨人”培育工程，利用好“贷免扶补”扶持政策，推动大众创业、万众创新。继续实施中小企业成长工程。通过挂钩帮扶、要素保障、政策支持等措施，培育出一批竞争优势突出、特色鲜明、发展潜力大的骨干企业，走“专精特新”发展道路，提升红塔区中小企业发展水平和质量。推动传统产业民营企业提升数字化、网络化、智能化水平，引导民营制造企业向智能、绿色、低碳发展。利用“互联网＋”发展众创、众包、众扶、众筹等新模式，支持第三方服务机构提供小微企业“互联网＋”评估、诊断等服务，推动云服务平台提供面向小微企业的在线研发设计、优化控制、设备管理、质量监控与分析等软件应用服务。引导企业完善治理结构和管理制度，推动开展中小企业咨询服务，推广中小企业管理创新经营，加强人才引进和培养。</w:t>
      </w:r>
    </w:p>
    <w:p w14:paraId="2175707B">
      <w:pPr>
        <w:pStyle w:val="5"/>
        <w:spacing w:before="240" w:after="240"/>
        <w:rPr>
          <w:rFonts w:hint="default" w:ascii="Times New Roman" w:hAnsi="Times New Roman" w:cs="Times New Roman"/>
        </w:rPr>
      </w:pPr>
      <w:bookmarkStart w:id="109" w:name="_Toc67039005"/>
      <w:r>
        <w:rPr>
          <w:rFonts w:hint="default" w:ascii="Times New Roman" w:hAnsi="Times New Roman" w:cs="Times New Roman"/>
        </w:rPr>
        <w:t>七、加强工业园区提档建设</w:t>
      </w:r>
      <w:bookmarkEnd w:id="109"/>
    </w:p>
    <w:p w14:paraId="326388A5">
      <w:pPr>
        <w:ind w:firstLine="640"/>
        <w:rPr>
          <w:rFonts w:hint="default" w:ascii="Times New Roman" w:hAnsi="Times New Roman" w:cs="Times New Roman"/>
        </w:rPr>
      </w:pPr>
      <w:r>
        <w:rPr>
          <w:rFonts w:hint="default" w:ascii="Times New Roman" w:hAnsi="Times New Roman" w:cs="Times New Roman"/>
        </w:rPr>
        <w:t>按照“功能清晰、分工明确、错位发展”的原则，促进工业园区</w:t>
      </w:r>
      <w:bookmarkStart w:id="110" w:name="_Hlk56361014"/>
      <w:r>
        <w:rPr>
          <w:rFonts w:hint="default" w:ascii="Times New Roman" w:hAnsi="Times New Roman" w:cs="Times New Roman"/>
        </w:rPr>
        <w:t>提档</w:t>
      </w:r>
      <w:bookmarkEnd w:id="110"/>
      <w:r>
        <w:rPr>
          <w:rFonts w:hint="default" w:ascii="Times New Roman" w:hAnsi="Times New Roman" w:cs="Times New Roman"/>
        </w:rPr>
        <w:t>升级，逐步提高工业园区投入产出效率，提升园区承载能力，全面提高园区招商引资质量和水平。加强产业技术创新平台和企业技术创新能力建设，积极构建园区技术创新体系。强化融资体系建设和区域合作，增强园区竞争力。按照“强化园区产业定位、形成错位发展格局”的思路，以资源、资本、技术等综合生产要素为基础，发挥区域比较优势，明确园区主导产业和辅助产业，推动园区产业从同质同构型向特色差异型转变。努力把工业园区建设成为推动全区经济发展的重要载体和主力军、创新驱动的先导区和引领区。加快培育特色产业集群。按照“资源共享、产业集群、集约发展”的要求，推动优势产业、优势企业、优势资源和要素保障向产业园区集中。发挥工业园区内重点产业、骨干企业带动作用，促进专业化分工和社会化协作，建立相互配套、分工协作关系，形成相互关联、相互支撑、相互促进的发展格局。通过大企业、大项目引进落地，发挥龙头企业带动作用，吸引产业链上下游集聚配套。</w:t>
      </w:r>
    </w:p>
    <w:p w14:paraId="7CAA3B49">
      <w:pPr>
        <w:pStyle w:val="18"/>
        <w:rPr>
          <w:rFonts w:hint="default" w:ascii="Times New Roman" w:hAnsi="Times New Roman" w:cs="Times New Roman"/>
        </w:rPr>
      </w:pPr>
      <w:bookmarkStart w:id="111" w:name="_Toc67039006"/>
      <w:r>
        <w:rPr>
          <w:rFonts w:hint="default" w:ascii="Times New Roman" w:hAnsi="Times New Roman" w:cs="Times New Roman"/>
        </w:rPr>
        <w:t>第八章 政策措施</w:t>
      </w:r>
      <w:bookmarkEnd w:id="111"/>
    </w:p>
    <w:p w14:paraId="1AD54878">
      <w:pPr>
        <w:pStyle w:val="5"/>
        <w:spacing w:before="240" w:after="240"/>
        <w:rPr>
          <w:rFonts w:hint="default" w:ascii="Times New Roman" w:hAnsi="Times New Roman" w:cs="Times New Roman"/>
        </w:rPr>
      </w:pPr>
      <w:bookmarkStart w:id="112" w:name="_Toc67039007"/>
      <w:r>
        <w:rPr>
          <w:rFonts w:hint="default" w:ascii="Times New Roman" w:hAnsi="Times New Roman" w:cs="Times New Roman"/>
        </w:rPr>
        <w:t>一、加强组织领导</w:t>
      </w:r>
      <w:bookmarkEnd w:id="112"/>
    </w:p>
    <w:p w14:paraId="7700ED7D">
      <w:pPr>
        <w:ind w:firstLine="640"/>
        <w:rPr>
          <w:rFonts w:hint="default" w:ascii="Times New Roman" w:hAnsi="Times New Roman" w:cs="Times New Roman"/>
        </w:rPr>
      </w:pPr>
      <w:r>
        <w:rPr>
          <w:rFonts w:hint="default" w:ascii="Times New Roman" w:hAnsi="Times New Roman" w:cs="Times New Roman"/>
        </w:rPr>
        <w:t>认真落实好“出思路、想办法、抓推进、勤督查”的工作方法，把市委市政府决策部署具体化为路线图、任务书、时间表，进行分解，及时听取落实情况汇报，指出问题、提出要求，构建有部署、有督办、有跟踪、有问效的工作闭环，着眼痛点、堵点，打通决策落实的“最先一公里”和“最后一公里”。深入贯彻省市有关法律和政策，加强对规划实施的组织领导和政策协调，建立组织推进机制，加快出台实施细则，制定产业引导政策，强化目标任务导向，建立上下之间、部门之间的协同推进和要素跟项目走的长效工作机制，明确工作职责和任务分工，制定有效措施，精心组织，统筹规划，扎实推进，形成全面推动民营企业发展的整体合力，分层次、有侧重地推进本规划各项任务的落实。</w:t>
      </w:r>
    </w:p>
    <w:p w14:paraId="3F829297">
      <w:pPr>
        <w:pStyle w:val="5"/>
        <w:spacing w:before="240" w:after="240"/>
        <w:rPr>
          <w:rFonts w:hint="default" w:ascii="Times New Roman" w:hAnsi="Times New Roman" w:cs="Times New Roman"/>
        </w:rPr>
      </w:pPr>
      <w:bookmarkStart w:id="113" w:name="_Toc67039008"/>
      <w:r>
        <w:rPr>
          <w:rFonts w:hint="default" w:ascii="Times New Roman" w:hAnsi="Times New Roman" w:cs="Times New Roman"/>
        </w:rPr>
        <w:t>二、</w:t>
      </w:r>
      <w:bookmarkStart w:id="114" w:name="_Hlk59008242"/>
      <w:r>
        <w:rPr>
          <w:rFonts w:hint="default" w:ascii="Times New Roman" w:hAnsi="Times New Roman" w:cs="Times New Roman"/>
        </w:rPr>
        <w:t>打造聚集</w:t>
      </w:r>
      <w:bookmarkEnd w:id="114"/>
      <w:r>
        <w:rPr>
          <w:rFonts w:hint="default" w:ascii="Times New Roman" w:hAnsi="Times New Roman" w:cs="Times New Roman"/>
        </w:rPr>
        <w:t>高地</w:t>
      </w:r>
      <w:bookmarkEnd w:id="113"/>
    </w:p>
    <w:p w14:paraId="154092DC">
      <w:pPr>
        <w:ind w:firstLine="640"/>
        <w:rPr>
          <w:rFonts w:hint="default" w:ascii="Times New Roman" w:hAnsi="Times New Roman" w:cs="Times New Roman"/>
        </w:rPr>
      </w:pPr>
      <w:r>
        <w:rPr>
          <w:rFonts w:hint="default" w:ascii="Times New Roman" w:hAnsi="Times New Roman" w:cs="Times New Roman"/>
        </w:rPr>
        <w:t>着力于吸引高端的要素到玉溪的循环聚集高地打造，营造市场主体、技术要素、产业要素、资本要素聚集良好环境，进一步提升政策精准性和着力点，落实项目稳定经济增长、调整经济结构关键抓手的作用。促进外来企业想来，原有企业想提升，内外企业想合作的新发展格局建立，围绕《滇中城市群规划》“一主三副”空间结构，滇中一体化、昆玉同城化的发展，玉溪市作为国家级产城融合示范区的机遇，对接红塔区产业总体布局和“1+5+5”现代产业体系建设，主动吸引新产业、新项目在红塔区的落地。</w:t>
      </w:r>
      <w:bookmarkStart w:id="115" w:name="_Hlk63246243"/>
    </w:p>
    <w:bookmarkEnd w:id="115"/>
    <w:p w14:paraId="6FDEB111">
      <w:pPr>
        <w:pStyle w:val="5"/>
        <w:spacing w:before="240" w:after="240"/>
        <w:rPr>
          <w:rFonts w:hint="default" w:ascii="Times New Roman" w:hAnsi="Times New Roman" w:cs="Times New Roman"/>
          <w:color w:val="000000" w:themeColor="text1"/>
          <w14:textFill>
            <w14:solidFill>
              <w14:schemeClr w14:val="tx1"/>
            </w14:solidFill>
          </w14:textFill>
        </w:rPr>
      </w:pPr>
      <w:bookmarkStart w:id="116" w:name="_Toc67039009"/>
      <w:r>
        <w:rPr>
          <w:rFonts w:hint="default" w:ascii="Times New Roman" w:hAnsi="Times New Roman" w:cs="Times New Roman"/>
          <w:color w:val="000000" w:themeColor="text1"/>
          <w14:textFill>
            <w14:solidFill>
              <w14:schemeClr w14:val="tx1"/>
            </w14:solidFill>
          </w14:textFill>
        </w:rPr>
        <w:t>三、</w:t>
      </w:r>
      <w:r>
        <w:rPr>
          <w:rFonts w:hint="default" w:ascii="Times New Roman" w:hAnsi="Times New Roman" w:cs="Times New Roman"/>
        </w:rPr>
        <w:t>广辟投资渠道</w:t>
      </w:r>
      <w:bookmarkEnd w:id="116"/>
    </w:p>
    <w:p w14:paraId="354D3F16">
      <w:pPr>
        <w:ind w:firstLine="640"/>
        <w:rPr>
          <w:rFonts w:hint="default" w:ascii="Times New Roman" w:hAnsi="Times New Roman" w:cs="Times New Roman"/>
        </w:rPr>
      </w:pPr>
      <w:r>
        <w:rPr>
          <w:rFonts w:hint="default" w:ascii="Times New Roman" w:hAnsi="Times New Roman" w:cs="Times New Roman"/>
        </w:rPr>
        <w:t>集中梳理工业有关优惠政策，统筹</w:t>
      </w:r>
      <w:r>
        <w:rPr>
          <w:rFonts w:hint="default" w:ascii="Times New Roman" w:hAnsi="Times New Roman" w:cs="Times New Roman"/>
          <w:szCs w:val="32"/>
        </w:rPr>
        <w:t>用足用好中央投资、</w:t>
      </w:r>
      <w:r>
        <w:rPr>
          <w:rFonts w:hint="default" w:ascii="Times New Roman" w:hAnsi="Times New Roman" w:cs="Times New Roman"/>
        </w:rPr>
        <w:t xml:space="preserve">专项债券资金，积极争取省市资金支持，战略性新兴产业投资，鼓励国家级专精特新“小巨人”企业积极争取国家的专项奖补资金，充分发挥政府资金的引导带动作用，扩大资金有效投入，引导资金投向共同受益、具有乘数效应的产业发展、科技创新等领域，进一步提高投资精准性有效性。不断优化企业发展环境，引导企业用足用活鼓励类产业目录、固定资产加速折旧、进口设备免税、首台（套）重大技术装备保险补偿机制等政策，贯彻落实国家和省市区出台降低企业用地成本、政策性融资担保、信贷引导等稳增长政策措施，探索不同所有制企业之间相互投资，推动各方资本进入企业生产经营，撬动企业风险投资基金、企业互助基金等社会资本及民间资本，提高民间资本在工业投资中的比重，不断完善工业投资社会服务体系，构建“政府引导、社会参与”的资金引导长效机制，激发民间投资活力，形成市场主导、政府引导的投资内生增长机制。加强投资机制建设，营造配套环境和公共服务功能，进行特色产业园区的让企业带领资产“拎包入住”的资产招商尝试，打通资本实体经济的“最后一公里”。全面跟踪工业投资项目的推进，对建设进度较慢的项目加大督促力度。加大库存产品消化力度，引导企业推进电子商务平台建设，强化网络销售。提升投资效益，奠定民营经济发展后劲基础。充分利用现有资源，加大对创业创新服务载体的支持力度，通过财政补贴、场地建设补助、设立创投基金等方式加大对众创空间、小企业创业基地、科技孵化器、商贸企业集聚区、微型企业孵化园等支持，构建低成本、便利化、全要素、开放式的新型创业创新服务平台。 </w:t>
      </w:r>
    </w:p>
    <w:p w14:paraId="470DD1FA">
      <w:pPr>
        <w:pStyle w:val="5"/>
        <w:spacing w:before="240" w:after="240"/>
        <w:rPr>
          <w:rFonts w:hint="default" w:ascii="Times New Roman" w:hAnsi="Times New Roman" w:cs="Times New Roman"/>
        </w:rPr>
      </w:pPr>
      <w:bookmarkStart w:id="117" w:name="_Toc67039010"/>
      <w:r>
        <w:rPr>
          <w:rFonts w:hint="default" w:ascii="Times New Roman" w:hAnsi="Times New Roman" w:cs="Times New Roman"/>
        </w:rPr>
        <w:t>四、拓宽融资渠道</w:t>
      </w:r>
      <w:bookmarkEnd w:id="117"/>
    </w:p>
    <w:p w14:paraId="78DF2ADB">
      <w:pPr>
        <w:ind w:firstLine="640"/>
        <w:rPr>
          <w:rFonts w:hint="default" w:ascii="Times New Roman" w:hAnsi="Times New Roman" w:cs="Times New Roman"/>
        </w:rPr>
      </w:pPr>
      <w:r>
        <w:rPr>
          <w:rFonts w:hint="default" w:ascii="Times New Roman" w:hAnsi="Times New Roman" w:cs="Times New Roman"/>
        </w:rPr>
        <w:t>加强与金融机构的合作，拓宽融资渠道，降低融资成本，解决融资难、融资贵的问题。完善民营企业融资担保体系，加快推进民营企业信用信息平台建设，鼓励创新型、创业型和成长型中小微企业到“新三</w:t>
      </w:r>
      <w:bookmarkStart w:id="118" w:name="_Hlk55257708"/>
      <w:r>
        <w:rPr>
          <w:rFonts w:hint="default" w:ascii="Times New Roman" w:hAnsi="Times New Roman" w:cs="Times New Roman"/>
        </w:rPr>
        <w:t>板</w:t>
      </w:r>
      <w:bookmarkEnd w:id="118"/>
      <w:r>
        <w:rPr>
          <w:rFonts w:hint="default" w:ascii="Times New Roman" w:hAnsi="Times New Roman" w:cs="Times New Roman"/>
        </w:rPr>
        <w:t>”、“科创板”挂牌，上市融资，切实解决融资难、融资贵问题。严格执行《工业和信息化部、国家税务总局关于民营企业信用担保机构免征营业税有关问题的通知》、《民营企业发展专项资金管理办法》和《中小（民营）企业助保金贷款业务管理办法》，着力培育一批资本金过亿元、管理规范、信用良好的民营经济信用担保机构，改善民营经济融资环境为全区民营企业发展营造良好的金融生态环境。根据担保机构为初创企业和小微民营经济提供的融资服务情况，给予一定资金奖励。发挥财政资金的撬动作用，将有融资需求业绩佳、信用好的民营经济向银行业及其它金融机构推介，促成合作，缓解融资难问题。完善区级融资担保机制。建立健全企业风险补偿机制，通过政府单独设立“风险代偿资金池”的形式担保增信，搭建银政企服务平台，有效放大中小企业产业发展基金的杠杆效应，创新融资担保方式，增强金融服务实体经济能力，给予企业提供可持续资金支持。鼓励和引导银行业金融机构创新金融产品和服务，支持中小企业采取信用贷款、知识产权质押、订单质押等多种方式融资，提高中小企业融资比重。支持设立专门面向中小微型企业的融资租赁公司。支持民间资本设立融资租赁公司，允许民营企业通过法律未禁止的方式向民间直接融资。</w:t>
      </w:r>
    </w:p>
    <w:p w14:paraId="45A92847">
      <w:pPr>
        <w:pStyle w:val="5"/>
        <w:spacing w:before="240" w:after="240"/>
        <w:rPr>
          <w:rFonts w:hint="default" w:ascii="Times New Roman" w:hAnsi="Times New Roman" w:cs="Times New Roman"/>
        </w:rPr>
      </w:pPr>
      <w:bookmarkStart w:id="119" w:name="_Toc67039011"/>
      <w:r>
        <w:rPr>
          <w:rFonts w:hint="default" w:ascii="Times New Roman" w:hAnsi="Times New Roman" w:cs="Times New Roman"/>
        </w:rPr>
        <w:t>五、做强创新集群</w:t>
      </w:r>
      <w:bookmarkEnd w:id="119"/>
    </w:p>
    <w:p w14:paraId="5B8F6E28">
      <w:pPr>
        <w:ind w:firstLine="640"/>
        <w:rPr>
          <w:rFonts w:hint="default" w:ascii="Times New Roman" w:hAnsi="Times New Roman" w:cs="Times New Roman"/>
        </w:rPr>
      </w:pPr>
      <w:r>
        <w:rPr>
          <w:rFonts w:hint="default" w:ascii="Times New Roman" w:hAnsi="Times New Roman" w:cs="Times New Roman"/>
        </w:rPr>
        <w:t>强化企业创新主体地位，鼓励企业加大研发投入，组建创新联合体，引进培育一批创新型企业和科研平台，创造更多“独门绝技”，研发“专精特新”产品。完善“众创空间—孵化器—加速器—产业化”全链条孵化育成体系，提高孵化成功率。开展科技型初创企业“育苗”计划，打造“小微、科小、高新、领军”递进培育模式，推动科技型企业数量和质量“双提升”。引导和支持民营企业主动调整结构、转方式、上水平，不断提高市场竞争力，挖掘民营经济高质量发展潜力，鼓励支持企业抓住数字经济机遇，发展新业态、新模式，进入新领域，围绕“互联网+制造”，开展新一轮大规模技术改造，走好专精特新、创新驱动、开放合作之路。支持民营企业加快进入新兴产业领域。对企业技术改造、研发能力提升、场开拓、信息化建设等方面项目，给予优先扶持。围绕实施“中国智能制造”产业发展战略，以先进装备制造、食品与消费制造、信息产业等为重点，打造企业创新平台。设立科技专项补助资金，给予专项资金支持，调动企业开展科技创新的积极性。在国家鼓励发展的行业中，突出中国民营企业500强、民营制造企业500强等重点招商方向，积极引进区外民营企业入驻发展，积极鼓励、支持区内企业围绕“一带一路”沿线国家“走出去”。</w:t>
      </w:r>
    </w:p>
    <w:p w14:paraId="20B2CE21">
      <w:pPr>
        <w:pStyle w:val="5"/>
        <w:spacing w:before="240" w:after="240"/>
        <w:rPr>
          <w:rFonts w:hint="default" w:ascii="Times New Roman" w:hAnsi="Times New Roman" w:cs="Times New Roman"/>
        </w:rPr>
      </w:pPr>
      <w:bookmarkStart w:id="120" w:name="_Toc67039012"/>
      <w:r>
        <w:rPr>
          <w:rFonts w:hint="default" w:ascii="Times New Roman" w:hAnsi="Times New Roman" w:cs="Times New Roman"/>
        </w:rPr>
        <w:t>六、完善支撑体系</w:t>
      </w:r>
      <w:bookmarkEnd w:id="120"/>
    </w:p>
    <w:p w14:paraId="5E57F597">
      <w:pPr>
        <w:ind w:firstLine="640"/>
        <w:rPr>
          <w:rFonts w:hint="default" w:ascii="Times New Roman" w:hAnsi="Times New Roman" w:cs="Times New Roman"/>
        </w:rPr>
      </w:pPr>
      <w:r>
        <w:rPr>
          <w:rFonts w:hint="default" w:ascii="Times New Roman" w:hAnsi="Times New Roman" w:cs="Times New Roman"/>
        </w:rPr>
        <w:t>完善促进民营经济发展政策措施，持续跟踪、定期评估市场准入有关政策落实情况，切实消除政策隐形壁垒，推进产业政策由差异化、选择性向普惠化、功能性转变。提升政策制定和落实的精准度。加强政策集成和宣传辅导，按照“简明实用看得懂、重点突出易操作”原则，分类编制政策服务指南，统一对外集中发布，做好线上线下联动宣传，进一步扩大政策覆盖面。加强政策之间的统筹协调，确保步调一致，为民营企业提供全方位支持。严格实行“非禁即入”政策，切实解决民间资本进入产业的空间限制，推动全领域、全产业链向民营企业开放，确保民间资本平等进入。大力发展混合所有制经济，支持民间资本通过出资入股、收购股权、认购可转债等多种形式参与国有企业兼并重组，实现产权多元化。推行权力清单、责任清单、负面清单制度并实行动态管理。全面梳理、清理调整、审核确认、优化流程基础上，厘清与行政权力相对应的责任事项、责任主体、责任方式。在招标投标、政府采购等领域，坚持公开公平公正原则，确保民营企业平等参与。进一步精简行政审批和中介服务事项，降低市场准入门槛，发挥“中介超市”作用，提高项目审查效率。定期听取民营企业反映和诉求，商会意见建议，政府部门及其工作人员积极主动作为，帮助民营企业解决遇到的困难和问题。</w:t>
      </w:r>
    </w:p>
    <w:p w14:paraId="612A8588">
      <w:pPr>
        <w:pStyle w:val="5"/>
        <w:spacing w:before="240" w:after="240"/>
        <w:rPr>
          <w:rFonts w:hint="default" w:ascii="Times New Roman" w:hAnsi="Times New Roman" w:cs="Times New Roman"/>
        </w:rPr>
      </w:pPr>
      <w:bookmarkStart w:id="121" w:name="_Toc67039013"/>
      <w:r>
        <w:rPr>
          <w:rFonts w:hint="default" w:ascii="Times New Roman" w:hAnsi="Times New Roman" w:cs="Times New Roman"/>
        </w:rPr>
        <w:t>七、加强运行监测</w:t>
      </w:r>
      <w:bookmarkEnd w:id="121"/>
    </w:p>
    <w:p w14:paraId="6F2C2B1F">
      <w:pPr>
        <w:ind w:firstLine="640"/>
        <w:rPr>
          <w:rFonts w:hint="default" w:ascii="Times New Roman" w:hAnsi="Times New Roman" w:cs="Times New Roman"/>
        </w:rPr>
      </w:pPr>
      <w:r>
        <w:rPr>
          <w:rFonts w:hint="default" w:ascii="Times New Roman" w:hAnsi="Times New Roman" w:cs="Times New Roman"/>
        </w:rPr>
        <w:t>推动建立和完善民营企业的分类统计、监测、分析和发布体系，加强与各级统计部门的联系和衔接，逐步建立民营企业市场监测、风险防范和预警机制。利用互联网、大数据等手段，及时了解民营企业运行和发展情况，努力提升全系统经济运行监测能力、工作能力、预警预测能力和分析研究能力。对民营企业发展态势及时进行研判、科学预警。加强日常监测和年度考核；建立符合实际情况的考核办法，设立多元评价主体及全方位、多层次、多渠道、多视觉的开放式评价体系，为研究制定和完善促进民营企业发展的政策和决策提供基础支撑。</w:t>
      </w:r>
    </w:p>
    <w:p w14:paraId="73E097F9">
      <w:pPr>
        <w:pStyle w:val="5"/>
        <w:spacing w:before="240" w:after="240"/>
        <w:rPr>
          <w:rFonts w:hint="default" w:ascii="Times New Roman" w:hAnsi="Times New Roman" w:cs="Times New Roman"/>
        </w:rPr>
      </w:pPr>
      <w:bookmarkStart w:id="122" w:name="_Toc67039014"/>
      <w:r>
        <w:rPr>
          <w:rFonts w:hint="default" w:ascii="Times New Roman" w:hAnsi="Times New Roman" w:cs="Times New Roman"/>
        </w:rPr>
        <w:t>八、优化营商环境</w:t>
      </w:r>
      <w:bookmarkEnd w:id="122"/>
    </w:p>
    <w:p w14:paraId="2CAB1EDC">
      <w:pPr>
        <w:ind w:firstLine="640"/>
        <w:rPr>
          <w:rFonts w:hint="default" w:ascii="Times New Roman" w:hAnsi="Times New Roman" w:cs="Times New Roman"/>
        </w:rPr>
      </w:pPr>
      <w:r>
        <w:rPr>
          <w:rFonts w:hint="default" w:ascii="Times New Roman" w:hAnsi="Times New Roman" w:cs="Times New Roman"/>
        </w:rPr>
        <w:t>认真贯彻落实玉溪市和红塔区扶持和鼓励民营经济发展的各项政策措施，组织创新政策宣讲培训班，提高民营企业对各项政策的知晓率，帮助企业用好用活已出台的财政、税务、金融、土地、减负、就业等政策，优化民营经济的政策环境，进一步营造公平的投资环境。依法保护民营企业的知识产权、经营权、财务权和名誉权，营造公平公正的司法环境。降低制度性交易成本。持续深化“放管服”改革，进一步清理、精简涉企行政审批事项，落实国家新的行政许可事项清单，清单外许可事项一律视作违规审批。在全区范围内开展企业开办时间再减一半、项目审批时间再砍一半、政务服务一网办通、企业和群众办事力争只进一扇门、“最多跑一次”。加快“一部手机办事通”建设，努力实现政务服务事项掌上办、指尖办。推行企业投资建设项目“全程代办”制度，为企业无偿提供全流程、精准化服务。对符合红塔区产业发展导向的落地新建工业项目，执行《玉溪市红塔区优化财政奖补机制促进工业项目投资实施意见》，按照土地价款分类型和标准给予奖补。</w:t>
      </w:r>
    </w:p>
    <w:p w14:paraId="44B63EAF">
      <w:pPr>
        <w:pStyle w:val="5"/>
        <w:spacing w:before="240" w:after="240"/>
        <w:rPr>
          <w:rFonts w:hint="default" w:ascii="Times New Roman" w:hAnsi="Times New Roman" w:cs="Times New Roman"/>
        </w:rPr>
      </w:pPr>
      <w:bookmarkStart w:id="123" w:name="_Toc67039015"/>
      <w:r>
        <w:rPr>
          <w:rFonts w:hint="default" w:ascii="Times New Roman" w:hAnsi="Times New Roman" w:cs="Times New Roman"/>
        </w:rPr>
        <w:t>九、推进绿色发展</w:t>
      </w:r>
      <w:bookmarkEnd w:id="123"/>
    </w:p>
    <w:p w14:paraId="70BEF34E">
      <w:pPr>
        <w:ind w:firstLine="640"/>
        <w:rPr>
          <w:rFonts w:hint="default" w:ascii="Times New Roman" w:hAnsi="Times New Roman" w:cs="Times New Roman"/>
        </w:rPr>
      </w:pPr>
      <w:r>
        <w:rPr>
          <w:rFonts w:hint="default" w:ascii="Times New Roman" w:hAnsi="Times New Roman" w:cs="Times New Roman"/>
        </w:rPr>
        <w:t>大力推进节能降耗。围绕绿色制造工程，实施钢铁、建材等传统产业生产工艺绿色化升级、能源消费系统节能低碳改造。大力推广应用节能新技术、新产品，加快淘汰落后机电设备和耗能装置。加快推进天然气、太阳能、生物质能等清洁能源在工业领域扩大应用。推进工业园区分布式能源建设，积极发展区域集中供热，开展园区能源梯级循环利用改造。推进企业能源管理中心建设，实施能源系统智能化、信息化改造，不断提高企业能源管控信息化水平。提升资源利用水平。推进工业园区循环化改造，在园区层级加强余热、余压、废热资源的回收利用和水资源循环利用，促进园区内企业废物资源交换利用，创建绿色园区。努力推进工业废渣、废气、废液等资源综合利用，鼓励再生资源回收利用，支持鼓励建设再生资源回收利用集散市场，加强再生资源行业规范管理，支持引导推广应用先进适用技术装备，创建一批绿色工厂，培育一批资源综合利用示范企业（基地）。积极开展产业间资源循环利用，加强上下游企业间协调与协作，推动上下游企业共同提升资源利用效率，创建一批具备绿色供应链企业。鼓励和引导企业采用先进适用节水技术进行改造，创建一批节水标杆企业和节水型园区。积极贯彻落实国家关于化解过剩产能的有关政策，严禁产能严重过剩行业建设新增产能项目，禁止建设国家产业结构调整指导目录划定的淘汰类项目。鼓励和支持原材料工业企业与上下游企业、关联企业开展横向、纵向兼并联合重组，整合压缩过剩产能，优化产业布局，引导部分企业逐步转产或退出。鼓励有能力的企业发展市场调研、产品设计、技术开发、工程总包和系统控制等业务，推动企业由生产型向生产服务型转变。充分发挥政策约束作用和技术标准门槛作用，依法淘汰落后产能。</w:t>
      </w:r>
    </w:p>
    <w:p w14:paraId="73D140FB">
      <w:pPr>
        <w:pStyle w:val="5"/>
        <w:spacing w:before="240" w:after="240"/>
        <w:rPr>
          <w:rFonts w:hint="default" w:ascii="Times New Roman" w:hAnsi="Times New Roman" w:cs="Times New Roman"/>
        </w:rPr>
      </w:pPr>
      <w:bookmarkStart w:id="124" w:name="_Toc67039016"/>
      <w:r>
        <w:rPr>
          <w:rFonts w:hint="default" w:ascii="Times New Roman" w:hAnsi="Times New Roman" w:cs="Times New Roman"/>
        </w:rPr>
        <w:t>十、强化人才保障</w:t>
      </w:r>
      <w:bookmarkEnd w:id="124"/>
    </w:p>
    <w:p w14:paraId="642F473E">
      <w:pPr>
        <w:ind w:firstLine="640"/>
        <w:rPr>
          <w:rFonts w:hint="default" w:ascii="Times New Roman" w:hAnsi="Times New Roman" w:cs="Times New Roman"/>
        </w:rPr>
      </w:pPr>
      <w:r>
        <w:rPr>
          <w:rFonts w:hint="default" w:ascii="Times New Roman" w:hAnsi="Times New Roman" w:cs="Times New Roman"/>
        </w:rPr>
        <w:t>加强民营企业队伍建设，支持企业分领域加大专业技术人才培训力度，打造高层次专业技术人才队伍。引导高校、科研院所和专业服务机构等社会服务资源为民营经济服务。加强民营经济的人才培养和引进，结合省市区高层次创新创业人才引进计划，引进具有综合管理和经营能力的高层次人才。继续实施工业重大人才工程，加快推进人才开发体制和政策创新，完善人才培训工作机制和资金保障体系，发挥政府投入引导作用，鼓励用人单位自主开展人才资源开发和引进，引导推动人才培养链与产业链、创新链有机衔接。强化对人才的物质和精神激励，营造崇尚专业、尊崇工匠的良好社会氛围，营造有利于人人皆可成才和人才脱颖而出的社会环境，加速发现、开发和集聚结构合理、素质优良的工业和信息化党政人才、企业经营管理人才、技术技能人才队伍。</w:t>
      </w:r>
    </w:p>
    <w:sectPr>
      <w:pgSz w:w="11906" w:h="16838"/>
      <w:pgMar w:top="1440" w:right="1588" w:bottom="1440" w:left="1588" w:header="851" w:footer="992" w:gutter="0"/>
      <w:pgNumType w:start="1"/>
      <w:cols w:space="425" w:num="1"/>
      <w:docGrid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GBK">
    <w:altName w:val="方正仿宋_GBK"/>
    <w:panose1 w:val="00000000000000000000"/>
    <w:charset w:val="00"/>
    <w:family w:val="auto"/>
    <w:pitch w:val="default"/>
    <w:sig w:usb0="00000000" w:usb1="00000000" w:usb2="00000000" w:usb3="00000000" w:csb0="00000000"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方正楷体简体">
    <w:altName w:val="宋体"/>
    <w:panose1 w:val="02010601030101010101"/>
    <w:charset w:val="86"/>
    <w:family w:val="auto"/>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方正大标宋简体">
    <w:altName w:val="微软雅黑"/>
    <w:panose1 w:val="02010601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大标宋_GBK">
    <w:altName w:val="宋体"/>
    <w:panose1 w:val="03000509000000000000"/>
    <w:charset w:val="86"/>
    <w:family w:val="script"/>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70514786"/>
      <w:docPartObj>
        <w:docPartGallery w:val="autotext"/>
      </w:docPartObj>
    </w:sdtPr>
    <w:sdtContent>
      <w:p w14:paraId="54E08526">
        <w:pPr>
          <w:pStyle w:val="12"/>
          <w:spacing w:line="0" w:lineRule="atLeast"/>
          <w:ind w:firstLine="360"/>
          <w:jc w:val="center"/>
        </w:pPr>
        <w:r>
          <w:rPr>
            <w:b/>
            <w:bCs/>
            <w:color w:val="000000" w:themeColor="text1"/>
            <w14:textFill>
              <w14:solidFill>
                <w14:schemeClr w14:val="tx1"/>
              </w14:solidFill>
            </w14:textFill>
          </w:rPr>
          <w:fldChar w:fldCharType="begin"/>
        </w:r>
        <w:r>
          <w:rPr>
            <w:b/>
            <w:bCs/>
            <w:color w:val="000000" w:themeColor="text1"/>
            <w14:textFill>
              <w14:solidFill>
                <w14:schemeClr w14:val="tx1"/>
              </w14:solidFill>
            </w14:textFill>
          </w:rPr>
          <w:instrText xml:space="preserve">PAGE   \* MERGEFORMAT</w:instrText>
        </w:r>
        <w:r>
          <w:rPr>
            <w:b/>
            <w:bCs/>
            <w:color w:val="000000" w:themeColor="text1"/>
            <w14:textFill>
              <w14:solidFill>
                <w14:schemeClr w14:val="tx1"/>
              </w14:solidFill>
            </w14:textFill>
          </w:rPr>
          <w:fldChar w:fldCharType="separate"/>
        </w:r>
        <w:r>
          <w:rPr>
            <w:b/>
            <w:bCs/>
            <w:color w:val="000000" w:themeColor="text1"/>
            <w:lang w:val="zh-CN"/>
            <w14:textFill>
              <w14:solidFill>
                <w14:schemeClr w14:val="tx1"/>
              </w14:solidFill>
            </w14:textFill>
          </w:rPr>
          <w:t>2</w:t>
        </w:r>
        <w:r>
          <w:rPr>
            <w:b/>
            <w:bCs/>
            <w:color w:val="000000" w:themeColor="text1"/>
            <w14:textFill>
              <w14:solidFill>
                <w14:schemeClr w14:val="tx1"/>
              </w14:solidFill>
            </w14:textFill>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EC66C">
    <w:pPr>
      <w:pStyle w:val="12"/>
      <w:ind w:firstLine="0" w:firstLineChars="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61F7F">
    <w:pPr>
      <w:pStyle w:val="12"/>
      <w:ind w:firstLine="0" w:firstLineChars="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4314345"/>
      <w:docPartObj>
        <w:docPartGallery w:val="autotext"/>
      </w:docPartObj>
    </w:sdtPr>
    <w:sdtContent>
      <w:p w14:paraId="5D04C82A">
        <w:pPr>
          <w:pStyle w:val="12"/>
          <w:ind w:firstLine="360"/>
          <w:jc w:val="center"/>
        </w:pPr>
        <w:r>
          <w:fldChar w:fldCharType="begin"/>
        </w:r>
        <w:r>
          <w:instrText xml:space="preserve">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E29C7">
    <w:pPr>
      <w:pStyle w:val="12"/>
      <w:ind w:firstLine="0" w:firstLineChars="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CDA19">
    <w:pPr>
      <w:spacing w:line="0" w:lineRule="atLeast"/>
      <w:ind w:firstLine="360"/>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26DAC">
    <w:pPr>
      <w:ind w:firstLine="64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40"/>
  <w:drawingGridVerticalSpacing w:val="381"/>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B70756D"/>
    <w:rsid w:val="00006B97"/>
    <w:rsid w:val="00012632"/>
    <w:rsid w:val="000142EF"/>
    <w:rsid w:val="00015A58"/>
    <w:rsid w:val="0001696C"/>
    <w:rsid w:val="0001734C"/>
    <w:rsid w:val="00017A63"/>
    <w:rsid w:val="00021ACD"/>
    <w:rsid w:val="000222BF"/>
    <w:rsid w:val="000254E7"/>
    <w:rsid w:val="00027867"/>
    <w:rsid w:val="00042FCF"/>
    <w:rsid w:val="0004420F"/>
    <w:rsid w:val="0004521B"/>
    <w:rsid w:val="000456A5"/>
    <w:rsid w:val="00046A58"/>
    <w:rsid w:val="00046B22"/>
    <w:rsid w:val="00052F53"/>
    <w:rsid w:val="00053683"/>
    <w:rsid w:val="0005456F"/>
    <w:rsid w:val="000552B8"/>
    <w:rsid w:val="00057378"/>
    <w:rsid w:val="00057966"/>
    <w:rsid w:val="00064EDA"/>
    <w:rsid w:val="00067377"/>
    <w:rsid w:val="00071DC2"/>
    <w:rsid w:val="000729B4"/>
    <w:rsid w:val="000757A4"/>
    <w:rsid w:val="00076DC0"/>
    <w:rsid w:val="000772C0"/>
    <w:rsid w:val="000820E3"/>
    <w:rsid w:val="00083792"/>
    <w:rsid w:val="00085120"/>
    <w:rsid w:val="00085612"/>
    <w:rsid w:val="00087D28"/>
    <w:rsid w:val="00091BFD"/>
    <w:rsid w:val="00094899"/>
    <w:rsid w:val="00096948"/>
    <w:rsid w:val="0009726A"/>
    <w:rsid w:val="00097C77"/>
    <w:rsid w:val="000A3354"/>
    <w:rsid w:val="000A3E15"/>
    <w:rsid w:val="000B089E"/>
    <w:rsid w:val="000B0EDD"/>
    <w:rsid w:val="000C01F3"/>
    <w:rsid w:val="000C2558"/>
    <w:rsid w:val="000C3542"/>
    <w:rsid w:val="000C356F"/>
    <w:rsid w:val="000C3581"/>
    <w:rsid w:val="000C58B1"/>
    <w:rsid w:val="000C69E6"/>
    <w:rsid w:val="000D173F"/>
    <w:rsid w:val="000D32D2"/>
    <w:rsid w:val="000D35B3"/>
    <w:rsid w:val="000D3DEE"/>
    <w:rsid w:val="000D4F2C"/>
    <w:rsid w:val="000D6329"/>
    <w:rsid w:val="000D7422"/>
    <w:rsid w:val="000E1816"/>
    <w:rsid w:val="000E1CC9"/>
    <w:rsid w:val="000E636C"/>
    <w:rsid w:val="000F0487"/>
    <w:rsid w:val="000F097B"/>
    <w:rsid w:val="000F1FF0"/>
    <w:rsid w:val="000F3193"/>
    <w:rsid w:val="00101345"/>
    <w:rsid w:val="00107DDC"/>
    <w:rsid w:val="00112095"/>
    <w:rsid w:val="001133A8"/>
    <w:rsid w:val="001146C2"/>
    <w:rsid w:val="00114C98"/>
    <w:rsid w:val="00115CBC"/>
    <w:rsid w:val="00120B46"/>
    <w:rsid w:val="00120C79"/>
    <w:rsid w:val="00120EE2"/>
    <w:rsid w:val="00123DF3"/>
    <w:rsid w:val="00133DD6"/>
    <w:rsid w:val="0013707F"/>
    <w:rsid w:val="00141893"/>
    <w:rsid w:val="00141F41"/>
    <w:rsid w:val="00145338"/>
    <w:rsid w:val="0014659A"/>
    <w:rsid w:val="0015041E"/>
    <w:rsid w:val="00160EA0"/>
    <w:rsid w:val="00164ED4"/>
    <w:rsid w:val="0016586A"/>
    <w:rsid w:val="001661C9"/>
    <w:rsid w:val="00167EF8"/>
    <w:rsid w:val="00171630"/>
    <w:rsid w:val="0017176E"/>
    <w:rsid w:val="00172925"/>
    <w:rsid w:val="001754B0"/>
    <w:rsid w:val="001852DA"/>
    <w:rsid w:val="00186363"/>
    <w:rsid w:val="001905D6"/>
    <w:rsid w:val="00193307"/>
    <w:rsid w:val="0019506A"/>
    <w:rsid w:val="00195E1F"/>
    <w:rsid w:val="001A0497"/>
    <w:rsid w:val="001A3D17"/>
    <w:rsid w:val="001A47EA"/>
    <w:rsid w:val="001A5514"/>
    <w:rsid w:val="001A650F"/>
    <w:rsid w:val="001A7D52"/>
    <w:rsid w:val="001B1AC3"/>
    <w:rsid w:val="001B2105"/>
    <w:rsid w:val="001B3DFD"/>
    <w:rsid w:val="001B5382"/>
    <w:rsid w:val="001B5503"/>
    <w:rsid w:val="001C37AA"/>
    <w:rsid w:val="001D2FA9"/>
    <w:rsid w:val="001D37FF"/>
    <w:rsid w:val="001D4B38"/>
    <w:rsid w:val="001D6E94"/>
    <w:rsid w:val="001D7A68"/>
    <w:rsid w:val="001F2C9C"/>
    <w:rsid w:val="001F54E5"/>
    <w:rsid w:val="0020017C"/>
    <w:rsid w:val="002001D9"/>
    <w:rsid w:val="002006B1"/>
    <w:rsid w:val="0020071C"/>
    <w:rsid w:val="00200CEE"/>
    <w:rsid w:val="0020102F"/>
    <w:rsid w:val="00204579"/>
    <w:rsid w:val="00204900"/>
    <w:rsid w:val="0021184D"/>
    <w:rsid w:val="0021255C"/>
    <w:rsid w:val="00213F1F"/>
    <w:rsid w:val="002161C4"/>
    <w:rsid w:val="0021701F"/>
    <w:rsid w:val="00220D5C"/>
    <w:rsid w:val="0022168C"/>
    <w:rsid w:val="00222F7A"/>
    <w:rsid w:val="00226642"/>
    <w:rsid w:val="002268C0"/>
    <w:rsid w:val="002339E5"/>
    <w:rsid w:val="002353BD"/>
    <w:rsid w:val="002379F6"/>
    <w:rsid w:val="00246873"/>
    <w:rsid w:val="00247C25"/>
    <w:rsid w:val="0025710E"/>
    <w:rsid w:val="00262F66"/>
    <w:rsid w:val="00263345"/>
    <w:rsid w:val="002634B7"/>
    <w:rsid w:val="00264795"/>
    <w:rsid w:val="00265F0A"/>
    <w:rsid w:val="00266645"/>
    <w:rsid w:val="00266F79"/>
    <w:rsid w:val="00270221"/>
    <w:rsid w:val="002824AB"/>
    <w:rsid w:val="00282C42"/>
    <w:rsid w:val="00283A83"/>
    <w:rsid w:val="00283D46"/>
    <w:rsid w:val="002842F9"/>
    <w:rsid w:val="00285FD6"/>
    <w:rsid w:val="00286FB3"/>
    <w:rsid w:val="00287FFA"/>
    <w:rsid w:val="00291AA9"/>
    <w:rsid w:val="002A1BA5"/>
    <w:rsid w:val="002A2D41"/>
    <w:rsid w:val="002A672B"/>
    <w:rsid w:val="002B0DF2"/>
    <w:rsid w:val="002B16B1"/>
    <w:rsid w:val="002B5F43"/>
    <w:rsid w:val="002C1F59"/>
    <w:rsid w:val="002C31C2"/>
    <w:rsid w:val="002C7403"/>
    <w:rsid w:val="002C7B6C"/>
    <w:rsid w:val="002D067A"/>
    <w:rsid w:val="002D0C7B"/>
    <w:rsid w:val="002D0D27"/>
    <w:rsid w:val="002D7D67"/>
    <w:rsid w:val="002D7DB3"/>
    <w:rsid w:val="002E13DB"/>
    <w:rsid w:val="002E60E8"/>
    <w:rsid w:val="002E66AC"/>
    <w:rsid w:val="002F4BE6"/>
    <w:rsid w:val="002F7B50"/>
    <w:rsid w:val="003005AD"/>
    <w:rsid w:val="00310D0C"/>
    <w:rsid w:val="00315B9E"/>
    <w:rsid w:val="00316B66"/>
    <w:rsid w:val="0032286D"/>
    <w:rsid w:val="0032306E"/>
    <w:rsid w:val="00324F83"/>
    <w:rsid w:val="003251ED"/>
    <w:rsid w:val="0032529E"/>
    <w:rsid w:val="00325C6D"/>
    <w:rsid w:val="00325ED0"/>
    <w:rsid w:val="00326E82"/>
    <w:rsid w:val="00327F83"/>
    <w:rsid w:val="003337E4"/>
    <w:rsid w:val="00344792"/>
    <w:rsid w:val="003455EA"/>
    <w:rsid w:val="00346733"/>
    <w:rsid w:val="003469DE"/>
    <w:rsid w:val="00347EC3"/>
    <w:rsid w:val="0035147E"/>
    <w:rsid w:val="00352FBF"/>
    <w:rsid w:val="003557A4"/>
    <w:rsid w:val="00355C45"/>
    <w:rsid w:val="0035704E"/>
    <w:rsid w:val="00360316"/>
    <w:rsid w:val="0036253B"/>
    <w:rsid w:val="0036352F"/>
    <w:rsid w:val="00365BB1"/>
    <w:rsid w:val="00367700"/>
    <w:rsid w:val="00370483"/>
    <w:rsid w:val="0037190E"/>
    <w:rsid w:val="0037540E"/>
    <w:rsid w:val="00376041"/>
    <w:rsid w:val="00382BD3"/>
    <w:rsid w:val="00384DA1"/>
    <w:rsid w:val="003862F7"/>
    <w:rsid w:val="00386A77"/>
    <w:rsid w:val="003901BF"/>
    <w:rsid w:val="00395288"/>
    <w:rsid w:val="003A23C5"/>
    <w:rsid w:val="003A41E8"/>
    <w:rsid w:val="003A6D57"/>
    <w:rsid w:val="003A6E43"/>
    <w:rsid w:val="003B2774"/>
    <w:rsid w:val="003B3FDD"/>
    <w:rsid w:val="003B5E47"/>
    <w:rsid w:val="003B67E5"/>
    <w:rsid w:val="003B7B53"/>
    <w:rsid w:val="003C0F3F"/>
    <w:rsid w:val="003C11B0"/>
    <w:rsid w:val="003C2E7E"/>
    <w:rsid w:val="003C3B0E"/>
    <w:rsid w:val="003C7517"/>
    <w:rsid w:val="003D46BF"/>
    <w:rsid w:val="003D5470"/>
    <w:rsid w:val="003D58F1"/>
    <w:rsid w:val="003E2343"/>
    <w:rsid w:val="003E48EE"/>
    <w:rsid w:val="003E7690"/>
    <w:rsid w:val="003E7C26"/>
    <w:rsid w:val="003E7D20"/>
    <w:rsid w:val="003F0454"/>
    <w:rsid w:val="003F0B36"/>
    <w:rsid w:val="003F1B86"/>
    <w:rsid w:val="003F257A"/>
    <w:rsid w:val="003F2B6D"/>
    <w:rsid w:val="003F3689"/>
    <w:rsid w:val="003F5B24"/>
    <w:rsid w:val="00406502"/>
    <w:rsid w:val="00411414"/>
    <w:rsid w:val="00411B71"/>
    <w:rsid w:val="00420A26"/>
    <w:rsid w:val="004214E3"/>
    <w:rsid w:val="00422E65"/>
    <w:rsid w:val="00423F5C"/>
    <w:rsid w:val="004244E5"/>
    <w:rsid w:val="004246EA"/>
    <w:rsid w:val="004309D7"/>
    <w:rsid w:val="00430D53"/>
    <w:rsid w:val="004331E9"/>
    <w:rsid w:val="004358A3"/>
    <w:rsid w:val="00436722"/>
    <w:rsid w:val="00437967"/>
    <w:rsid w:val="00440A6F"/>
    <w:rsid w:val="0044295D"/>
    <w:rsid w:val="00444927"/>
    <w:rsid w:val="0044733B"/>
    <w:rsid w:val="00452A0D"/>
    <w:rsid w:val="00452AF6"/>
    <w:rsid w:val="00454C22"/>
    <w:rsid w:val="00457427"/>
    <w:rsid w:val="00457559"/>
    <w:rsid w:val="00467A5F"/>
    <w:rsid w:val="0047046C"/>
    <w:rsid w:val="004710EB"/>
    <w:rsid w:val="00473891"/>
    <w:rsid w:val="0047553A"/>
    <w:rsid w:val="00476B2B"/>
    <w:rsid w:val="0047789A"/>
    <w:rsid w:val="004832FA"/>
    <w:rsid w:val="00491D87"/>
    <w:rsid w:val="00491EF7"/>
    <w:rsid w:val="00492848"/>
    <w:rsid w:val="00492A34"/>
    <w:rsid w:val="004A544A"/>
    <w:rsid w:val="004A6D75"/>
    <w:rsid w:val="004B0AC7"/>
    <w:rsid w:val="004B3F79"/>
    <w:rsid w:val="004C3524"/>
    <w:rsid w:val="004C3E20"/>
    <w:rsid w:val="004C429B"/>
    <w:rsid w:val="004E0C19"/>
    <w:rsid w:val="004E3339"/>
    <w:rsid w:val="004E6D11"/>
    <w:rsid w:val="004E7F5C"/>
    <w:rsid w:val="004F07C7"/>
    <w:rsid w:val="004F1D9F"/>
    <w:rsid w:val="004F57B7"/>
    <w:rsid w:val="004F5A67"/>
    <w:rsid w:val="00501994"/>
    <w:rsid w:val="00502FC2"/>
    <w:rsid w:val="00503568"/>
    <w:rsid w:val="005039E3"/>
    <w:rsid w:val="00504AA0"/>
    <w:rsid w:val="0050743A"/>
    <w:rsid w:val="00511FFD"/>
    <w:rsid w:val="0051432D"/>
    <w:rsid w:val="005153A9"/>
    <w:rsid w:val="005164C9"/>
    <w:rsid w:val="0052131D"/>
    <w:rsid w:val="0052246E"/>
    <w:rsid w:val="00523DF6"/>
    <w:rsid w:val="00531052"/>
    <w:rsid w:val="00533D2E"/>
    <w:rsid w:val="00534F32"/>
    <w:rsid w:val="0053637C"/>
    <w:rsid w:val="00536395"/>
    <w:rsid w:val="00544B40"/>
    <w:rsid w:val="0054598F"/>
    <w:rsid w:val="00545EA3"/>
    <w:rsid w:val="00546E76"/>
    <w:rsid w:val="005501B5"/>
    <w:rsid w:val="00552B5F"/>
    <w:rsid w:val="0055515E"/>
    <w:rsid w:val="005563DB"/>
    <w:rsid w:val="0056137E"/>
    <w:rsid w:val="00562320"/>
    <w:rsid w:val="00563976"/>
    <w:rsid w:val="00563DFA"/>
    <w:rsid w:val="00564AFB"/>
    <w:rsid w:val="00570A5B"/>
    <w:rsid w:val="00573088"/>
    <w:rsid w:val="005737C2"/>
    <w:rsid w:val="00573C4B"/>
    <w:rsid w:val="0057447A"/>
    <w:rsid w:val="00574E8A"/>
    <w:rsid w:val="00576236"/>
    <w:rsid w:val="00576ADF"/>
    <w:rsid w:val="005775C1"/>
    <w:rsid w:val="00577BB7"/>
    <w:rsid w:val="00577CF8"/>
    <w:rsid w:val="0058056A"/>
    <w:rsid w:val="00582753"/>
    <w:rsid w:val="0058402C"/>
    <w:rsid w:val="0058491B"/>
    <w:rsid w:val="005850F3"/>
    <w:rsid w:val="00585C7A"/>
    <w:rsid w:val="0058646C"/>
    <w:rsid w:val="00591556"/>
    <w:rsid w:val="0059194A"/>
    <w:rsid w:val="00596565"/>
    <w:rsid w:val="005A34C2"/>
    <w:rsid w:val="005A478B"/>
    <w:rsid w:val="005A62CD"/>
    <w:rsid w:val="005A67CF"/>
    <w:rsid w:val="005A7818"/>
    <w:rsid w:val="005B1B10"/>
    <w:rsid w:val="005B3D85"/>
    <w:rsid w:val="005B3EA3"/>
    <w:rsid w:val="005B59A5"/>
    <w:rsid w:val="005B6025"/>
    <w:rsid w:val="005C0AC5"/>
    <w:rsid w:val="005C2DBE"/>
    <w:rsid w:val="005C2E51"/>
    <w:rsid w:val="005C3521"/>
    <w:rsid w:val="005C4096"/>
    <w:rsid w:val="005C5E40"/>
    <w:rsid w:val="005C616B"/>
    <w:rsid w:val="005C6B81"/>
    <w:rsid w:val="005D2740"/>
    <w:rsid w:val="005D4560"/>
    <w:rsid w:val="005D7757"/>
    <w:rsid w:val="005E13B0"/>
    <w:rsid w:val="005E29F0"/>
    <w:rsid w:val="005E2A6E"/>
    <w:rsid w:val="005F00C2"/>
    <w:rsid w:val="005F19B4"/>
    <w:rsid w:val="005F29EB"/>
    <w:rsid w:val="005F6930"/>
    <w:rsid w:val="005F73FD"/>
    <w:rsid w:val="006006FB"/>
    <w:rsid w:val="00601F89"/>
    <w:rsid w:val="00603931"/>
    <w:rsid w:val="00607452"/>
    <w:rsid w:val="0061013E"/>
    <w:rsid w:val="00610A43"/>
    <w:rsid w:val="00612814"/>
    <w:rsid w:val="00614C90"/>
    <w:rsid w:val="00617540"/>
    <w:rsid w:val="006176E4"/>
    <w:rsid w:val="0062298A"/>
    <w:rsid w:val="00623CA5"/>
    <w:rsid w:val="00624719"/>
    <w:rsid w:val="00624D23"/>
    <w:rsid w:val="0062629A"/>
    <w:rsid w:val="00627292"/>
    <w:rsid w:val="00630BDE"/>
    <w:rsid w:val="00633BF7"/>
    <w:rsid w:val="00634026"/>
    <w:rsid w:val="00634DF1"/>
    <w:rsid w:val="00636DFA"/>
    <w:rsid w:val="0064169F"/>
    <w:rsid w:val="00647F60"/>
    <w:rsid w:val="00651530"/>
    <w:rsid w:val="00654DA9"/>
    <w:rsid w:val="006561FB"/>
    <w:rsid w:val="006607AF"/>
    <w:rsid w:val="0066586A"/>
    <w:rsid w:val="006659C3"/>
    <w:rsid w:val="00665C95"/>
    <w:rsid w:val="0066654E"/>
    <w:rsid w:val="00666C84"/>
    <w:rsid w:val="00667C3B"/>
    <w:rsid w:val="0067044E"/>
    <w:rsid w:val="00670879"/>
    <w:rsid w:val="00671E1F"/>
    <w:rsid w:val="00672A55"/>
    <w:rsid w:val="00673569"/>
    <w:rsid w:val="006757CA"/>
    <w:rsid w:val="0068021F"/>
    <w:rsid w:val="006853DF"/>
    <w:rsid w:val="006917F7"/>
    <w:rsid w:val="00693306"/>
    <w:rsid w:val="0069501E"/>
    <w:rsid w:val="006A1E19"/>
    <w:rsid w:val="006A37C6"/>
    <w:rsid w:val="006A40DB"/>
    <w:rsid w:val="006A55AB"/>
    <w:rsid w:val="006A56B8"/>
    <w:rsid w:val="006A6849"/>
    <w:rsid w:val="006A6C40"/>
    <w:rsid w:val="006B0C22"/>
    <w:rsid w:val="006B3DC8"/>
    <w:rsid w:val="006B3ED4"/>
    <w:rsid w:val="006B4146"/>
    <w:rsid w:val="006B6D12"/>
    <w:rsid w:val="006C1EE5"/>
    <w:rsid w:val="006C7BD3"/>
    <w:rsid w:val="006D1CA8"/>
    <w:rsid w:val="006D2B1A"/>
    <w:rsid w:val="006D3D87"/>
    <w:rsid w:val="006D6C55"/>
    <w:rsid w:val="006E2556"/>
    <w:rsid w:val="006E27EF"/>
    <w:rsid w:val="006E43D7"/>
    <w:rsid w:val="006E4519"/>
    <w:rsid w:val="006E4F4D"/>
    <w:rsid w:val="006E62D2"/>
    <w:rsid w:val="006E62EE"/>
    <w:rsid w:val="006E676D"/>
    <w:rsid w:val="006F0E4A"/>
    <w:rsid w:val="006F342E"/>
    <w:rsid w:val="006F4654"/>
    <w:rsid w:val="006F4923"/>
    <w:rsid w:val="006F4CD6"/>
    <w:rsid w:val="006F4F86"/>
    <w:rsid w:val="006F60F4"/>
    <w:rsid w:val="006F62F0"/>
    <w:rsid w:val="006F7D94"/>
    <w:rsid w:val="007043F8"/>
    <w:rsid w:val="00707033"/>
    <w:rsid w:val="007110BD"/>
    <w:rsid w:val="007157D4"/>
    <w:rsid w:val="00722352"/>
    <w:rsid w:val="0072369B"/>
    <w:rsid w:val="00727D18"/>
    <w:rsid w:val="0073012C"/>
    <w:rsid w:val="0073160A"/>
    <w:rsid w:val="00737927"/>
    <w:rsid w:val="00742AEB"/>
    <w:rsid w:val="00750CDE"/>
    <w:rsid w:val="00751E71"/>
    <w:rsid w:val="00753F63"/>
    <w:rsid w:val="0075775D"/>
    <w:rsid w:val="00757C19"/>
    <w:rsid w:val="00770369"/>
    <w:rsid w:val="00772AAA"/>
    <w:rsid w:val="00772B21"/>
    <w:rsid w:val="0078028A"/>
    <w:rsid w:val="007813D3"/>
    <w:rsid w:val="0078241F"/>
    <w:rsid w:val="00786222"/>
    <w:rsid w:val="007868FE"/>
    <w:rsid w:val="00787BD2"/>
    <w:rsid w:val="007914A0"/>
    <w:rsid w:val="00791B7D"/>
    <w:rsid w:val="007A09E0"/>
    <w:rsid w:val="007A2105"/>
    <w:rsid w:val="007A4FE5"/>
    <w:rsid w:val="007A507F"/>
    <w:rsid w:val="007A61D3"/>
    <w:rsid w:val="007A6831"/>
    <w:rsid w:val="007A7C4C"/>
    <w:rsid w:val="007B107E"/>
    <w:rsid w:val="007B3682"/>
    <w:rsid w:val="007B4900"/>
    <w:rsid w:val="007C0676"/>
    <w:rsid w:val="007C1A74"/>
    <w:rsid w:val="007C248F"/>
    <w:rsid w:val="007C4B1A"/>
    <w:rsid w:val="007C7355"/>
    <w:rsid w:val="007D0707"/>
    <w:rsid w:val="007D09F9"/>
    <w:rsid w:val="007D451A"/>
    <w:rsid w:val="007D595E"/>
    <w:rsid w:val="007E0E39"/>
    <w:rsid w:val="007E3095"/>
    <w:rsid w:val="007E3945"/>
    <w:rsid w:val="007E76EB"/>
    <w:rsid w:val="007F0213"/>
    <w:rsid w:val="007F2360"/>
    <w:rsid w:val="007F5615"/>
    <w:rsid w:val="00801694"/>
    <w:rsid w:val="0080360B"/>
    <w:rsid w:val="008070B9"/>
    <w:rsid w:val="00816CB2"/>
    <w:rsid w:val="0081701A"/>
    <w:rsid w:val="00817264"/>
    <w:rsid w:val="00817371"/>
    <w:rsid w:val="00820D77"/>
    <w:rsid w:val="00824059"/>
    <w:rsid w:val="00824A51"/>
    <w:rsid w:val="00825878"/>
    <w:rsid w:val="008302D7"/>
    <w:rsid w:val="00830399"/>
    <w:rsid w:val="00834498"/>
    <w:rsid w:val="008374C2"/>
    <w:rsid w:val="00842D85"/>
    <w:rsid w:val="0084413B"/>
    <w:rsid w:val="0084775A"/>
    <w:rsid w:val="00857DE1"/>
    <w:rsid w:val="00857E20"/>
    <w:rsid w:val="008644EC"/>
    <w:rsid w:val="0086484E"/>
    <w:rsid w:val="00865897"/>
    <w:rsid w:val="00877C5E"/>
    <w:rsid w:val="0088024B"/>
    <w:rsid w:val="008810AB"/>
    <w:rsid w:val="00881FF7"/>
    <w:rsid w:val="008A488A"/>
    <w:rsid w:val="008A65F8"/>
    <w:rsid w:val="008B1F1D"/>
    <w:rsid w:val="008B4479"/>
    <w:rsid w:val="008B57C2"/>
    <w:rsid w:val="008C138D"/>
    <w:rsid w:val="008C2A18"/>
    <w:rsid w:val="008C2F2B"/>
    <w:rsid w:val="008C335C"/>
    <w:rsid w:val="008D3085"/>
    <w:rsid w:val="008D4086"/>
    <w:rsid w:val="008D5C6C"/>
    <w:rsid w:val="008D77B3"/>
    <w:rsid w:val="008E5EB4"/>
    <w:rsid w:val="008F12FF"/>
    <w:rsid w:val="008F1FB1"/>
    <w:rsid w:val="008F4FCE"/>
    <w:rsid w:val="008F5373"/>
    <w:rsid w:val="00902F1C"/>
    <w:rsid w:val="009036C3"/>
    <w:rsid w:val="00910BCE"/>
    <w:rsid w:val="00913028"/>
    <w:rsid w:val="0093036F"/>
    <w:rsid w:val="0093116B"/>
    <w:rsid w:val="00932C6C"/>
    <w:rsid w:val="00934A66"/>
    <w:rsid w:val="00937D77"/>
    <w:rsid w:val="009416FB"/>
    <w:rsid w:val="0094327E"/>
    <w:rsid w:val="00943EE6"/>
    <w:rsid w:val="0094638B"/>
    <w:rsid w:val="00953E04"/>
    <w:rsid w:val="0096161C"/>
    <w:rsid w:val="00962B02"/>
    <w:rsid w:val="0097076D"/>
    <w:rsid w:val="00972FDF"/>
    <w:rsid w:val="009801A6"/>
    <w:rsid w:val="009824A7"/>
    <w:rsid w:val="00983ED4"/>
    <w:rsid w:val="009901E0"/>
    <w:rsid w:val="009903D3"/>
    <w:rsid w:val="00997921"/>
    <w:rsid w:val="00997B4E"/>
    <w:rsid w:val="009A5513"/>
    <w:rsid w:val="009A7C91"/>
    <w:rsid w:val="009B2978"/>
    <w:rsid w:val="009C08B9"/>
    <w:rsid w:val="009C0945"/>
    <w:rsid w:val="009C42F1"/>
    <w:rsid w:val="009D16DF"/>
    <w:rsid w:val="009D2D20"/>
    <w:rsid w:val="009D4290"/>
    <w:rsid w:val="009D5F9A"/>
    <w:rsid w:val="009D7CBE"/>
    <w:rsid w:val="009E279D"/>
    <w:rsid w:val="009E358F"/>
    <w:rsid w:val="009E3C6D"/>
    <w:rsid w:val="009E6F06"/>
    <w:rsid w:val="009F0193"/>
    <w:rsid w:val="009F22CA"/>
    <w:rsid w:val="009F2EEC"/>
    <w:rsid w:val="009F61A1"/>
    <w:rsid w:val="00A01125"/>
    <w:rsid w:val="00A02CB9"/>
    <w:rsid w:val="00A0367B"/>
    <w:rsid w:val="00A121F6"/>
    <w:rsid w:val="00A1330B"/>
    <w:rsid w:val="00A14924"/>
    <w:rsid w:val="00A212E5"/>
    <w:rsid w:val="00A2651E"/>
    <w:rsid w:val="00A27F78"/>
    <w:rsid w:val="00A27F80"/>
    <w:rsid w:val="00A3026C"/>
    <w:rsid w:val="00A306F5"/>
    <w:rsid w:val="00A44156"/>
    <w:rsid w:val="00A46F6B"/>
    <w:rsid w:val="00A545FB"/>
    <w:rsid w:val="00A61202"/>
    <w:rsid w:val="00A630F4"/>
    <w:rsid w:val="00A638A5"/>
    <w:rsid w:val="00A63939"/>
    <w:rsid w:val="00A71AF5"/>
    <w:rsid w:val="00A742BF"/>
    <w:rsid w:val="00A744D9"/>
    <w:rsid w:val="00A748BA"/>
    <w:rsid w:val="00A75425"/>
    <w:rsid w:val="00A75B27"/>
    <w:rsid w:val="00A76072"/>
    <w:rsid w:val="00A80CD9"/>
    <w:rsid w:val="00A8256B"/>
    <w:rsid w:val="00A82B3A"/>
    <w:rsid w:val="00A83903"/>
    <w:rsid w:val="00A91526"/>
    <w:rsid w:val="00A92CDD"/>
    <w:rsid w:val="00A93BE8"/>
    <w:rsid w:val="00A93EEA"/>
    <w:rsid w:val="00A943FC"/>
    <w:rsid w:val="00A97881"/>
    <w:rsid w:val="00A97E8A"/>
    <w:rsid w:val="00AA5CCB"/>
    <w:rsid w:val="00AA6A47"/>
    <w:rsid w:val="00AB13D2"/>
    <w:rsid w:val="00AB3606"/>
    <w:rsid w:val="00AB49AD"/>
    <w:rsid w:val="00AB52A4"/>
    <w:rsid w:val="00AB586C"/>
    <w:rsid w:val="00AC24AA"/>
    <w:rsid w:val="00AD0265"/>
    <w:rsid w:val="00AD3513"/>
    <w:rsid w:val="00AD3F3E"/>
    <w:rsid w:val="00AE1076"/>
    <w:rsid w:val="00AE168B"/>
    <w:rsid w:val="00AE4A4F"/>
    <w:rsid w:val="00AE5325"/>
    <w:rsid w:val="00AE5446"/>
    <w:rsid w:val="00AE54BD"/>
    <w:rsid w:val="00AE6B2E"/>
    <w:rsid w:val="00AF0035"/>
    <w:rsid w:val="00AF0196"/>
    <w:rsid w:val="00AF0D8E"/>
    <w:rsid w:val="00AF1398"/>
    <w:rsid w:val="00AF1B7B"/>
    <w:rsid w:val="00AF3F9A"/>
    <w:rsid w:val="00AF6054"/>
    <w:rsid w:val="00AF6BA2"/>
    <w:rsid w:val="00B00018"/>
    <w:rsid w:val="00B06FB9"/>
    <w:rsid w:val="00B1167C"/>
    <w:rsid w:val="00B128A4"/>
    <w:rsid w:val="00B13CD6"/>
    <w:rsid w:val="00B15432"/>
    <w:rsid w:val="00B15E66"/>
    <w:rsid w:val="00B22AA4"/>
    <w:rsid w:val="00B27CA2"/>
    <w:rsid w:val="00B308F3"/>
    <w:rsid w:val="00B3717A"/>
    <w:rsid w:val="00B375D0"/>
    <w:rsid w:val="00B40D0D"/>
    <w:rsid w:val="00B41875"/>
    <w:rsid w:val="00B5046A"/>
    <w:rsid w:val="00B52340"/>
    <w:rsid w:val="00B5243C"/>
    <w:rsid w:val="00B52DD7"/>
    <w:rsid w:val="00B53068"/>
    <w:rsid w:val="00B55CA0"/>
    <w:rsid w:val="00B56311"/>
    <w:rsid w:val="00B56C83"/>
    <w:rsid w:val="00B56DD8"/>
    <w:rsid w:val="00B57A54"/>
    <w:rsid w:val="00B62C71"/>
    <w:rsid w:val="00B665EE"/>
    <w:rsid w:val="00B70619"/>
    <w:rsid w:val="00B74001"/>
    <w:rsid w:val="00B74C6C"/>
    <w:rsid w:val="00B77A89"/>
    <w:rsid w:val="00B80338"/>
    <w:rsid w:val="00B82B77"/>
    <w:rsid w:val="00B84EF7"/>
    <w:rsid w:val="00B93644"/>
    <w:rsid w:val="00B94991"/>
    <w:rsid w:val="00B94A5A"/>
    <w:rsid w:val="00B95112"/>
    <w:rsid w:val="00B97B90"/>
    <w:rsid w:val="00BA3DA3"/>
    <w:rsid w:val="00BA4C49"/>
    <w:rsid w:val="00BB3D52"/>
    <w:rsid w:val="00BB55E4"/>
    <w:rsid w:val="00BC05FC"/>
    <w:rsid w:val="00BC4552"/>
    <w:rsid w:val="00BD147A"/>
    <w:rsid w:val="00BD1A56"/>
    <w:rsid w:val="00BD4ACB"/>
    <w:rsid w:val="00BD5714"/>
    <w:rsid w:val="00BE14C8"/>
    <w:rsid w:val="00BE3E9D"/>
    <w:rsid w:val="00BE6139"/>
    <w:rsid w:val="00BF11B1"/>
    <w:rsid w:val="00BF130C"/>
    <w:rsid w:val="00BF167A"/>
    <w:rsid w:val="00BF2838"/>
    <w:rsid w:val="00C01BE0"/>
    <w:rsid w:val="00C01D90"/>
    <w:rsid w:val="00C01F8B"/>
    <w:rsid w:val="00C03ADE"/>
    <w:rsid w:val="00C05BBE"/>
    <w:rsid w:val="00C07D54"/>
    <w:rsid w:val="00C12474"/>
    <w:rsid w:val="00C12A15"/>
    <w:rsid w:val="00C12F23"/>
    <w:rsid w:val="00C149E5"/>
    <w:rsid w:val="00C21236"/>
    <w:rsid w:val="00C21462"/>
    <w:rsid w:val="00C21C84"/>
    <w:rsid w:val="00C233BE"/>
    <w:rsid w:val="00C234F9"/>
    <w:rsid w:val="00C25288"/>
    <w:rsid w:val="00C255D3"/>
    <w:rsid w:val="00C30AC3"/>
    <w:rsid w:val="00C3231F"/>
    <w:rsid w:val="00C3255B"/>
    <w:rsid w:val="00C34BB8"/>
    <w:rsid w:val="00C35995"/>
    <w:rsid w:val="00C35D8B"/>
    <w:rsid w:val="00C361C7"/>
    <w:rsid w:val="00C37445"/>
    <w:rsid w:val="00C41C82"/>
    <w:rsid w:val="00C42106"/>
    <w:rsid w:val="00C4574D"/>
    <w:rsid w:val="00C511D3"/>
    <w:rsid w:val="00C51B0C"/>
    <w:rsid w:val="00C52D86"/>
    <w:rsid w:val="00C54891"/>
    <w:rsid w:val="00C55261"/>
    <w:rsid w:val="00C55F10"/>
    <w:rsid w:val="00C569B6"/>
    <w:rsid w:val="00C74097"/>
    <w:rsid w:val="00C75973"/>
    <w:rsid w:val="00C75E53"/>
    <w:rsid w:val="00C8267F"/>
    <w:rsid w:val="00C830E7"/>
    <w:rsid w:val="00C8683D"/>
    <w:rsid w:val="00C91087"/>
    <w:rsid w:val="00CA3AA7"/>
    <w:rsid w:val="00CA5339"/>
    <w:rsid w:val="00CA5EEC"/>
    <w:rsid w:val="00CB0065"/>
    <w:rsid w:val="00CB0ADD"/>
    <w:rsid w:val="00CB2D31"/>
    <w:rsid w:val="00CB3D2A"/>
    <w:rsid w:val="00CB4252"/>
    <w:rsid w:val="00CB4E10"/>
    <w:rsid w:val="00CB4E86"/>
    <w:rsid w:val="00CC4F2F"/>
    <w:rsid w:val="00CC7923"/>
    <w:rsid w:val="00CD40D7"/>
    <w:rsid w:val="00CD6CB0"/>
    <w:rsid w:val="00CD7C81"/>
    <w:rsid w:val="00CE3EF5"/>
    <w:rsid w:val="00CE4CBC"/>
    <w:rsid w:val="00CF1F6D"/>
    <w:rsid w:val="00CF6F86"/>
    <w:rsid w:val="00CF77C8"/>
    <w:rsid w:val="00CF7EA0"/>
    <w:rsid w:val="00D0211D"/>
    <w:rsid w:val="00D05699"/>
    <w:rsid w:val="00D10F38"/>
    <w:rsid w:val="00D112F6"/>
    <w:rsid w:val="00D11672"/>
    <w:rsid w:val="00D14DF2"/>
    <w:rsid w:val="00D17AC3"/>
    <w:rsid w:val="00D21556"/>
    <w:rsid w:val="00D215EB"/>
    <w:rsid w:val="00D2441A"/>
    <w:rsid w:val="00D25C41"/>
    <w:rsid w:val="00D30164"/>
    <w:rsid w:val="00D305DE"/>
    <w:rsid w:val="00D32812"/>
    <w:rsid w:val="00D33818"/>
    <w:rsid w:val="00D35333"/>
    <w:rsid w:val="00D35A50"/>
    <w:rsid w:val="00D35F9B"/>
    <w:rsid w:val="00D361D5"/>
    <w:rsid w:val="00D37338"/>
    <w:rsid w:val="00D37FB7"/>
    <w:rsid w:val="00D414E7"/>
    <w:rsid w:val="00D441AD"/>
    <w:rsid w:val="00D46BC5"/>
    <w:rsid w:val="00D60DA3"/>
    <w:rsid w:val="00D61B00"/>
    <w:rsid w:val="00D63F3E"/>
    <w:rsid w:val="00D66833"/>
    <w:rsid w:val="00D7316E"/>
    <w:rsid w:val="00D7443D"/>
    <w:rsid w:val="00D76DF7"/>
    <w:rsid w:val="00D77745"/>
    <w:rsid w:val="00D77F9E"/>
    <w:rsid w:val="00D801D1"/>
    <w:rsid w:val="00D81B56"/>
    <w:rsid w:val="00D874E1"/>
    <w:rsid w:val="00D92DDB"/>
    <w:rsid w:val="00D96C85"/>
    <w:rsid w:val="00DA04E2"/>
    <w:rsid w:val="00DA0C89"/>
    <w:rsid w:val="00DA1721"/>
    <w:rsid w:val="00DA2C5C"/>
    <w:rsid w:val="00DA61C3"/>
    <w:rsid w:val="00DB04B3"/>
    <w:rsid w:val="00DB0E54"/>
    <w:rsid w:val="00DB2721"/>
    <w:rsid w:val="00DB2CAC"/>
    <w:rsid w:val="00DB4500"/>
    <w:rsid w:val="00DC0D71"/>
    <w:rsid w:val="00DC2C15"/>
    <w:rsid w:val="00DC6E92"/>
    <w:rsid w:val="00DD0F14"/>
    <w:rsid w:val="00DD193D"/>
    <w:rsid w:val="00DE48B8"/>
    <w:rsid w:val="00DE4C72"/>
    <w:rsid w:val="00DE4E52"/>
    <w:rsid w:val="00DE71E8"/>
    <w:rsid w:val="00DF2ACA"/>
    <w:rsid w:val="00DF2C03"/>
    <w:rsid w:val="00DF42BA"/>
    <w:rsid w:val="00DF57C8"/>
    <w:rsid w:val="00DF7FA1"/>
    <w:rsid w:val="00E03469"/>
    <w:rsid w:val="00E034D6"/>
    <w:rsid w:val="00E03756"/>
    <w:rsid w:val="00E04A11"/>
    <w:rsid w:val="00E10718"/>
    <w:rsid w:val="00E10DCE"/>
    <w:rsid w:val="00E1487E"/>
    <w:rsid w:val="00E3293F"/>
    <w:rsid w:val="00E340C8"/>
    <w:rsid w:val="00E3428A"/>
    <w:rsid w:val="00E40A07"/>
    <w:rsid w:val="00E46124"/>
    <w:rsid w:val="00E4718E"/>
    <w:rsid w:val="00E51EBC"/>
    <w:rsid w:val="00E53AE5"/>
    <w:rsid w:val="00E53EC3"/>
    <w:rsid w:val="00E56C72"/>
    <w:rsid w:val="00E63D21"/>
    <w:rsid w:val="00E71107"/>
    <w:rsid w:val="00E71924"/>
    <w:rsid w:val="00E73BBA"/>
    <w:rsid w:val="00E807F9"/>
    <w:rsid w:val="00E8325A"/>
    <w:rsid w:val="00E83352"/>
    <w:rsid w:val="00E8586B"/>
    <w:rsid w:val="00E9017D"/>
    <w:rsid w:val="00E96B44"/>
    <w:rsid w:val="00E96E91"/>
    <w:rsid w:val="00EA0883"/>
    <w:rsid w:val="00EA43FA"/>
    <w:rsid w:val="00EA70A2"/>
    <w:rsid w:val="00EB0B48"/>
    <w:rsid w:val="00EB1800"/>
    <w:rsid w:val="00EB3FE1"/>
    <w:rsid w:val="00EB7610"/>
    <w:rsid w:val="00EC4957"/>
    <w:rsid w:val="00EC4AC3"/>
    <w:rsid w:val="00ED22A7"/>
    <w:rsid w:val="00ED2655"/>
    <w:rsid w:val="00ED2673"/>
    <w:rsid w:val="00EE0176"/>
    <w:rsid w:val="00EE2177"/>
    <w:rsid w:val="00EE2606"/>
    <w:rsid w:val="00EE2968"/>
    <w:rsid w:val="00EE443A"/>
    <w:rsid w:val="00EF2728"/>
    <w:rsid w:val="00EF2BAD"/>
    <w:rsid w:val="00EF2D4E"/>
    <w:rsid w:val="00EF57B9"/>
    <w:rsid w:val="00EF6F98"/>
    <w:rsid w:val="00EF7876"/>
    <w:rsid w:val="00EF7DEF"/>
    <w:rsid w:val="00F00CB8"/>
    <w:rsid w:val="00F01C62"/>
    <w:rsid w:val="00F03FAF"/>
    <w:rsid w:val="00F04ACB"/>
    <w:rsid w:val="00F05EB3"/>
    <w:rsid w:val="00F067CE"/>
    <w:rsid w:val="00F114C9"/>
    <w:rsid w:val="00F1259D"/>
    <w:rsid w:val="00F14099"/>
    <w:rsid w:val="00F153D3"/>
    <w:rsid w:val="00F16BF0"/>
    <w:rsid w:val="00F17C0A"/>
    <w:rsid w:val="00F201B0"/>
    <w:rsid w:val="00F2166F"/>
    <w:rsid w:val="00F21E51"/>
    <w:rsid w:val="00F231C6"/>
    <w:rsid w:val="00F24261"/>
    <w:rsid w:val="00F27ABF"/>
    <w:rsid w:val="00F3337F"/>
    <w:rsid w:val="00F35676"/>
    <w:rsid w:val="00F35FF3"/>
    <w:rsid w:val="00F3633C"/>
    <w:rsid w:val="00F37B8D"/>
    <w:rsid w:val="00F4036E"/>
    <w:rsid w:val="00F45E5A"/>
    <w:rsid w:val="00F469CD"/>
    <w:rsid w:val="00F516E7"/>
    <w:rsid w:val="00F51DF9"/>
    <w:rsid w:val="00F54EEE"/>
    <w:rsid w:val="00F54FE4"/>
    <w:rsid w:val="00F550C2"/>
    <w:rsid w:val="00F55EBC"/>
    <w:rsid w:val="00F5625E"/>
    <w:rsid w:val="00F6007A"/>
    <w:rsid w:val="00F60CDA"/>
    <w:rsid w:val="00F67816"/>
    <w:rsid w:val="00F67E75"/>
    <w:rsid w:val="00F713E7"/>
    <w:rsid w:val="00F73F28"/>
    <w:rsid w:val="00F769CE"/>
    <w:rsid w:val="00F77463"/>
    <w:rsid w:val="00F82CF5"/>
    <w:rsid w:val="00F908E9"/>
    <w:rsid w:val="00F9558E"/>
    <w:rsid w:val="00F963F5"/>
    <w:rsid w:val="00F97C52"/>
    <w:rsid w:val="00FA3AA2"/>
    <w:rsid w:val="00FA4D47"/>
    <w:rsid w:val="00FA4FA6"/>
    <w:rsid w:val="00FA7274"/>
    <w:rsid w:val="00FB0390"/>
    <w:rsid w:val="00FB0CE0"/>
    <w:rsid w:val="00FB48B3"/>
    <w:rsid w:val="00FB5D7D"/>
    <w:rsid w:val="00FC2772"/>
    <w:rsid w:val="00FD02C9"/>
    <w:rsid w:val="00FD1E3D"/>
    <w:rsid w:val="00FE1DA7"/>
    <w:rsid w:val="00FE5321"/>
    <w:rsid w:val="00FE5665"/>
    <w:rsid w:val="00FE76E5"/>
    <w:rsid w:val="00FF13C4"/>
    <w:rsid w:val="00FF2837"/>
    <w:rsid w:val="00FF4845"/>
    <w:rsid w:val="00FF4AE9"/>
    <w:rsid w:val="04EC4150"/>
    <w:rsid w:val="092E2AD4"/>
    <w:rsid w:val="096A5FE3"/>
    <w:rsid w:val="0A6D29A9"/>
    <w:rsid w:val="0AAF7CCC"/>
    <w:rsid w:val="0F6717B6"/>
    <w:rsid w:val="1125379D"/>
    <w:rsid w:val="12131CE6"/>
    <w:rsid w:val="172D3F02"/>
    <w:rsid w:val="176C27EA"/>
    <w:rsid w:val="178F5E26"/>
    <w:rsid w:val="18001117"/>
    <w:rsid w:val="1CEB2915"/>
    <w:rsid w:val="1D320D14"/>
    <w:rsid w:val="1D796B46"/>
    <w:rsid w:val="1FD045BB"/>
    <w:rsid w:val="212F5027"/>
    <w:rsid w:val="21C72899"/>
    <w:rsid w:val="25162D83"/>
    <w:rsid w:val="26BC4EA4"/>
    <w:rsid w:val="27B3396A"/>
    <w:rsid w:val="30A27E23"/>
    <w:rsid w:val="31B85D91"/>
    <w:rsid w:val="32632FA7"/>
    <w:rsid w:val="35F37613"/>
    <w:rsid w:val="37777EF0"/>
    <w:rsid w:val="384318E0"/>
    <w:rsid w:val="39155E83"/>
    <w:rsid w:val="3AB63F2B"/>
    <w:rsid w:val="3CE96C5B"/>
    <w:rsid w:val="40B12AC5"/>
    <w:rsid w:val="42EA5ADD"/>
    <w:rsid w:val="44BB4CB5"/>
    <w:rsid w:val="467F7081"/>
    <w:rsid w:val="46BB3D5E"/>
    <w:rsid w:val="49AE1728"/>
    <w:rsid w:val="49F37019"/>
    <w:rsid w:val="4EF857E7"/>
    <w:rsid w:val="5133529F"/>
    <w:rsid w:val="5310547C"/>
    <w:rsid w:val="534460B4"/>
    <w:rsid w:val="54930B82"/>
    <w:rsid w:val="57EB2A4A"/>
    <w:rsid w:val="5E2339AC"/>
    <w:rsid w:val="633977FE"/>
    <w:rsid w:val="66750A8D"/>
    <w:rsid w:val="68421F57"/>
    <w:rsid w:val="68E81E97"/>
    <w:rsid w:val="690E1C84"/>
    <w:rsid w:val="693A6709"/>
    <w:rsid w:val="6D377239"/>
    <w:rsid w:val="6E4A438A"/>
    <w:rsid w:val="702B0BF9"/>
    <w:rsid w:val="71A97694"/>
    <w:rsid w:val="72484AEA"/>
    <w:rsid w:val="731656BB"/>
    <w:rsid w:val="73D443B3"/>
    <w:rsid w:val="73E6770D"/>
    <w:rsid w:val="74754E27"/>
    <w:rsid w:val="749F4467"/>
    <w:rsid w:val="76584873"/>
    <w:rsid w:val="7AFF278C"/>
    <w:rsid w:val="7B2C223F"/>
    <w:rsid w:val="7B3F59B7"/>
    <w:rsid w:val="7B70756D"/>
    <w:rsid w:val="7BE36E7B"/>
    <w:rsid w:val="7C3C42DC"/>
    <w:rsid w:val="7C567F49"/>
    <w:rsid w:val="7CCD7307"/>
    <w:rsid w:val="7E970617"/>
    <w:rsid w:val="FF4F9E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9" w:semiHidden="0" w:name="heading 4"/>
    <w:lsdException w:qFormat="1" w:uiPriority="9" w:semiHidden="0" w:name="heading 5"/>
    <w:lsdException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overflowPunct w:val="0"/>
      <w:autoSpaceDE w:val="0"/>
      <w:autoSpaceDN w:val="0"/>
      <w:spacing w:line="560" w:lineRule="exact"/>
      <w:ind w:firstLine="200" w:firstLineChars="200"/>
      <w:jc w:val="both"/>
    </w:pPr>
    <w:rPr>
      <w:rFonts w:ascii="Times New Roman" w:hAnsi="Times New Roman" w:eastAsia="方正仿宋-GBK" w:cstheme="minorBidi"/>
      <w:kern w:val="32"/>
      <w:sz w:val="32"/>
      <w:szCs w:val="24"/>
      <w:lang w:val="en-US" w:eastAsia="zh-CN" w:bidi="ar-SA"/>
    </w:rPr>
  </w:style>
  <w:style w:type="paragraph" w:styleId="4">
    <w:name w:val="heading 1"/>
    <w:basedOn w:val="1"/>
    <w:next w:val="1"/>
    <w:link w:val="27"/>
    <w:qFormat/>
    <w:uiPriority w:val="9"/>
    <w:pPr>
      <w:keepNext/>
      <w:keepLines/>
      <w:spacing w:before="240" w:beforeLines="100" w:after="240" w:afterLines="100"/>
      <w:ind w:firstLine="0" w:firstLineChars="0"/>
      <w:jc w:val="center"/>
      <w:outlineLvl w:val="0"/>
    </w:pPr>
    <w:rPr>
      <w:rFonts w:eastAsia="方正小标宋_GBK"/>
      <w:b/>
      <w:bCs/>
      <w:kern w:val="44"/>
      <w:szCs w:val="44"/>
    </w:rPr>
  </w:style>
  <w:style w:type="paragraph" w:styleId="5">
    <w:name w:val="heading 2"/>
    <w:basedOn w:val="1"/>
    <w:next w:val="1"/>
    <w:link w:val="29"/>
    <w:unhideWhenUsed/>
    <w:qFormat/>
    <w:uiPriority w:val="9"/>
    <w:pPr>
      <w:keepNext/>
      <w:keepLines/>
      <w:spacing w:before="100" w:beforeLines="100" w:after="100" w:afterLines="100"/>
      <w:ind w:firstLine="0" w:firstLineChars="0"/>
      <w:outlineLvl w:val="1"/>
    </w:pPr>
    <w:rPr>
      <w:rFonts w:eastAsia="方正黑体_GBK" w:cstheme="majorBidi"/>
      <w:b/>
      <w:bCs/>
      <w:szCs w:val="32"/>
    </w:rPr>
  </w:style>
  <w:style w:type="paragraph" w:styleId="6">
    <w:name w:val="heading 3"/>
    <w:basedOn w:val="1"/>
    <w:next w:val="1"/>
    <w:link w:val="30"/>
    <w:unhideWhenUsed/>
    <w:qFormat/>
    <w:uiPriority w:val="0"/>
    <w:pPr>
      <w:keepNext/>
      <w:keepLines/>
      <w:spacing w:before="50" w:beforeLines="50" w:after="50" w:afterLines="50"/>
      <w:outlineLvl w:val="2"/>
    </w:pPr>
    <w:rPr>
      <w:b/>
      <w:bCs/>
      <w:szCs w:val="32"/>
    </w:rPr>
  </w:style>
  <w:style w:type="paragraph" w:styleId="7">
    <w:name w:val="heading 4"/>
    <w:basedOn w:val="4"/>
    <w:next w:val="1"/>
    <w:link w:val="38"/>
    <w:unhideWhenUsed/>
    <w:qFormat/>
    <w:uiPriority w:val="9"/>
    <w:pPr>
      <w:outlineLvl w:val="3"/>
    </w:pPr>
    <w:rPr>
      <w:rFonts w:ascii="仿宋" w:hAnsi="等线 Light" w:cs="Times New Roman"/>
      <w:bCs w:val="0"/>
      <w:kern w:val="0"/>
      <w:szCs w:val="28"/>
    </w:rPr>
  </w:style>
  <w:style w:type="paragraph" w:styleId="8">
    <w:name w:val="heading 5"/>
    <w:basedOn w:val="1"/>
    <w:next w:val="1"/>
    <w:link w:val="32"/>
    <w:unhideWhenUsed/>
    <w:qFormat/>
    <w:uiPriority w:val="9"/>
    <w:pPr>
      <w:keepNext/>
      <w:keepLines/>
      <w:widowControl/>
      <w:spacing w:before="280" w:after="290" w:line="376" w:lineRule="auto"/>
      <w:outlineLvl w:val="4"/>
    </w:pPr>
    <w:rPr>
      <w:rFonts w:ascii="仿宋" w:eastAsia="仿宋"/>
      <w:b/>
      <w:bCs/>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qFormat/>
    <w:uiPriority w:val="0"/>
    <w:pPr>
      <w:widowControl w:val="0"/>
      <w:spacing w:after="0" w:line="500" w:lineRule="exact"/>
      <w:ind w:firstLine="420"/>
      <w:jc w:val="both"/>
    </w:pPr>
    <w:rPr>
      <w:rFonts w:ascii="Times New Roman" w:hAnsi="Times New Roman" w:eastAsia="宋体" w:cs="Times New Roman"/>
      <w:kern w:val="2"/>
      <w:sz w:val="28"/>
      <w:szCs w:val="20"/>
      <w:lang w:val="en-US" w:eastAsia="zh-CN" w:bidi="ar-SA"/>
    </w:rPr>
  </w:style>
  <w:style w:type="paragraph" w:styleId="3">
    <w:name w:val="Body Text"/>
    <w:basedOn w:val="1"/>
    <w:next w:val="2"/>
    <w:qFormat/>
    <w:uiPriority w:val="0"/>
    <w:pPr>
      <w:spacing w:after="120"/>
    </w:pPr>
  </w:style>
  <w:style w:type="paragraph" w:styleId="9">
    <w:name w:val="annotation text"/>
    <w:basedOn w:val="1"/>
    <w:link w:val="78"/>
    <w:qFormat/>
    <w:uiPriority w:val="0"/>
    <w:pPr>
      <w:jc w:val="left"/>
    </w:pPr>
  </w:style>
  <w:style w:type="paragraph" w:styleId="10">
    <w:name w:val="toc 3"/>
    <w:basedOn w:val="1"/>
    <w:next w:val="1"/>
    <w:unhideWhenUsed/>
    <w:qFormat/>
    <w:uiPriority w:val="39"/>
    <w:pPr>
      <w:widowControl/>
      <w:tabs>
        <w:tab w:val="right" w:leader="dot" w:pos="8296"/>
      </w:tabs>
      <w:ind w:left="560" w:leftChars="200" w:firstLine="560"/>
    </w:pPr>
    <w:rPr>
      <w:rFonts w:ascii="仿宋" w:eastAsia="仿宋"/>
      <w:szCs w:val="22"/>
    </w:rPr>
  </w:style>
  <w:style w:type="paragraph" w:styleId="11">
    <w:name w:val="Balloon Text"/>
    <w:basedOn w:val="1"/>
    <w:link w:val="42"/>
    <w:unhideWhenUsed/>
    <w:qFormat/>
    <w:uiPriority w:val="99"/>
    <w:pPr>
      <w:widowControl/>
      <w:spacing w:line="240" w:lineRule="auto"/>
    </w:pPr>
    <w:rPr>
      <w:rFonts w:ascii="仿宋" w:eastAsia="仿宋"/>
      <w:sz w:val="18"/>
      <w:szCs w:val="18"/>
    </w:rPr>
  </w:style>
  <w:style w:type="paragraph" w:styleId="12">
    <w:name w:val="footer"/>
    <w:basedOn w:val="1"/>
    <w:link w:val="28"/>
    <w:qFormat/>
    <w:uiPriority w:val="99"/>
    <w:pPr>
      <w:tabs>
        <w:tab w:val="center" w:pos="4153"/>
        <w:tab w:val="right" w:pos="8306"/>
      </w:tabs>
      <w:jc w:val="left"/>
    </w:pPr>
    <w:rPr>
      <w:sz w:val="18"/>
    </w:rPr>
  </w:style>
  <w:style w:type="paragraph" w:styleId="13">
    <w:name w:val="header"/>
    <w:basedOn w:val="1"/>
    <w:link w:val="33"/>
    <w:qFormat/>
    <w:uiPriority w:val="0"/>
    <w:pPr>
      <w:pBdr>
        <w:top w:val="none" w:color="auto" w:sz="0" w:space="1"/>
        <w:left w:val="none" w:color="auto" w:sz="0" w:space="4"/>
        <w:bottom w:val="none" w:color="auto" w:sz="0" w:space="1"/>
        <w:right w:val="none" w:color="auto" w:sz="0" w:space="4"/>
      </w:pBdr>
      <w:tabs>
        <w:tab w:val="center" w:pos="4153"/>
        <w:tab w:val="right" w:pos="8306"/>
      </w:tabs>
    </w:pPr>
    <w:rPr>
      <w:sz w:val="18"/>
    </w:rPr>
  </w:style>
  <w:style w:type="paragraph" w:styleId="14">
    <w:name w:val="toc 1"/>
    <w:basedOn w:val="1"/>
    <w:next w:val="1"/>
    <w:unhideWhenUsed/>
    <w:qFormat/>
    <w:uiPriority w:val="39"/>
    <w:pPr>
      <w:widowControl/>
      <w:tabs>
        <w:tab w:val="right" w:leader="dot" w:pos="8296"/>
      </w:tabs>
      <w:ind w:firstLine="0" w:firstLineChars="0"/>
    </w:pPr>
    <w:rPr>
      <w:rFonts w:ascii="仿宋" w:eastAsia="仿宋"/>
      <w:szCs w:val="22"/>
    </w:rPr>
  </w:style>
  <w:style w:type="paragraph" w:styleId="15">
    <w:name w:val="Subtitle"/>
    <w:basedOn w:val="1"/>
    <w:next w:val="1"/>
    <w:link w:val="82"/>
    <w:qFormat/>
    <w:uiPriority w:val="0"/>
    <w:pPr>
      <w:spacing w:before="240" w:after="60" w:line="312" w:lineRule="atLeast"/>
      <w:jc w:val="center"/>
      <w:outlineLvl w:val="1"/>
    </w:pPr>
    <w:rPr>
      <w:rFonts w:asciiTheme="minorHAnsi" w:hAnsiTheme="minorHAnsi" w:eastAsiaTheme="minorEastAsia"/>
      <w:b/>
      <w:bCs/>
      <w:kern w:val="28"/>
      <w:szCs w:val="32"/>
    </w:rPr>
  </w:style>
  <w:style w:type="paragraph" w:styleId="16">
    <w:name w:val="toc 2"/>
    <w:basedOn w:val="1"/>
    <w:next w:val="1"/>
    <w:unhideWhenUsed/>
    <w:qFormat/>
    <w:uiPriority w:val="39"/>
    <w:pPr>
      <w:widowControl/>
      <w:tabs>
        <w:tab w:val="right" w:leader="dot" w:pos="8296"/>
      </w:tabs>
      <w:ind w:firstLine="560"/>
    </w:pPr>
    <w:rPr>
      <w:rFonts w:ascii="仿宋" w:eastAsia="仿宋"/>
      <w:szCs w:val="22"/>
    </w:rPr>
  </w:style>
  <w:style w:type="paragraph" w:styleId="17">
    <w:name w:val="Normal (Web)"/>
    <w:basedOn w:val="1"/>
    <w:qFormat/>
    <w:uiPriority w:val="99"/>
    <w:rPr>
      <w:rFonts w:cs="Times New Roman"/>
      <w:sz w:val="24"/>
    </w:rPr>
  </w:style>
  <w:style w:type="paragraph" w:styleId="18">
    <w:name w:val="Title"/>
    <w:basedOn w:val="4"/>
    <w:next w:val="1"/>
    <w:link w:val="80"/>
    <w:qFormat/>
    <w:uiPriority w:val="0"/>
    <w:pPr>
      <w:spacing w:line="700" w:lineRule="exact"/>
    </w:pPr>
    <w:rPr>
      <w:rFonts w:cstheme="majorBidi"/>
      <w:b w:val="0"/>
      <w:bCs w:val="0"/>
      <w:sz w:val="44"/>
      <w:szCs w:val="32"/>
    </w:rPr>
  </w:style>
  <w:style w:type="paragraph" w:styleId="19">
    <w:name w:val="annotation subject"/>
    <w:basedOn w:val="9"/>
    <w:next w:val="9"/>
    <w:link w:val="79"/>
    <w:qFormat/>
    <w:uiPriority w:val="0"/>
    <w:rPr>
      <w:b/>
      <w:bCs/>
    </w:rPr>
  </w:style>
  <w:style w:type="table" w:styleId="21">
    <w:name w:val="Table Grid"/>
    <w:basedOn w:val="2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b/>
      <w:bCs/>
    </w:rPr>
  </w:style>
  <w:style w:type="character" w:styleId="24">
    <w:name w:val="FollowedHyperlink"/>
    <w:basedOn w:val="22"/>
    <w:unhideWhenUsed/>
    <w:qFormat/>
    <w:uiPriority w:val="99"/>
    <w:rPr>
      <w:color w:val="954F72"/>
      <w:u w:val="single"/>
    </w:rPr>
  </w:style>
  <w:style w:type="character" w:styleId="25">
    <w:name w:val="Hyperlink"/>
    <w:basedOn w:val="22"/>
    <w:qFormat/>
    <w:uiPriority w:val="99"/>
    <w:rPr>
      <w:color w:val="0563C1" w:themeColor="hyperlink"/>
      <w:u w:val="single"/>
      <w14:textFill>
        <w14:solidFill>
          <w14:schemeClr w14:val="hlink"/>
        </w14:solidFill>
      </w14:textFill>
    </w:rPr>
  </w:style>
  <w:style w:type="character" w:styleId="26">
    <w:name w:val="annotation reference"/>
    <w:basedOn w:val="22"/>
    <w:qFormat/>
    <w:uiPriority w:val="0"/>
    <w:rPr>
      <w:sz w:val="21"/>
      <w:szCs w:val="21"/>
    </w:rPr>
  </w:style>
  <w:style w:type="character" w:customStyle="1" w:styleId="27">
    <w:name w:val="标题 1 字符"/>
    <w:basedOn w:val="22"/>
    <w:link w:val="4"/>
    <w:qFormat/>
    <w:uiPriority w:val="9"/>
    <w:rPr>
      <w:rFonts w:ascii="Times New Roman" w:hAnsi="Times New Roman" w:eastAsia="方正小标宋_GBK"/>
      <w:b/>
      <w:bCs/>
      <w:kern w:val="44"/>
      <w:sz w:val="32"/>
      <w:szCs w:val="44"/>
    </w:rPr>
  </w:style>
  <w:style w:type="character" w:customStyle="1" w:styleId="28">
    <w:name w:val="页脚 字符"/>
    <w:basedOn w:val="22"/>
    <w:link w:val="12"/>
    <w:qFormat/>
    <w:uiPriority w:val="99"/>
    <w:rPr>
      <w:kern w:val="2"/>
      <w:sz w:val="18"/>
      <w:szCs w:val="24"/>
    </w:rPr>
  </w:style>
  <w:style w:type="character" w:customStyle="1" w:styleId="29">
    <w:name w:val="标题 2 字符"/>
    <w:basedOn w:val="22"/>
    <w:link w:val="5"/>
    <w:qFormat/>
    <w:uiPriority w:val="9"/>
    <w:rPr>
      <w:rFonts w:ascii="Times New Roman" w:hAnsi="Times New Roman" w:eastAsia="方正黑体_GBK" w:cstheme="majorBidi"/>
      <w:b/>
      <w:bCs/>
      <w:kern w:val="32"/>
      <w:sz w:val="32"/>
      <w:szCs w:val="32"/>
    </w:rPr>
  </w:style>
  <w:style w:type="character" w:customStyle="1" w:styleId="30">
    <w:name w:val="标题 3 字符"/>
    <w:basedOn w:val="22"/>
    <w:link w:val="6"/>
    <w:qFormat/>
    <w:uiPriority w:val="0"/>
    <w:rPr>
      <w:rFonts w:ascii="Times New Roman" w:hAnsi="Times New Roman" w:eastAsia="方正仿宋-GBK"/>
      <w:b/>
      <w:bCs/>
      <w:kern w:val="2"/>
      <w:sz w:val="32"/>
      <w:szCs w:val="32"/>
    </w:rPr>
  </w:style>
  <w:style w:type="paragraph" w:customStyle="1" w:styleId="31">
    <w:name w:val="标题 41"/>
    <w:basedOn w:val="1"/>
    <w:next w:val="1"/>
    <w:unhideWhenUsed/>
    <w:qFormat/>
    <w:uiPriority w:val="9"/>
    <w:pPr>
      <w:keepNext/>
      <w:keepLines/>
      <w:widowControl/>
      <w:outlineLvl w:val="3"/>
    </w:pPr>
    <w:rPr>
      <w:rFonts w:ascii="仿宋" w:hAnsi="等线 Light" w:eastAsia="仿宋" w:cs="Times New Roman"/>
      <w:b/>
      <w:bCs/>
      <w:szCs w:val="28"/>
    </w:rPr>
  </w:style>
  <w:style w:type="character" w:customStyle="1" w:styleId="32">
    <w:name w:val="标题 5 字符"/>
    <w:basedOn w:val="22"/>
    <w:link w:val="8"/>
    <w:qFormat/>
    <w:uiPriority w:val="9"/>
    <w:rPr>
      <w:rFonts w:ascii="仿宋" w:eastAsia="仿宋"/>
      <w:b/>
      <w:bCs/>
      <w:kern w:val="2"/>
      <w:sz w:val="28"/>
      <w:szCs w:val="28"/>
    </w:rPr>
  </w:style>
  <w:style w:type="character" w:customStyle="1" w:styleId="33">
    <w:name w:val="页眉 字符"/>
    <w:basedOn w:val="22"/>
    <w:link w:val="13"/>
    <w:qFormat/>
    <w:uiPriority w:val="0"/>
    <w:rPr>
      <w:rFonts w:ascii="仿宋_GB2312" w:eastAsia="仿宋_GB2312"/>
      <w:kern w:val="2"/>
      <w:sz w:val="18"/>
      <w:szCs w:val="24"/>
    </w:rPr>
  </w:style>
  <w:style w:type="character" w:customStyle="1" w:styleId="34">
    <w:name w:val="NormalCharacter"/>
    <w:semiHidden/>
    <w:qFormat/>
    <w:uiPriority w:val="0"/>
  </w:style>
  <w:style w:type="paragraph" w:customStyle="1" w:styleId="35">
    <w:name w:val="正文 New New New New New New New New New New New New New New New New New New New New New New New New New New New New New New New New New New New New New New New New New New New New New New New New New New New New New New New New New New New New New New Ne"/>
    <w:basedOn w:val="1"/>
    <w:next w:val="1"/>
    <w:qFormat/>
    <w:uiPriority w:val="0"/>
    <w:pPr>
      <w:spacing w:line="240" w:lineRule="auto"/>
      <w:ind w:firstLine="0" w:firstLineChars="0"/>
    </w:pPr>
    <w:rPr>
      <w:rFonts w:eastAsia="宋体" w:cs="Times New Roman"/>
      <w:color w:val="000000"/>
      <w:kern w:val="0"/>
      <w:sz w:val="21"/>
      <w:szCs w:val="22"/>
    </w:rPr>
  </w:style>
  <w:style w:type="paragraph" w:customStyle="1" w:styleId="36">
    <w:name w:val="TOC 标题1"/>
    <w:basedOn w:val="4"/>
    <w:next w:val="1"/>
    <w:unhideWhenUsed/>
    <w:qFormat/>
    <w:uiPriority w:val="39"/>
    <w:pPr>
      <w:widowControl/>
      <w:spacing w:line="259" w:lineRule="auto"/>
      <w:jc w:val="left"/>
      <w:outlineLvl w:val="9"/>
    </w:pPr>
    <w:rPr>
      <w:rFonts w:ascii="等线 Light" w:hAnsi="等线 Light" w:eastAsia="等线 Light" w:cs="Times New Roman"/>
      <w:b w:val="0"/>
      <w:bCs w:val="0"/>
      <w:color w:val="2F5496"/>
      <w:kern w:val="0"/>
      <w:szCs w:val="32"/>
    </w:rPr>
  </w:style>
  <w:style w:type="character" w:customStyle="1" w:styleId="37">
    <w:name w:val="超链接1"/>
    <w:basedOn w:val="22"/>
    <w:unhideWhenUsed/>
    <w:qFormat/>
    <w:uiPriority w:val="99"/>
    <w:rPr>
      <w:color w:val="0563C1"/>
      <w:u w:val="single"/>
    </w:rPr>
  </w:style>
  <w:style w:type="character" w:customStyle="1" w:styleId="38">
    <w:name w:val="标题 4 字符"/>
    <w:basedOn w:val="22"/>
    <w:link w:val="7"/>
    <w:qFormat/>
    <w:uiPriority w:val="9"/>
    <w:rPr>
      <w:rFonts w:ascii="仿宋" w:hAnsi="等线 Light" w:eastAsia="方正小标宋_GBK" w:cs="Times New Roman"/>
      <w:b/>
      <w:sz w:val="32"/>
      <w:szCs w:val="28"/>
    </w:rPr>
  </w:style>
  <w:style w:type="paragraph" w:styleId="39">
    <w:name w:val="List Paragraph"/>
    <w:basedOn w:val="1"/>
    <w:qFormat/>
    <w:uiPriority w:val="34"/>
    <w:pPr>
      <w:widowControl/>
      <w:ind w:firstLine="420"/>
    </w:pPr>
    <w:rPr>
      <w:rFonts w:ascii="仿宋" w:eastAsia="仿宋"/>
      <w:szCs w:val="22"/>
    </w:rPr>
  </w:style>
  <w:style w:type="table" w:customStyle="1" w:styleId="40">
    <w:name w:val="网格型1"/>
    <w:basedOn w:val="20"/>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
    <w:name w:val="网格型11"/>
    <w:basedOn w:val="20"/>
    <w:qFormat/>
    <w:uiPriority w:val="39"/>
    <w:pPr>
      <w:jc w:val="both"/>
    </w:pPr>
    <w:rPr>
      <w:rFonts w:ascii="宋体" w:hAnsi="Times New Roman" w:eastAsia="宋体" w:cs="Times New Roman"/>
      <w:color w:val="000000"/>
      <w:kern w:val="2"/>
      <w:sz w:val="28"/>
      <w:szCs w:val="3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2">
    <w:name w:val="批注框文本 字符"/>
    <w:basedOn w:val="22"/>
    <w:link w:val="11"/>
    <w:qFormat/>
    <w:uiPriority w:val="99"/>
    <w:rPr>
      <w:rFonts w:ascii="仿宋" w:eastAsia="仿宋"/>
      <w:kern w:val="2"/>
      <w:sz w:val="18"/>
      <w:szCs w:val="18"/>
    </w:rPr>
  </w:style>
  <w:style w:type="table" w:customStyle="1" w:styleId="43">
    <w:name w:val="网格型2"/>
    <w:basedOn w:val="20"/>
    <w:qFormat/>
    <w:uiPriority w:val="39"/>
    <w:pPr>
      <w:jc w:val="both"/>
    </w:pPr>
    <w:rPr>
      <w:rFonts w:ascii="宋体" w:hAnsi="Times New Roman" w:eastAsia="宋体" w:cs="Times New Roman"/>
      <w:color w:val="000000"/>
      <w:kern w:val="2"/>
      <w:sz w:val="28"/>
      <w:szCs w:val="3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
    <w:name w:val="网格型3"/>
    <w:basedOn w:val="20"/>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5">
    <w:name w:val="msonormal"/>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rPr>
  </w:style>
  <w:style w:type="paragraph" w:customStyle="1" w:styleId="46">
    <w:name w:val="font5"/>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18"/>
      <w:szCs w:val="18"/>
    </w:rPr>
  </w:style>
  <w:style w:type="paragraph" w:customStyle="1" w:styleId="47">
    <w:name w:val="xl73"/>
    <w:basedOn w:val="1"/>
    <w:qFormat/>
    <w:uiPriority w:val="0"/>
    <w:pPr>
      <w:widowControl/>
      <w:spacing w:before="100" w:beforeAutospacing="1" w:after="100" w:afterAutospacing="1" w:line="240" w:lineRule="auto"/>
      <w:ind w:firstLine="0" w:firstLineChars="0"/>
      <w:jc w:val="left"/>
    </w:pPr>
    <w:rPr>
      <w:rFonts w:ascii="方正仿宋_GBK" w:hAnsi="宋体" w:cs="宋体"/>
      <w:kern w:val="0"/>
      <w:sz w:val="24"/>
    </w:rPr>
  </w:style>
  <w:style w:type="paragraph" w:customStyle="1" w:styleId="48">
    <w:name w:val="xl74"/>
    <w:basedOn w:val="1"/>
    <w:qFormat/>
    <w:uiPriority w:val="0"/>
    <w:pPr>
      <w:widowControl/>
      <w:spacing w:before="100" w:beforeAutospacing="1" w:after="100" w:afterAutospacing="1" w:line="240" w:lineRule="auto"/>
      <w:ind w:firstLine="0" w:firstLineChars="0"/>
      <w:jc w:val="center"/>
    </w:pPr>
    <w:rPr>
      <w:rFonts w:ascii="宋体" w:hAnsi="宋体" w:eastAsia="宋体" w:cs="宋体"/>
      <w:kern w:val="0"/>
      <w:sz w:val="24"/>
    </w:rPr>
  </w:style>
  <w:style w:type="paragraph" w:customStyle="1" w:styleId="49">
    <w:name w:val="xl75"/>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rPr>
  </w:style>
  <w:style w:type="paragraph" w:customStyle="1" w:styleId="50">
    <w:name w:val="xl76"/>
    <w:basedOn w:val="1"/>
    <w:qFormat/>
    <w:uiPriority w:val="0"/>
    <w:pPr>
      <w:widowControl/>
      <w:spacing w:before="100" w:beforeAutospacing="1" w:after="100" w:afterAutospacing="1" w:line="240" w:lineRule="auto"/>
      <w:ind w:firstLine="0" w:firstLineChars="0"/>
      <w:jc w:val="center"/>
    </w:pPr>
    <w:rPr>
      <w:rFonts w:ascii="方正仿宋_GBK" w:hAnsi="宋体" w:cs="宋体"/>
      <w:kern w:val="0"/>
      <w:sz w:val="24"/>
    </w:rPr>
  </w:style>
  <w:style w:type="paragraph" w:customStyle="1" w:styleId="51">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18"/>
      <w:szCs w:val="18"/>
    </w:rPr>
  </w:style>
  <w:style w:type="paragraph" w:customStyle="1" w:styleId="52">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kern w:val="0"/>
      <w:sz w:val="18"/>
      <w:szCs w:val="18"/>
    </w:rPr>
  </w:style>
  <w:style w:type="paragraph" w:customStyle="1" w:styleId="53">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18"/>
      <w:szCs w:val="18"/>
    </w:rPr>
  </w:style>
  <w:style w:type="paragraph" w:customStyle="1" w:styleId="54">
    <w:name w:val="xl80"/>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ascii="宋体" w:hAnsi="宋体" w:eastAsia="宋体" w:cs="宋体"/>
      <w:kern w:val="0"/>
      <w:sz w:val="18"/>
      <w:szCs w:val="18"/>
    </w:rPr>
  </w:style>
  <w:style w:type="paragraph" w:customStyle="1" w:styleId="55">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ascii="宋体" w:hAnsi="宋体" w:eastAsia="宋体" w:cs="宋体"/>
      <w:kern w:val="0"/>
      <w:sz w:val="18"/>
      <w:szCs w:val="18"/>
    </w:rPr>
  </w:style>
  <w:style w:type="paragraph" w:customStyle="1" w:styleId="56">
    <w:name w:val="xl82"/>
    <w:basedOn w:val="1"/>
    <w:qFormat/>
    <w:uiPriority w:val="0"/>
    <w:pPr>
      <w:widowControl/>
      <w:spacing w:before="100" w:beforeAutospacing="1" w:after="100" w:afterAutospacing="1" w:line="240" w:lineRule="auto"/>
      <w:ind w:firstLine="0" w:firstLineChars="0"/>
      <w:jc w:val="right"/>
    </w:pPr>
    <w:rPr>
      <w:rFonts w:ascii="宋体" w:hAnsi="宋体" w:eastAsia="宋体" w:cs="宋体"/>
      <w:kern w:val="0"/>
      <w:sz w:val="24"/>
    </w:rPr>
  </w:style>
  <w:style w:type="paragraph" w:customStyle="1" w:styleId="57">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宋体" w:hAnsi="宋体" w:eastAsia="宋体" w:cs="宋体"/>
      <w:kern w:val="0"/>
      <w:sz w:val="18"/>
      <w:szCs w:val="18"/>
    </w:rPr>
  </w:style>
  <w:style w:type="paragraph" w:customStyle="1" w:styleId="5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right"/>
    </w:pPr>
    <w:rPr>
      <w:rFonts w:ascii="宋体" w:hAnsi="宋体" w:eastAsia="宋体" w:cs="宋体"/>
      <w:kern w:val="0"/>
      <w:sz w:val="18"/>
      <w:szCs w:val="18"/>
    </w:rPr>
  </w:style>
  <w:style w:type="paragraph" w:customStyle="1" w:styleId="59">
    <w:name w:val="xl85"/>
    <w:basedOn w:val="1"/>
    <w:qFormat/>
    <w:uiPriority w:val="0"/>
    <w:pPr>
      <w:widowControl/>
      <w:spacing w:before="100" w:beforeAutospacing="1" w:after="100" w:afterAutospacing="1" w:line="240" w:lineRule="auto"/>
      <w:ind w:firstLine="0" w:firstLineChars="0"/>
      <w:jc w:val="right"/>
    </w:pPr>
    <w:rPr>
      <w:rFonts w:ascii="方正仿宋_GBK" w:hAnsi="宋体" w:cs="宋体"/>
      <w:kern w:val="0"/>
      <w:sz w:val="24"/>
    </w:rPr>
  </w:style>
  <w:style w:type="character" w:customStyle="1" w:styleId="60">
    <w:name w:val="标题 4 字符1"/>
    <w:basedOn w:val="22"/>
    <w:semiHidden/>
    <w:qFormat/>
    <w:uiPriority w:val="0"/>
    <w:rPr>
      <w:rFonts w:asciiTheme="majorHAnsi" w:hAnsiTheme="majorHAnsi" w:eastAsiaTheme="majorEastAsia" w:cstheme="majorBidi"/>
      <w:b/>
      <w:bCs/>
      <w:kern w:val="2"/>
      <w:sz w:val="28"/>
      <w:szCs w:val="28"/>
    </w:rPr>
  </w:style>
  <w:style w:type="paragraph" w:customStyle="1" w:styleId="61">
    <w:name w:val="TOC 标题2"/>
    <w:basedOn w:val="4"/>
    <w:next w:val="1"/>
    <w:unhideWhenUsed/>
    <w:qFormat/>
    <w:uiPriority w:val="39"/>
    <w:pPr>
      <w:widowControl/>
      <w:spacing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table" w:customStyle="1" w:styleId="62">
    <w:name w:val="网格型4"/>
    <w:basedOn w:val="20"/>
    <w:qFormat/>
    <w:uiPriority w:val="59"/>
    <w:rPr>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3">
    <w:name w:val="网格型5"/>
    <w:basedOn w:val="2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4">
    <w:name w:val="标题 21"/>
    <w:basedOn w:val="1"/>
    <w:next w:val="1"/>
    <w:unhideWhenUsed/>
    <w:qFormat/>
    <w:uiPriority w:val="9"/>
    <w:pPr>
      <w:keepNext/>
      <w:keepLines/>
      <w:ind w:firstLine="0" w:firstLineChars="0"/>
      <w:jc w:val="center"/>
      <w:outlineLvl w:val="1"/>
    </w:pPr>
    <w:rPr>
      <w:rFonts w:ascii="Calibri Light" w:hAnsi="Calibri Light" w:eastAsia="方正楷体简体" w:cs="Times New Roman"/>
      <w:bCs/>
      <w:szCs w:val="32"/>
    </w:rPr>
  </w:style>
  <w:style w:type="table" w:customStyle="1" w:styleId="65">
    <w:name w:val="网格型12"/>
    <w:basedOn w:val="20"/>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6">
    <w:name w:val="网格型111"/>
    <w:basedOn w:val="20"/>
    <w:qFormat/>
    <w:uiPriority w:val="39"/>
    <w:pPr>
      <w:jc w:val="both"/>
    </w:pPr>
    <w:rPr>
      <w:rFonts w:ascii="宋体" w:hAnsi="Times New Roman" w:eastAsia="宋体" w:cs="Times New Roman"/>
      <w:color w:val="000000"/>
      <w:sz w:val="28"/>
      <w:szCs w:val="3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
    <w:name w:val="网格型21"/>
    <w:basedOn w:val="20"/>
    <w:qFormat/>
    <w:uiPriority w:val="39"/>
    <w:pPr>
      <w:jc w:val="both"/>
    </w:pPr>
    <w:rPr>
      <w:rFonts w:ascii="宋体" w:hAnsi="Times New Roman" w:eastAsia="宋体" w:cs="Times New Roman"/>
      <w:color w:val="000000"/>
      <w:sz w:val="28"/>
      <w:szCs w:val="3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
    <w:name w:val="网格型31"/>
    <w:basedOn w:val="20"/>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9">
    <w:name w:val="超链接2"/>
    <w:basedOn w:val="22"/>
    <w:qFormat/>
    <w:uiPriority w:val="99"/>
    <w:rPr>
      <w:color w:val="0563C1"/>
      <w:u w:val="single"/>
    </w:rPr>
  </w:style>
  <w:style w:type="paragraph" w:customStyle="1" w:styleId="70">
    <w:name w:val="TOC 标题21"/>
    <w:basedOn w:val="4"/>
    <w:next w:val="1"/>
    <w:unhideWhenUsed/>
    <w:qFormat/>
    <w:uiPriority w:val="39"/>
    <w:pPr>
      <w:widowControl/>
      <w:spacing w:line="259" w:lineRule="auto"/>
      <w:jc w:val="left"/>
      <w:outlineLvl w:val="9"/>
    </w:pPr>
    <w:rPr>
      <w:rFonts w:ascii="Calibri Light" w:hAnsi="Calibri Light" w:eastAsia="宋体" w:cs="Times New Roman"/>
      <w:b w:val="0"/>
      <w:bCs w:val="0"/>
      <w:color w:val="2E74B5"/>
      <w:kern w:val="0"/>
      <w:szCs w:val="32"/>
    </w:rPr>
  </w:style>
  <w:style w:type="table" w:customStyle="1" w:styleId="71">
    <w:name w:val="网格型41"/>
    <w:basedOn w:val="20"/>
    <w:qFormat/>
    <w:uiPriority w:val="59"/>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72">
    <w:name w:val="标题 2 字符1"/>
    <w:basedOn w:val="22"/>
    <w:semiHidden/>
    <w:qFormat/>
    <w:uiPriority w:val="9"/>
    <w:rPr>
      <w:rFonts w:ascii="等线 Light" w:hAnsi="等线 Light" w:eastAsia="等线 Light" w:cs="Times New Roman"/>
      <w:b/>
      <w:bCs/>
      <w:sz w:val="32"/>
      <w:szCs w:val="32"/>
    </w:rPr>
  </w:style>
  <w:style w:type="character" w:customStyle="1" w:styleId="73">
    <w:name w:val="font21"/>
    <w:basedOn w:val="22"/>
    <w:qFormat/>
    <w:uiPriority w:val="0"/>
    <w:rPr>
      <w:rFonts w:ascii="方正仿宋_GBK" w:hAnsi="方正仿宋_GBK" w:eastAsia="方正仿宋_GBK" w:cs="方正仿宋_GBK"/>
      <w:color w:val="000000"/>
      <w:sz w:val="20"/>
      <w:szCs w:val="20"/>
      <w:u w:val="none"/>
    </w:rPr>
  </w:style>
  <w:style w:type="character" w:customStyle="1" w:styleId="74">
    <w:name w:val="font11"/>
    <w:basedOn w:val="22"/>
    <w:qFormat/>
    <w:uiPriority w:val="0"/>
    <w:rPr>
      <w:rFonts w:hint="eastAsia" w:ascii="方正仿宋_GBK" w:hAnsi="方正仿宋_GBK" w:eastAsia="方正仿宋_GBK" w:cs="方正仿宋_GBK"/>
      <w:color w:val="000000"/>
      <w:sz w:val="16"/>
      <w:szCs w:val="16"/>
      <w:u w:val="none"/>
    </w:rPr>
  </w:style>
  <w:style w:type="character" w:customStyle="1" w:styleId="75">
    <w:name w:val="font31"/>
    <w:basedOn w:val="22"/>
    <w:qFormat/>
    <w:uiPriority w:val="0"/>
    <w:rPr>
      <w:rFonts w:hint="default" w:ascii="Times New Roman" w:hAnsi="Times New Roman" w:cs="Times New Roman"/>
      <w:color w:val="000000"/>
      <w:sz w:val="16"/>
      <w:szCs w:val="16"/>
      <w:u w:val="none"/>
    </w:rPr>
  </w:style>
  <w:style w:type="character" w:customStyle="1" w:styleId="76">
    <w:name w:val="font41"/>
    <w:basedOn w:val="22"/>
    <w:qFormat/>
    <w:uiPriority w:val="0"/>
    <w:rPr>
      <w:rFonts w:hint="default" w:ascii="Times New Roman" w:hAnsi="Times New Roman" w:cs="Times New Roman"/>
      <w:color w:val="000000"/>
      <w:sz w:val="20"/>
      <w:szCs w:val="20"/>
      <w:u w:val="none"/>
    </w:rPr>
  </w:style>
  <w:style w:type="character" w:customStyle="1" w:styleId="77">
    <w:name w:val="font61"/>
    <w:basedOn w:val="22"/>
    <w:qFormat/>
    <w:uiPriority w:val="0"/>
    <w:rPr>
      <w:rFonts w:hint="eastAsia" w:ascii="宋体" w:hAnsi="宋体" w:eastAsia="宋体" w:cs="宋体"/>
      <w:color w:val="000000"/>
      <w:sz w:val="20"/>
      <w:szCs w:val="20"/>
      <w:u w:val="none"/>
    </w:rPr>
  </w:style>
  <w:style w:type="character" w:customStyle="1" w:styleId="78">
    <w:name w:val="批注文字 字符"/>
    <w:basedOn w:val="22"/>
    <w:link w:val="9"/>
    <w:qFormat/>
    <w:uiPriority w:val="0"/>
    <w:rPr>
      <w:rFonts w:ascii="Times New Roman" w:hAnsi="Times New Roman" w:eastAsia="方正仿宋-GBK"/>
      <w:kern w:val="2"/>
      <w:sz w:val="32"/>
      <w:szCs w:val="24"/>
    </w:rPr>
  </w:style>
  <w:style w:type="character" w:customStyle="1" w:styleId="79">
    <w:name w:val="批注主题 字符"/>
    <w:basedOn w:val="78"/>
    <w:link w:val="19"/>
    <w:qFormat/>
    <w:uiPriority w:val="0"/>
    <w:rPr>
      <w:rFonts w:ascii="Times New Roman" w:hAnsi="Times New Roman" w:eastAsia="方正仿宋-GBK"/>
      <w:b/>
      <w:bCs/>
      <w:kern w:val="2"/>
      <w:sz w:val="32"/>
      <w:szCs w:val="24"/>
    </w:rPr>
  </w:style>
  <w:style w:type="character" w:customStyle="1" w:styleId="80">
    <w:name w:val="标题 字符"/>
    <w:basedOn w:val="22"/>
    <w:link w:val="18"/>
    <w:qFormat/>
    <w:uiPriority w:val="0"/>
    <w:rPr>
      <w:rFonts w:ascii="Times New Roman" w:hAnsi="Times New Roman" w:eastAsia="方正小标宋_GBK" w:cstheme="majorBidi"/>
      <w:kern w:val="44"/>
      <w:sz w:val="44"/>
      <w:szCs w:val="32"/>
    </w:rPr>
  </w:style>
  <w:style w:type="paragraph" w:customStyle="1" w:styleId="81">
    <w:name w:val="TOC Heading"/>
    <w:basedOn w:val="4"/>
    <w:next w:val="1"/>
    <w:unhideWhenUsed/>
    <w:qFormat/>
    <w:uiPriority w:val="39"/>
    <w:pPr>
      <w:widowControl/>
      <w:overflowPunct/>
      <w:autoSpaceDE/>
      <w:autoSpaceDN/>
      <w:spacing w:beforeLines="0" w:after="0" w:afterLines="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character" w:customStyle="1" w:styleId="82">
    <w:name w:val="副标题 字符"/>
    <w:basedOn w:val="22"/>
    <w:link w:val="15"/>
    <w:qFormat/>
    <w:uiPriority w:val="0"/>
    <w:rPr>
      <w:b/>
      <w:bCs/>
      <w:kern w:val="28"/>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玉溪市红塔区党政机关单位</Company>
  <Pages>54</Pages>
  <Words>10279</Words>
  <Characters>11210</Characters>
  <Lines>46</Lines>
  <Paragraphs>61</Paragraphs>
  <TotalTime>17</TotalTime>
  <ScaleCrop>false</ScaleCrop>
  <LinksUpToDate>false</LinksUpToDate>
  <CharactersWithSpaces>11341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2022-12-19T17:37:00Z</dcterms:created>
  <dc:creator>景会萍</dc:creator>
  <cp:lastModifiedBy>陈楚楚</cp:lastModifiedBy>
  <cp:lastPrinted>2021-03-19T09:57:00Z</cp:lastPrinted>
  <dcterms:modified xsi:type="dcterms:W3CDTF">2025-05-12T02:06:36Z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eyJoZGlkIjoiMGU4MDAzNjYyZDI5ZDFmNzA3MTY2ZmQ1YThiMjA1YzIiLCJ1c2VySWQiOiIxNjQwMTU0MTY2In0=</vt:lpwstr>
  </property>
  <property fmtid="{D5CDD505-2E9C-101B-9397-08002B2CF9AE}" pid="4" name="ICV">
    <vt:lpwstr>CBAB07B76C6747B2A85AAA3CFCCBEBE6_12</vt:lpwstr>
  </property>
</Properties>
</file>