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</w:t>
      </w:r>
      <w:r>
        <w:rPr>
          <w:rFonts w:hint="eastAsia"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：</w:t>
      </w:r>
    </w:p>
    <w:p>
      <w:pPr>
        <w:jc w:val="center"/>
        <w:rPr>
          <w:rFonts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  <w:lang w:eastAsia="zh-CN"/>
        </w:rPr>
        <w:t>红塔区环保局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政府信息公开情况统计表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年度）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填报单位（盖章）：</w:t>
      </w:r>
    </w:p>
    <w:tbl>
      <w:tblPr>
        <w:tblStyle w:val="5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 计 指 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一、主动公开情况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（一）主动公开政府信息数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(不同渠道和方式公开相同信息计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其中，主动公开规范性文件数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制发规范性文件数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（二）通多不同渠道和方式公开政府信息的情况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1.政府公报公开政府信息数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2.政府网站公开政府信息数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3.政务微博公开政府信息数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4.政务微信公开政府信息数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5.其他方式公开政府信息数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二、回应解读情况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（一）回应公众关注热点或重大舆情数</w:t>
            </w:r>
          </w:p>
          <w:p>
            <w:pPr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(不同方式回应同一热点或舆情计1次)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1.参加或举办新闻发布会总次数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其中，主要负责人参加新闻发布会次数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2.政府网站在线访谈次数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其中，主要负责人参加政府网站在线访谈次数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3.政策解读稿件发布数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篇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4.微博微信回应事件数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5.其他方式回应事件数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三、依申请公开情况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（一）收到申请数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1.当面申请数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2.传真申请数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3.网络申请数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4.信函申请数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（二）申请办结数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1.按时办结数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2.延期办结数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（三）申请答复数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1.属于已主动公开范围数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2.同意公开答复数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3.同意部分公开答复数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4.不同意公开答复数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其中，涉及国家秘密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涉及商业秘密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涉及个人隐私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不是《条例》所指政府信息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法律法规规定的其他情形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5.不属于本行政机关公开数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6.申请信息不存在数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7.告知作出更改补充数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8.告知通过其他途径办理数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四、行政复议数量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（一）维持具体行政行为数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（二）被依法纠错数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（三）其他情形数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五、行政诉讼数量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（二）被依法纠错数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（三）其他情形数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六、举报投诉数量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七、依申请公开信息收取的费用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八、机构建设和保障经费情况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1.专职人员数（不包括政府公报及政府网站工作人员）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2.兼职人员数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（四）政府信息公开专项经费（不包括用于政府公报编辑管理及政府网站建设维护等方面的经费)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单位负责人：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王光晶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审核人：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刘宝平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填报人：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李媛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6986373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填报日期：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pacing w:line="520" w:lineRule="exac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13DEE"/>
    <w:rsid w:val="73A13DEE"/>
    <w:rsid w:val="749024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2019-01-07T00:44:00Z</dcterms:created>
  <dc:creator>Administrator</dc:creator>
  <cp:lastModifiedBy>Administrator</cp:lastModifiedBy>
  <dcterms:modified xsi:type="dcterms:W3CDTF">2019-01-07T00:45:51Z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