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34B" w:rsidRDefault="00CF634B" w:rsidP="00CF634B">
      <w:pPr>
        <w:pStyle w:val="New0"/>
        <w:rPr>
          <w:rFonts w:ascii="方正小标宋简体" w:eastAsia="方正小标宋简体" w:hAnsi="方正小标宋简体" w:cs="方正小标宋简体"/>
          <w:b/>
          <w:bCs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8"/>
          <w:szCs w:val="48"/>
        </w:rPr>
        <w:t>第三类易制毒化学品运输事前备案</w:t>
      </w:r>
    </w:p>
    <w:p w:rsidR="00CF634B" w:rsidRDefault="00CF634B" w:rsidP="00CF634B">
      <w:pPr>
        <w:pStyle w:val="New0"/>
        <w:jc w:val="center"/>
        <w:rPr>
          <w:rFonts w:ascii="方正小标宋简体" w:eastAsia="方正小标宋简体" w:hAnsi="方正小标宋简体" w:cs="方正小标宋简体"/>
          <w:b/>
          <w:bCs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52"/>
          <w:szCs w:val="52"/>
        </w:rPr>
        <w:t>办事指南</w:t>
      </w:r>
    </w:p>
    <w:p w:rsidR="00CF634B" w:rsidRDefault="00CF634B" w:rsidP="00CF634B">
      <w:pPr>
        <w:pStyle w:val="New0"/>
        <w:rPr>
          <w:sz w:val="44"/>
          <w:szCs w:val="44"/>
        </w:rPr>
      </w:pPr>
    </w:p>
    <w:p w:rsidR="00CF634B" w:rsidRDefault="00CF634B" w:rsidP="00CF634B">
      <w:pPr>
        <w:pStyle w:val="New0"/>
        <w:rPr>
          <w:sz w:val="44"/>
          <w:szCs w:val="44"/>
        </w:rPr>
      </w:pPr>
    </w:p>
    <w:p w:rsidR="00CF634B" w:rsidRDefault="00CF634B" w:rsidP="00CF634B">
      <w:pPr>
        <w:pStyle w:val="New0"/>
        <w:rPr>
          <w:sz w:val="44"/>
          <w:szCs w:val="44"/>
        </w:rPr>
      </w:pPr>
    </w:p>
    <w:p w:rsidR="00CF634B" w:rsidRDefault="00CF634B" w:rsidP="00CF634B">
      <w:pPr>
        <w:pStyle w:val="New0"/>
        <w:rPr>
          <w:sz w:val="44"/>
          <w:szCs w:val="44"/>
        </w:rPr>
      </w:pPr>
    </w:p>
    <w:p w:rsidR="00CF634B" w:rsidRDefault="00CF634B" w:rsidP="00CF634B">
      <w:pPr>
        <w:pStyle w:val="New0"/>
        <w:rPr>
          <w:sz w:val="44"/>
          <w:szCs w:val="44"/>
        </w:rPr>
      </w:pPr>
    </w:p>
    <w:p w:rsidR="00CF634B" w:rsidRDefault="00CF634B" w:rsidP="00CF634B">
      <w:pPr>
        <w:pStyle w:val="New0"/>
        <w:rPr>
          <w:sz w:val="44"/>
          <w:szCs w:val="44"/>
        </w:rPr>
      </w:pPr>
    </w:p>
    <w:p w:rsidR="00CF634B" w:rsidRDefault="007C39FA" w:rsidP="00CF634B">
      <w:pPr>
        <w:pStyle w:val="New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玉溪市公安局红塔分局</w:t>
      </w:r>
    </w:p>
    <w:p w:rsidR="00CF634B" w:rsidRDefault="00CF634B" w:rsidP="00CF634B">
      <w:pPr>
        <w:pStyle w:val="New0"/>
        <w:jc w:val="center"/>
        <w:rPr>
          <w:rFonts w:ascii="方正小标宋简体" w:eastAsia="方正小标宋简体" w:hAnsi="黑体"/>
          <w:sz w:val="28"/>
          <w:szCs w:val="28"/>
        </w:rPr>
      </w:pPr>
      <w:r>
        <w:rPr>
          <w:rFonts w:ascii="黑体" w:eastAsia="黑体" w:hAnsi="黑体" w:hint="eastAsia"/>
          <w:sz w:val="32"/>
          <w:szCs w:val="32"/>
        </w:rPr>
        <w:t>2018年</w:t>
      </w:r>
      <w:r w:rsidR="007C39FA">
        <w:rPr>
          <w:rFonts w:ascii="黑体" w:eastAsia="黑体" w:hAnsi="黑体" w:hint="eastAsia"/>
          <w:sz w:val="32"/>
          <w:szCs w:val="32"/>
        </w:rPr>
        <w:t>10</w:t>
      </w:r>
      <w:r>
        <w:rPr>
          <w:rFonts w:ascii="黑体" w:eastAsia="黑体" w:hAnsi="黑体" w:hint="eastAsia"/>
          <w:sz w:val="32"/>
          <w:szCs w:val="32"/>
        </w:rPr>
        <w:t>月</w:t>
      </w:r>
      <w:r w:rsidR="007C39FA">
        <w:rPr>
          <w:rFonts w:ascii="黑体" w:eastAsia="黑体" w:hAnsi="黑体" w:hint="eastAsia"/>
          <w:sz w:val="32"/>
          <w:szCs w:val="32"/>
        </w:rPr>
        <w:t>31</w:t>
      </w:r>
      <w:r>
        <w:rPr>
          <w:rFonts w:ascii="黑体" w:eastAsia="黑体" w:hAnsi="黑体" w:hint="eastAsia"/>
          <w:sz w:val="32"/>
          <w:szCs w:val="32"/>
        </w:rPr>
        <w:t>日发布</w:t>
      </w:r>
    </w:p>
    <w:p w:rsidR="00CF634B" w:rsidRDefault="00CF634B" w:rsidP="00CF634B">
      <w:pPr>
        <w:pStyle w:val="New0"/>
        <w:spacing w:line="400" w:lineRule="exact"/>
        <w:ind w:firstLineChars="1300" w:firstLine="2730"/>
        <w:jc w:val="center"/>
        <w:rPr>
          <w:rFonts w:ascii="黑体" w:eastAsia="黑体" w:hAnsi="黑体" w:cs="黑体"/>
          <w:szCs w:val="21"/>
        </w:rPr>
      </w:pPr>
    </w:p>
    <w:p w:rsidR="00CF634B" w:rsidRDefault="00CF634B" w:rsidP="00CF634B">
      <w:pPr>
        <w:pStyle w:val="New0"/>
        <w:spacing w:line="400" w:lineRule="exact"/>
        <w:rPr>
          <w:rFonts w:ascii="黑体" w:eastAsia="黑体" w:hAnsi="黑体" w:cs="黑体"/>
          <w:sz w:val="36"/>
          <w:szCs w:val="36"/>
        </w:rPr>
      </w:pPr>
    </w:p>
    <w:p w:rsidR="00CF634B" w:rsidRDefault="00CF634B" w:rsidP="00CF634B">
      <w:pPr>
        <w:pStyle w:val="New0"/>
        <w:spacing w:line="400" w:lineRule="exact"/>
        <w:rPr>
          <w:rFonts w:ascii="黑体" w:eastAsia="黑体" w:hAnsi="黑体" w:cs="黑体"/>
          <w:sz w:val="36"/>
          <w:szCs w:val="36"/>
        </w:rPr>
      </w:pPr>
    </w:p>
    <w:p w:rsidR="00CF634B" w:rsidRDefault="00CF634B" w:rsidP="00CF634B">
      <w:pPr>
        <w:pStyle w:val="New0"/>
        <w:spacing w:line="400" w:lineRule="exac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第三类易制毒化学品运输事前备案指南</w:t>
      </w:r>
    </w:p>
    <w:p w:rsidR="00CF634B" w:rsidRDefault="00CF634B" w:rsidP="00CF634B">
      <w:pPr>
        <w:pStyle w:val="New0"/>
        <w:spacing w:line="400" w:lineRule="exact"/>
        <w:jc w:val="center"/>
        <w:rPr>
          <w:rFonts w:ascii="楷体_GB2312" w:eastAsia="楷体_GB2312"/>
          <w:b/>
          <w:sz w:val="28"/>
          <w:szCs w:val="28"/>
        </w:rPr>
      </w:pPr>
    </w:p>
    <w:p w:rsidR="00CF634B" w:rsidRDefault="00CF634B" w:rsidP="00CF634B">
      <w:pPr>
        <w:pStyle w:val="New0"/>
        <w:spacing w:line="400" w:lineRule="exact"/>
        <w:ind w:firstLineChars="200" w:firstLine="480"/>
        <w:outlineLvl w:val="0"/>
        <w:rPr>
          <w:rFonts w:ascii="宋体" w:hAnsi="宋体" w:cs="宋体"/>
          <w:b/>
          <w:bCs/>
          <w:sz w:val="24"/>
        </w:rPr>
      </w:pPr>
      <w:r>
        <w:rPr>
          <w:rFonts w:ascii="黑体" w:eastAsia="黑体" w:hAnsi="黑体" w:cs="黑体" w:hint="eastAsia"/>
          <w:sz w:val="24"/>
        </w:rPr>
        <w:t>一、受理范围</w:t>
      </w:r>
    </w:p>
    <w:p w:rsidR="00CF634B" w:rsidRDefault="00CF634B" w:rsidP="00CF634B">
      <w:pPr>
        <w:pStyle w:val="New0"/>
        <w:adjustRightInd w:val="0"/>
        <w:snapToGrid w:val="0"/>
        <w:spacing w:line="40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申请内容:第三类易制毒化学品运输事前备案证明</w:t>
      </w:r>
    </w:p>
    <w:p w:rsidR="00CF634B" w:rsidRDefault="00CF634B" w:rsidP="00CF634B">
      <w:pPr>
        <w:pStyle w:val="New0"/>
        <w:adjustRightInd w:val="0"/>
        <w:snapToGrid w:val="0"/>
        <w:spacing w:line="40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申请人范围及申请条件:</w:t>
      </w:r>
      <w:r w:rsidR="007C39FA">
        <w:rPr>
          <w:rFonts w:ascii="宋体" w:hAnsi="宋体" w:cs="宋体" w:hint="eastAsia"/>
          <w:sz w:val="24"/>
        </w:rPr>
        <w:t>红塔区</w:t>
      </w:r>
      <w:r>
        <w:rPr>
          <w:rFonts w:ascii="宋体" w:hAnsi="宋体" w:cs="宋体" w:hint="eastAsia"/>
          <w:sz w:val="24"/>
        </w:rPr>
        <w:t>行政区域内的企业、科研单位、医疗机构等；（一）经营企业提交企业营业执照（副本和复印件），其他组织提交登记证书或者成立批准文</w:t>
      </w:r>
      <w:r>
        <w:rPr>
          <w:rFonts w:ascii="宋体" w:hAnsi="宋体" w:cs="宋体" w:hint="eastAsia"/>
          <w:sz w:val="24"/>
        </w:rPr>
        <w:lastRenderedPageBreak/>
        <w:t>件（原件和复印件），或者个人的身份证明（原件和复印件）。注明拟运输易制毒化学品的品种、数量和用途，并加盖购买单位印章或者个人签名。</w:t>
      </w:r>
    </w:p>
    <w:p w:rsidR="00CF634B" w:rsidRDefault="00CF634B" w:rsidP="00CF634B">
      <w:pPr>
        <w:pStyle w:val="NewNewNewNewNewNewNewNewNew"/>
        <w:adjustRightInd w:val="0"/>
        <w:snapToGrid w:val="0"/>
        <w:spacing w:line="40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不予受理的法定情形：申请事项依法不需要取得行政许可的；申请事项依法不属于本行政机关职权范围的；</w:t>
      </w:r>
      <w:r>
        <w:rPr>
          <w:rFonts w:ascii="宋体" w:hAnsi="宋体" w:cs="宋体" w:hint="eastAsia"/>
          <w:sz w:val="24"/>
          <w:lang w:val="en-GB"/>
        </w:rPr>
        <w:t>法律法规规定的其他符合不予受理条件的。</w:t>
      </w:r>
    </w:p>
    <w:p w:rsidR="00CF634B" w:rsidRDefault="00CF634B" w:rsidP="00CF634B">
      <w:pPr>
        <w:pStyle w:val="New0"/>
        <w:numPr>
          <w:ilvl w:val="0"/>
          <w:numId w:val="2"/>
        </w:numPr>
        <w:spacing w:line="400" w:lineRule="exact"/>
        <w:ind w:firstLineChars="200" w:firstLine="480"/>
        <w:outlineLvl w:val="0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设定及办理依据</w:t>
      </w:r>
    </w:p>
    <w:p w:rsidR="00CF634B" w:rsidRDefault="00CF634B" w:rsidP="00CF634B">
      <w:pPr>
        <w:topLinePunct/>
        <w:adjustRightInd w:val="0"/>
        <w:snapToGrid w:val="0"/>
        <w:spacing w:line="400" w:lineRule="exact"/>
        <w:ind w:firstLineChars="200" w:firstLine="482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一）运输设定及办理依据</w:t>
      </w:r>
    </w:p>
    <w:p w:rsidR="00CF634B" w:rsidRDefault="00CF634B" w:rsidP="00CF634B">
      <w:pPr>
        <w:numPr>
          <w:ilvl w:val="0"/>
          <w:numId w:val="3"/>
        </w:numPr>
        <w:topLinePunct/>
        <w:adjustRightInd w:val="0"/>
        <w:snapToGrid w:val="0"/>
        <w:spacing w:line="40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《易制毒化学品购销和运输管理办法》第十五条：运输第三类易制毒化学品的，应当向运出地县级人民政府公安机关备案。</w:t>
      </w:r>
    </w:p>
    <w:p w:rsidR="00CF634B" w:rsidRDefault="00CF634B" w:rsidP="00CF634B">
      <w:pPr>
        <w:topLinePunct/>
        <w:adjustRightInd w:val="0"/>
        <w:snapToGrid w:val="0"/>
        <w:spacing w:line="400" w:lineRule="exact"/>
        <w:ind w:firstLineChars="200" w:firstLine="480"/>
        <w:rPr>
          <w:rFonts w:ascii="宋体" w:hAnsi="宋体" w:cs="宋体"/>
          <w:snapToGrid w:val="0"/>
          <w:color w:val="000000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（二）《易制毒化学品管理条例》</w:t>
      </w:r>
      <w:r>
        <w:rPr>
          <w:rFonts w:ascii="宋体" w:hAnsi="宋体" w:cs="宋体" w:hint="eastAsia"/>
          <w:snapToGrid w:val="0"/>
          <w:color w:val="000000"/>
          <w:sz w:val="24"/>
          <w:szCs w:val="24"/>
        </w:rPr>
        <w:t>第二十一条；</w:t>
      </w:r>
      <w:r>
        <w:rPr>
          <w:rFonts w:ascii="宋体" w:hAnsi="宋体" w:cs="宋体" w:hint="eastAsia"/>
          <w:sz w:val="24"/>
          <w:szCs w:val="24"/>
        </w:rPr>
        <w:t>《易制毒化学品购销和运输管理办法》第三章第十八条</w:t>
      </w:r>
      <w:r>
        <w:rPr>
          <w:rFonts w:ascii="宋体" w:hAnsi="宋体" w:cs="宋体" w:hint="eastAsia"/>
          <w:snapToGrid w:val="0"/>
          <w:color w:val="000000"/>
          <w:sz w:val="24"/>
          <w:szCs w:val="24"/>
        </w:rPr>
        <w:t>：申请易制毒化学品运输许可或者进行备案，应当提交下列材料：</w:t>
      </w:r>
    </w:p>
    <w:p w:rsidR="00CF634B" w:rsidRDefault="00CF634B" w:rsidP="00CF634B">
      <w:pPr>
        <w:numPr>
          <w:ilvl w:val="0"/>
          <w:numId w:val="4"/>
        </w:numPr>
        <w:topLinePunct/>
        <w:adjustRightInd w:val="0"/>
        <w:snapToGrid w:val="0"/>
        <w:spacing w:line="400" w:lineRule="exact"/>
        <w:ind w:firstLineChars="200" w:firstLine="480"/>
        <w:rPr>
          <w:rFonts w:ascii="宋体" w:hAnsi="宋体" w:cs="宋体"/>
          <w:snapToGrid w:val="0"/>
          <w:color w:val="000000"/>
          <w:sz w:val="24"/>
          <w:szCs w:val="24"/>
        </w:rPr>
      </w:pPr>
      <w:r>
        <w:rPr>
          <w:rFonts w:ascii="宋体" w:hAnsi="宋体" w:cs="宋体" w:hint="eastAsia"/>
          <w:snapToGrid w:val="0"/>
          <w:color w:val="000000"/>
          <w:sz w:val="24"/>
          <w:szCs w:val="24"/>
        </w:rPr>
        <w:t>经营企业的营业执照（副本和复印件），其他组织的登记证书或者成立批准文件（原件和复印件）；个人的身份证明（原件和复印件）。</w:t>
      </w:r>
    </w:p>
    <w:p w:rsidR="00CF634B" w:rsidRDefault="00CF634B" w:rsidP="00CF634B">
      <w:pPr>
        <w:numPr>
          <w:ilvl w:val="0"/>
          <w:numId w:val="4"/>
        </w:numPr>
        <w:topLinePunct/>
        <w:adjustRightInd w:val="0"/>
        <w:snapToGrid w:val="0"/>
        <w:spacing w:line="400" w:lineRule="exact"/>
        <w:ind w:firstLineChars="200" w:firstLine="480"/>
        <w:rPr>
          <w:rFonts w:ascii="宋体" w:hAnsi="宋体" w:cs="宋体"/>
          <w:snapToGrid w:val="0"/>
          <w:color w:val="000000"/>
          <w:sz w:val="24"/>
          <w:szCs w:val="24"/>
        </w:rPr>
      </w:pPr>
      <w:r>
        <w:rPr>
          <w:rFonts w:ascii="宋体" w:hAnsi="宋体" w:cs="宋体" w:hint="eastAsia"/>
          <w:snapToGrid w:val="0"/>
          <w:color w:val="000000"/>
          <w:sz w:val="24"/>
          <w:szCs w:val="24"/>
        </w:rPr>
        <w:t>易制毒化学品的购销合同（原件）。</w:t>
      </w:r>
    </w:p>
    <w:p w:rsidR="00CF634B" w:rsidRDefault="00CF634B" w:rsidP="00CF634B">
      <w:pPr>
        <w:numPr>
          <w:ilvl w:val="0"/>
          <w:numId w:val="4"/>
        </w:numPr>
        <w:topLinePunct/>
        <w:adjustRightInd w:val="0"/>
        <w:snapToGrid w:val="0"/>
        <w:spacing w:line="40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napToGrid w:val="0"/>
          <w:color w:val="000000"/>
          <w:sz w:val="24"/>
          <w:szCs w:val="24"/>
        </w:rPr>
        <w:t>经办人的身份证明（原件和复印件）。</w:t>
      </w:r>
    </w:p>
    <w:p w:rsidR="00CF634B" w:rsidRDefault="00CF634B" w:rsidP="00CF634B">
      <w:pPr>
        <w:pStyle w:val="New0"/>
        <w:spacing w:line="400" w:lineRule="exact"/>
        <w:ind w:firstLineChars="200" w:firstLine="480"/>
        <w:outlineLvl w:val="0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三、实施机关</w:t>
      </w:r>
    </w:p>
    <w:p w:rsidR="00CF634B" w:rsidRDefault="007C39FA" w:rsidP="00CF634B">
      <w:pPr>
        <w:pStyle w:val="New0"/>
        <w:adjustRightInd w:val="0"/>
        <w:snapToGrid w:val="0"/>
        <w:spacing w:line="400" w:lineRule="exact"/>
        <w:ind w:firstLineChars="200" w:firstLine="480"/>
        <w:jc w:val="lef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sz w:val="24"/>
        </w:rPr>
        <w:t>玉溪市公安局红塔分局</w:t>
      </w:r>
      <w:r w:rsidR="00CF634B">
        <w:rPr>
          <w:rFonts w:ascii="宋体" w:hAnsi="宋体" w:cs="宋体" w:hint="eastAsia"/>
          <w:sz w:val="24"/>
        </w:rPr>
        <w:t>，是运输第三类易制毒化学品的法定机构。负责该行政许可事项的审查并作出行政许可决定。</w:t>
      </w:r>
    </w:p>
    <w:p w:rsidR="00CF634B" w:rsidRDefault="00CF634B" w:rsidP="00CF634B">
      <w:pPr>
        <w:pStyle w:val="New0"/>
        <w:numPr>
          <w:ilvl w:val="0"/>
          <w:numId w:val="5"/>
        </w:numPr>
        <w:adjustRightInd w:val="0"/>
        <w:snapToGrid w:val="0"/>
        <w:spacing w:line="400" w:lineRule="exact"/>
        <w:ind w:firstLineChars="200" w:firstLine="480"/>
        <w:jc w:val="left"/>
        <w:rPr>
          <w:rFonts w:ascii="宋体" w:hAnsi="宋体" w:cs="宋体"/>
          <w:b/>
          <w:bCs/>
          <w:sz w:val="24"/>
        </w:rPr>
      </w:pPr>
      <w:r>
        <w:rPr>
          <w:rFonts w:ascii="黑体" w:eastAsia="黑体" w:hAnsi="黑体" w:cs="黑体" w:hint="eastAsia"/>
          <w:sz w:val="24"/>
        </w:rPr>
        <w:t>办件类型</w:t>
      </w:r>
    </w:p>
    <w:p w:rsidR="00CF634B" w:rsidRDefault="00CF634B" w:rsidP="00CF634B">
      <w:pPr>
        <w:pStyle w:val="New0"/>
        <w:adjustRightInd w:val="0"/>
        <w:snapToGrid w:val="0"/>
        <w:spacing w:line="400" w:lineRule="exact"/>
        <w:ind w:leftChars="200" w:left="42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办件类型：网上办理。</w:t>
      </w:r>
    </w:p>
    <w:p w:rsidR="00CF634B" w:rsidRDefault="00CF634B" w:rsidP="00CF634B">
      <w:pPr>
        <w:pStyle w:val="New0"/>
        <w:adjustRightInd w:val="0"/>
        <w:snapToGrid w:val="0"/>
        <w:spacing w:line="400" w:lineRule="exact"/>
        <w:ind w:leftChars="200" w:left="42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办理方式；一次办。</w:t>
      </w:r>
    </w:p>
    <w:p w:rsidR="00CF634B" w:rsidRDefault="00CF634B" w:rsidP="00CF634B">
      <w:pPr>
        <w:pStyle w:val="New0"/>
        <w:spacing w:line="400" w:lineRule="exact"/>
        <w:ind w:firstLineChars="200" w:firstLine="480"/>
        <w:outlineLvl w:val="0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五、办结时限</w:t>
      </w:r>
    </w:p>
    <w:p w:rsidR="00CF634B" w:rsidRDefault="00CF634B" w:rsidP="00CF634B">
      <w:pPr>
        <w:pStyle w:val="New0"/>
        <w:adjustRightInd w:val="0"/>
        <w:snapToGrid w:val="0"/>
        <w:spacing w:line="40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申请运输第三类易制毒化学品，在运输前已向运出地的县级人民政府公安机关备案进行报备了的，公安机关受理备案材料后，当日发给备案证明。</w:t>
      </w:r>
    </w:p>
    <w:p w:rsidR="00CF634B" w:rsidRDefault="00CF634B" w:rsidP="00CF634B">
      <w:pPr>
        <w:pStyle w:val="New0"/>
        <w:spacing w:line="400" w:lineRule="exact"/>
        <w:ind w:firstLineChars="200" w:firstLine="480"/>
        <w:outlineLvl w:val="0"/>
        <w:rPr>
          <w:rFonts w:ascii="宋体" w:hAnsi="宋体" w:cs="宋体"/>
          <w:b/>
          <w:bCs/>
          <w:sz w:val="24"/>
        </w:rPr>
      </w:pPr>
      <w:r>
        <w:rPr>
          <w:rFonts w:ascii="黑体" w:eastAsia="黑体" w:hAnsi="黑体" w:cs="黑体" w:hint="eastAsia"/>
          <w:sz w:val="24"/>
        </w:rPr>
        <w:t>六、许可收费及依据</w:t>
      </w:r>
    </w:p>
    <w:p w:rsidR="00CF634B" w:rsidRDefault="00CF634B" w:rsidP="00CF634B">
      <w:pPr>
        <w:pStyle w:val="New0"/>
        <w:spacing w:line="400" w:lineRule="exact"/>
        <w:outlineLvl w:val="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 本行政许可事项不收费</w:t>
      </w:r>
    </w:p>
    <w:p w:rsidR="00CF634B" w:rsidRDefault="00CF634B" w:rsidP="00CF634B">
      <w:pPr>
        <w:pStyle w:val="New0"/>
        <w:spacing w:line="400" w:lineRule="exact"/>
        <w:ind w:firstLineChars="200" w:firstLine="480"/>
        <w:outlineLvl w:val="0"/>
        <w:rPr>
          <w:rFonts w:ascii="宋体" w:hAnsi="宋体" w:cs="宋体"/>
          <w:b/>
          <w:bCs/>
          <w:sz w:val="24"/>
        </w:rPr>
      </w:pPr>
      <w:r>
        <w:rPr>
          <w:rFonts w:ascii="黑体" w:eastAsia="黑体" w:hAnsi="黑体" w:cs="黑体" w:hint="eastAsia"/>
          <w:sz w:val="24"/>
        </w:rPr>
        <w:lastRenderedPageBreak/>
        <w:t>七、办理流程</w:t>
      </w:r>
    </w:p>
    <w:p w:rsidR="00CF634B" w:rsidRDefault="00CF634B" w:rsidP="00CF634B">
      <w:pPr>
        <w:pStyle w:val="New0"/>
        <w:spacing w:line="400" w:lineRule="exact"/>
        <w:ind w:firstLineChars="200" w:firstLine="482"/>
        <w:outlineLvl w:val="0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（一）申请</w:t>
      </w:r>
    </w:p>
    <w:p w:rsidR="00CF634B" w:rsidRDefault="00CF634B" w:rsidP="00CF634B">
      <w:pPr>
        <w:pStyle w:val="New0"/>
        <w:spacing w:line="400" w:lineRule="exact"/>
        <w:ind w:firstLineChars="200" w:firstLine="480"/>
        <w:outlineLvl w:val="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企业自行通过互联网登录《云南省易制毒化学品管理信息系统》进行申请。</w:t>
      </w:r>
    </w:p>
    <w:p w:rsidR="00CF634B" w:rsidRDefault="00CF634B" w:rsidP="00CF634B">
      <w:pPr>
        <w:pStyle w:val="New0"/>
        <w:spacing w:line="400" w:lineRule="exact"/>
        <w:ind w:firstLineChars="200" w:firstLine="482"/>
        <w:outlineLvl w:val="0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（二）受理</w:t>
      </w:r>
    </w:p>
    <w:p w:rsidR="00CF634B" w:rsidRDefault="00CF634B" w:rsidP="00CF634B">
      <w:pPr>
        <w:pStyle w:val="New1"/>
        <w:spacing w:before="0" w:beforeAutospacing="0" w:after="0" w:afterAutospacing="0" w:line="400" w:lineRule="exact"/>
        <w:ind w:firstLineChars="200" w:firstLine="480"/>
        <w:rPr>
          <w:bCs/>
          <w:kern w:val="2"/>
        </w:rPr>
      </w:pPr>
      <w:r>
        <w:rPr>
          <w:rFonts w:hint="eastAsia"/>
          <w:bCs/>
          <w:kern w:val="2"/>
        </w:rPr>
        <w:t>系统通过内外网交互式平台将数据转换到公安网，公安机关在公安网上审核审批证书，对符合规定的，能够当场办理的，当场办理，及时向申请人发送《运输许可证》对材料不齐需要补充的，一次告知申请人需补充的内容，对不符合规定不予受理的，书面说明理由。</w:t>
      </w:r>
    </w:p>
    <w:p w:rsidR="00CF634B" w:rsidRDefault="00CF634B" w:rsidP="00CF634B">
      <w:pPr>
        <w:pStyle w:val="New0"/>
        <w:adjustRightInd w:val="0"/>
        <w:snapToGrid w:val="0"/>
        <w:spacing w:line="400" w:lineRule="exact"/>
        <w:ind w:firstLineChars="200" w:firstLine="482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/>
          <w:sz w:val="24"/>
        </w:rPr>
        <w:t>（三）办理结果及送达方式</w:t>
      </w:r>
    </w:p>
    <w:p w:rsidR="00CF634B" w:rsidRDefault="00CF634B" w:rsidP="00CF634B">
      <w:pPr>
        <w:pStyle w:val="New0"/>
        <w:adjustRightInd w:val="0"/>
        <w:snapToGrid w:val="0"/>
        <w:spacing w:line="400" w:lineRule="exact"/>
        <w:ind w:firstLineChars="200" w:firstLine="480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办理结果：审核通过后，公安机关将运输许可证明通过《云南省易制毒化学品管理信息系统》颁发给企业，企业通过系统自行打印。</w:t>
      </w:r>
      <w:r>
        <w:rPr>
          <w:rFonts w:ascii="宋体" w:hAnsi="宋体" w:cs="宋体" w:hint="eastAsia"/>
          <w:sz w:val="24"/>
        </w:rPr>
        <w:t>运输第三类易制毒化学品的，发给三个月多次使用有效的备案证明，对于领取备案证明后六个月内按照规定运输并保证运输安全的，可以发给有效期十二个月的运输备案证明。</w:t>
      </w:r>
    </w:p>
    <w:p w:rsidR="00CF634B" w:rsidRDefault="00CF634B" w:rsidP="00CF634B">
      <w:pPr>
        <w:pStyle w:val="New0"/>
        <w:spacing w:line="400" w:lineRule="exact"/>
        <w:ind w:firstLineChars="200" w:firstLine="480"/>
        <w:outlineLvl w:val="0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八、许可服务</w:t>
      </w:r>
    </w:p>
    <w:p w:rsidR="00CF634B" w:rsidRDefault="00CF634B" w:rsidP="00CF634B">
      <w:pPr>
        <w:pStyle w:val="New"/>
        <w:numPr>
          <w:ilvl w:val="0"/>
          <w:numId w:val="0"/>
        </w:numPr>
        <w:adjustRightInd w:val="0"/>
        <w:snapToGrid w:val="0"/>
        <w:spacing w:line="400" w:lineRule="exact"/>
        <w:jc w:val="left"/>
        <w:rPr>
          <w:rFonts w:hAnsi="宋体" w:cs="宋体"/>
          <w:bCs/>
          <w:sz w:val="24"/>
          <w:szCs w:val="24"/>
        </w:rPr>
      </w:pPr>
      <w:r>
        <w:rPr>
          <w:rFonts w:hAnsi="宋体" w:cs="宋体" w:hint="eastAsia"/>
          <w:b/>
          <w:sz w:val="24"/>
          <w:szCs w:val="24"/>
        </w:rPr>
        <w:t xml:space="preserve">    （一）咨询</w:t>
      </w:r>
    </w:p>
    <w:p w:rsidR="00CF634B" w:rsidRDefault="00CF634B" w:rsidP="00CF634B">
      <w:pPr>
        <w:pStyle w:val="New"/>
        <w:numPr>
          <w:ilvl w:val="0"/>
          <w:numId w:val="0"/>
        </w:numPr>
        <w:adjustRightInd w:val="0"/>
        <w:snapToGrid w:val="0"/>
        <w:spacing w:line="400" w:lineRule="exact"/>
        <w:ind w:left="205" w:firstLine="363"/>
        <w:jc w:val="left"/>
        <w:rPr>
          <w:rFonts w:hAnsi="宋体" w:cs="宋体"/>
          <w:bCs/>
          <w:sz w:val="24"/>
          <w:szCs w:val="24"/>
        </w:rPr>
      </w:pPr>
      <w:r>
        <w:rPr>
          <w:rFonts w:hAnsi="宋体" w:cs="宋体" w:hint="eastAsia"/>
          <w:bCs/>
          <w:sz w:val="24"/>
          <w:szCs w:val="24"/>
        </w:rPr>
        <w:t>1.咨询方式</w:t>
      </w:r>
    </w:p>
    <w:p w:rsidR="00CF634B" w:rsidRDefault="00CF634B" w:rsidP="00CF634B">
      <w:pPr>
        <w:pStyle w:val="New"/>
        <w:numPr>
          <w:ilvl w:val="0"/>
          <w:numId w:val="0"/>
        </w:numPr>
        <w:adjustRightInd w:val="0"/>
        <w:snapToGrid w:val="0"/>
        <w:spacing w:line="400" w:lineRule="exact"/>
        <w:ind w:left="205" w:firstLine="363"/>
        <w:jc w:val="left"/>
        <w:rPr>
          <w:rFonts w:hAnsi="宋体" w:cs="宋体"/>
          <w:bCs/>
          <w:sz w:val="24"/>
          <w:szCs w:val="24"/>
        </w:rPr>
      </w:pPr>
      <w:r>
        <w:rPr>
          <w:rFonts w:hAnsi="宋体" w:cs="宋体" w:hint="eastAsia"/>
          <w:bCs/>
          <w:sz w:val="24"/>
          <w:szCs w:val="24"/>
        </w:rPr>
        <w:t>（1）网络咨询。网址：http//10.166.2.139:8008/index.do</w:t>
      </w:r>
    </w:p>
    <w:p w:rsidR="00CF634B" w:rsidRDefault="00CF634B" w:rsidP="00CF634B">
      <w:pPr>
        <w:pStyle w:val="New"/>
        <w:numPr>
          <w:ilvl w:val="0"/>
          <w:numId w:val="0"/>
        </w:numPr>
        <w:adjustRightInd w:val="0"/>
        <w:snapToGrid w:val="0"/>
        <w:spacing w:line="400" w:lineRule="exact"/>
        <w:ind w:left="205" w:firstLine="363"/>
        <w:jc w:val="left"/>
        <w:rPr>
          <w:rFonts w:hAnsi="宋体" w:cs="宋体"/>
          <w:bCs/>
          <w:sz w:val="24"/>
          <w:szCs w:val="24"/>
        </w:rPr>
      </w:pPr>
      <w:r>
        <w:rPr>
          <w:rFonts w:hAnsi="宋体" w:cs="宋体" w:hint="eastAsia"/>
          <w:bCs/>
          <w:sz w:val="24"/>
          <w:szCs w:val="24"/>
        </w:rPr>
        <w:t>（2）电话咨询。联系电话：087</w:t>
      </w:r>
      <w:r w:rsidR="00AE28A8">
        <w:rPr>
          <w:rFonts w:hAnsi="宋体" w:cs="宋体" w:hint="eastAsia"/>
          <w:bCs/>
          <w:sz w:val="24"/>
          <w:szCs w:val="24"/>
        </w:rPr>
        <w:t>7</w:t>
      </w:r>
      <w:r>
        <w:rPr>
          <w:rFonts w:hAnsi="宋体" w:cs="宋体" w:hint="eastAsia"/>
          <w:bCs/>
          <w:sz w:val="24"/>
          <w:szCs w:val="24"/>
        </w:rPr>
        <w:t>-</w:t>
      </w:r>
      <w:r w:rsidR="00AE28A8">
        <w:rPr>
          <w:rFonts w:hAnsi="宋体" w:cs="宋体" w:hint="eastAsia"/>
          <w:bCs/>
          <w:sz w:val="24"/>
          <w:szCs w:val="24"/>
        </w:rPr>
        <w:t>2694089</w:t>
      </w:r>
    </w:p>
    <w:p w:rsidR="00CF634B" w:rsidRDefault="00CF634B" w:rsidP="00CF634B">
      <w:pPr>
        <w:pStyle w:val="New0"/>
        <w:spacing w:line="400" w:lineRule="exact"/>
        <w:ind w:firstLineChars="200" w:firstLine="482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（二）咨询回复</w:t>
      </w:r>
    </w:p>
    <w:p w:rsidR="00CF634B" w:rsidRDefault="00CF634B" w:rsidP="00CF634B">
      <w:pPr>
        <w:pStyle w:val="New0"/>
        <w:adjustRightInd w:val="0"/>
        <w:snapToGrid w:val="0"/>
        <w:spacing w:line="400" w:lineRule="exact"/>
        <w:ind w:firstLineChars="200" w:firstLine="480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通过网络和电话咨询的，将当场得到回复。</w:t>
      </w:r>
    </w:p>
    <w:p w:rsidR="00CF634B" w:rsidRDefault="00CF634B" w:rsidP="00CF634B">
      <w:pPr>
        <w:pStyle w:val="New0"/>
        <w:spacing w:line="400" w:lineRule="exact"/>
        <w:ind w:firstLineChars="200" w:firstLine="482"/>
        <w:outlineLvl w:val="0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（三）监督投诉</w:t>
      </w:r>
    </w:p>
    <w:p w:rsidR="00CF634B" w:rsidRDefault="00CF634B" w:rsidP="00CF634B">
      <w:pPr>
        <w:pStyle w:val="New0"/>
        <w:adjustRightInd w:val="0"/>
        <w:snapToGrid w:val="0"/>
        <w:spacing w:line="400" w:lineRule="exact"/>
        <w:ind w:firstLineChars="200" w:firstLine="480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窗口投诉：</w:t>
      </w:r>
      <w:r w:rsidR="0065291B">
        <w:rPr>
          <w:rFonts w:ascii="宋体" w:hAnsi="宋体" w:cs="宋体" w:hint="eastAsia"/>
          <w:bCs/>
          <w:sz w:val="24"/>
        </w:rPr>
        <w:t>玉溪市公安局红塔分局</w:t>
      </w:r>
      <w:r>
        <w:rPr>
          <w:rFonts w:ascii="宋体" w:hAnsi="宋体" w:cs="宋体" w:hint="eastAsia"/>
          <w:bCs/>
          <w:sz w:val="24"/>
        </w:rPr>
        <w:t>；地址：</w:t>
      </w:r>
      <w:r w:rsidR="0065291B">
        <w:rPr>
          <w:rFonts w:ascii="宋体" w:hAnsi="宋体" w:cs="宋体" w:hint="eastAsia"/>
          <w:bCs/>
          <w:sz w:val="24"/>
        </w:rPr>
        <w:t>红塔区珊瑚路68号</w:t>
      </w:r>
      <w:r>
        <w:rPr>
          <w:rFonts w:ascii="宋体" w:hAnsi="宋体" w:cs="宋体" w:hint="eastAsia"/>
          <w:bCs/>
          <w:sz w:val="24"/>
        </w:rPr>
        <w:t>。</w:t>
      </w:r>
    </w:p>
    <w:p w:rsidR="00CF634B" w:rsidRDefault="00CF634B" w:rsidP="00CF634B">
      <w:pPr>
        <w:pStyle w:val="New0"/>
        <w:adjustRightInd w:val="0"/>
        <w:snapToGrid w:val="0"/>
        <w:spacing w:line="400" w:lineRule="exact"/>
        <w:ind w:firstLineChars="200" w:firstLine="480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电话投诉：（087</w:t>
      </w:r>
      <w:r w:rsidR="0065291B">
        <w:rPr>
          <w:rFonts w:ascii="宋体" w:hAnsi="宋体" w:cs="宋体" w:hint="eastAsia"/>
          <w:bCs/>
          <w:sz w:val="24"/>
        </w:rPr>
        <w:t>7</w:t>
      </w:r>
      <w:r>
        <w:rPr>
          <w:rFonts w:ascii="宋体" w:hAnsi="宋体" w:cs="宋体" w:hint="eastAsia"/>
          <w:bCs/>
          <w:sz w:val="24"/>
        </w:rPr>
        <w:t>）</w:t>
      </w:r>
      <w:r w:rsidR="0065291B">
        <w:rPr>
          <w:rFonts w:ascii="宋体" w:hAnsi="宋体" w:cs="宋体" w:hint="eastAsia"/>
          <w:bCs/>
          <w:sz w:val="24"/>
        </w:rPr>
        <w:t>2694089</w:t>
      </w:r>
      <w:r>
        <w:rPr>
          <w:rFonts w:ascii="宋体" w:hAnsi="宋体" w:cs="宋体" w:hint="eastAsia"/>
          <w:bCs/>
          <w:sz w:val="24"/>
        </w:rPr>
        <w:t>。</w:t>
      </w:r>
    </w:p>
    <w:p w:rsidR="00CF634B" w:rsidRDefault="00CF634B" w:rsidP="00CF634B">
      <w:pPr>
        <w:pStyle w:val="New0"/>
        <w:adjustRightInd w:val="0"/>
        <w:snapToGrid w:val="0"/>
        <w:spacing w:line="400" w:lineRule="exact"/>
        <w:ind w:firstLineChars="200" w:firstLine="480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纪检监察投诉电话号码：12389</w:t>
      </w:r>
    </w:p>
    <w:p w:rsidR="00CF634B" w:rsidRPr="009F52D2" w:rsidRDefault="00CF634B" w:rsidP="009F52D2">
      <w:pPr>
        <w:pStyle w:val="New0"/>
        <w:adjustRightInd w:val="0"/>
        <w:snapToGrid w:val="0"/>
        <w:spacing w:line="400" w:lineRule="exact"/>
        <w:ind w:firstLineChars="200" w:firstLine="480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网上投诉：</w:t>
      </w:r>
      <w:r w:rsidR="0065291B">
        <w:rPr>
          <w:rFonts w:ascii="宋体" w:hAnsi="宋体" w:cs="宋体" w:hint="eastAsia"/>
          <w:bCs/>
          <w:sz w:val="24"/>
        </w:rPr>
        <w:t>玉溪市公安局红塔分局</w:t>
      </w:r>
      <w:r>
        <w:rPr>
          <w:rFonts w:ascii="宋体" w:hAnsi="宋体" w:cs="宋体" w:hint="eastAsia"/>
          <w:bCs/>
          <w:sz w:val="24"/>
        </w:rPr>
        <w:t>门户网站</w:t>
      </w:r>
      <w:r w:rsidR="009F52D2">
        <w:rPr>
          <w:rFonts w:ascii="宋体" w:hAnsi="宋体" w:cs="宋体" w:hint="eastAsia"/>
          <w:bCs/>
          <w:sz w:val="24"/>
        </w:rPr>
        <w:t>:</w:t>
      </w:r>
      <w:r>
        <w:rPr>
          <w:rFonts w:ascii="宋体" w:hAnsi="宋体" w:cs="宋体" w:hint="eastAsia"/>
          <w:bCs/>
          <w:sz w:val="24"/>
        </w:rPr>
        <w:t>（</w:t>
      </w:r>
      <w:r w:rsidR="009F52D2" w:rsidRPr="009F52D2">
        <w:rPr>
          <w:rFonts w:ascii="宋体" w:hAnsi="宋体" w:cs="宋体"/>
          <w:bCs/>
          <w:sz w:val="24"/>
        </w:rPr>
        <w:t>http://www.hongta.gov.cn/htqzfxxgk/yxsgajhtfj/</w:t>
      </w:r>
      <w:r w:rsidR="009F52D2">
        <w:rPr>
          <w:rFonts w:ascii="宋体" w:hAnsi="宋体" w:cs="宋体" w:hint="eastAsia"/>
          <w:bCs/>
          <w:sz w:val="24"/>
        </w:rPr>
        <w:t xml:space="preserve"> </w:t>
      </w:r>
      <w:r>
        <w:rPr>
          <w:rFonts w:ascii="宋体" w:hAnsi="宋体" w:cs="宋体" w:hint="eastAsia"/>
          <w:bCs/>
          <w:sz w:val="24"/>
        </w:rPr>
        <w:t>）。</w:t>
      </w:r>
    </w:p>
    <w:p w:rsidR="00CF634B" w:rsidRDefault="00CF634B" w:rsidP="00CF634B">
      <w:pPr>
        <w:pStyle w:val="New0"/>
        <w:adjustRightInd w:val="0"/>
        <w:snapToGrid w:val="0"/>
        <w:spacing w:line="400" w:lineRule="exact"/>
        <w:ind w:firstLineChars="200" w:firstLine="480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lastRenderedPageBreak/>
        <w:t>信函投诉：</w:t>
      </w:r>
      <w:r w:rsidR="0065291B">
        <w:rPr>
          <w:rFonts w:ascii="宋体" w:hAnsi="宋体" w:cs="宋体" w:hint="eastAsia"/>
          <w:bCs/>
          <w:sz w:val="24"/>
        </w:rPr>
        <w:t>红塔区纪检组玉溪市公安局红塔分局</w:t>
      </w:r>
      <w:r>
        <w:rPr>
          <w:rFonts w:ascii="宋体" w:hAnsi="宋体" w:cs="宋体" w:hint="eastAsia"/>
          <w:bCs/>
          <w:sz w:val="24"/>
        </w:rPr>
        <w:t>；通讯地址：</w:t>
      </w:r>
      <w:r w:rsidR="00851965">
        <w:rPr>
          <w:rFonts w:ascii="宋体" w:hAnsi="宋体" w:cs="宋体" w:hint="eastAsia"/>
          <w:bCs/>
          <w:sz w:val="24"/>
        </w:rPr>
        <w:t>红塔区珊瑚路68号</w:t>
      </w:r>
      <w:r>
        <w:rPr>
          <w:rFonts w:ascii="宋体" w:hAnsi="宋体" w:cs="宋体" w:hint="eastAsia"/>
          <w:bCs/>
          <w:sz w:val="24"/>
        </w:rPr>
        <w:t>；邮政编码：65</w:t>
      </w:r>
      <w:r w:rsidR="00851965">
        <w:rPr>
          <w:rFonts w:ascii="宋体" w:hAnsi="宋体" w:cs="宋体" w:hint="eastAsia"/>
          <w:bCs/>
          <w:sz w:val="24"/>
        </w:rPr>
        <w:t>3100</w:t>
      </w:r>
      <w:r>
        <w:rPr>
          <w:rFonts w:ascii="宋体" w:hAnsi="宋体" w:cs="宋体" w:hint="eastAsia"/>
          <w:bCs/>
          <w:sz w:val="24"/>
        </w:rPr>
        <w:t>。</w:t>
      </w:r>
    </w:p>
    <w:p w:rsidR="00CF634B" w:rsidRDefault="00CF634B" w:rsidP="00CF634B">
      <w:pPr>
        <w:pStyle w:val="New0"/>
        <w:spacing w:line="400" w:lineRule="exact"/>
        <w:ind w:firstLineChars="200" w:firstLine="482"/>
        <w:outlineLvl w:val="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/>
          <w:sz w:val="24"/>
        </w:rPr>
        <w:t>（四）行政复议或行政诉讼</w:t>
      </w:r>
    </w:p>
    <w:p w:rsidR="00CF634B" w:rsidRDefault="00CF634B" w:rsidP="00CF634B">
      <w:pPr>
        <w:pStyle w:val="New0"/>
        <w:spacing w:line="400" w:lineRule="exact"/>
        <w:outlineLvl w:val="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 xml:space="preserve">    公民、法人或者其他组织认为具体行政行为侵犯其合法权益的，自知道该具体行政行为之日起六十日内向</w:t>
      </w:r>
      <w:r w:rsidR="00851965">
        <w:rPr>
          <w:rFonts w:ascii="宋体" w:hAnsi="宋体" w:cs="宋体" w:hint="eastAsia"/>
          <w:bCs/>
          <w:sz w:val="24"/>
        </w:rPr>
        <w:t>玉溪市公安局</w:t>
      </w:r>
      <w:r>
        <w:rPr>
          <w:rFonts w:ascii="宋体" w:hAnsi="宋体" w:cs="宋体" w:hint="eastAsia"/>
          <w:bCs/>
          <w:sz w:val="24"/>
        </w:rPr>
        <w:t>或</w:t>
      </w:r>
      <w:r w:rsidR="00851965">
        <w:rPr>
          <w:rFonts w:ascii="宋体" w:hAnsi="宋体" w:cs="宋体" w:hint="eastAsia"/>
          <w:bCs/>
          <w:sz w:val="24"/>
        </w:rPr>
        <w:t>红塔区</w:t>
      </w:r>
      <w:r>
        <w:rPr>
          <w:rFonts w:ascii="宋体" w:hAnsi="宋体" w:cs="宋体" w:hint="eastAsia"/>
          <w:bCs/>
          <w:sz w:val="24"/>
        </w:rPr>
        <w:t>人民政府行政复议办公室申请行政复议或者在六个月内依法向</w:t>
      </w:r>
      <w:r w:rsidR="00851965">
        <w:rPr>
          <w:rFonts w:ascii="宋体" w:hAnsi="宋体" w:cs="宋体" w:hint="eastAsia"/>
          <w:bCs/>
          <w:sz w:val="24"/>
        </w:rPr>
        <w:t>红塔</w:t>
      </w:r>
      <w:r>
        <w:rPr>
          <w:rFonts w:ascii="宋体" w:hAnsi="宋体" w:cs="宋体" w:hint="eastAsia"/>
          <w:bCs/>
          <w:sz w:val="24"/>
        </w:rPr>
        <w:t>区人民法院提起行政诉讼。</w:t>
      </w:r>
    </w:p>
    <w:p w:rsidR="00CF634B" w:rsidRDefault="00CF634B" w:rsidP="00CF634B">
      <w:pPr>
        <w:pStyle w:val="New0"/>
        <w:adjustRightInd w:val="0"/>
        <w:snapToGrid w:val="0"/>
        <w:spacing w:line="400" w:lineRule="exact"/>
        <w:ind w:firstLineChars="200" w:firstLine="482"/>
        <w:outlineLvl w:val="0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（五）文书表单及办事指南获取</w:t>
      </w:r>
    </w:p>
    <w:p w:rsidR="00CF634B" w:rsidRDefault="00CF634B" w:rsidP="00CF634B">
      <w:pPr>
        <w:pStyle w:val="New0"/>
        <w:adjustRightInd w:val="0"/>
        <w:snapToGrid w:val="0"/>
        <w:spacing w:line="400" w:lineRule="exact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相关文书表单及办事指南可到云南省公安厅门户网站（http://www.ga.yn.gov.cn）下载或在受理窗口直接领取。</w:t>
      </w:r>
    </w:p>
    <w:p w:rsidR="00CF634B" w:rsidRDefault="00CF634B" w:rsidP="00CF634B">
      <w:pPr>
        <w:pStyle w:val="New0"/>
        <w:spacing w:line="260" w:lineRule="exact"/>
        <w:rPr>
          <w:rFonts w:ascii="宋体" w:hAnsi="宋体" w:cs="宋体"/>
          <w:bCs/>
          <w:szCs w:val="21"/>
        </w:rPr>
      </w:pPr>
    </w:p>
    <w:p w:rsidR="00CF634B" w:rsidRDefault="00CF634B" w:rsidP="00CF634B">
      <w:pPr>
        <w:pStyle w:val="New0"/>
        <w:spacing w:line="260" w:lineRule="exact"/>
        <w:rPr>
          <w:rFonts w:eastAsia="黑体"/>
          <w:bCs/>
          <w:szCs w:val="21"/>
        </w:rPr>
      </w:pPr>
    </w:p>
    <w:p w:rsidR="00CF634B" w:rsidRDefault="00CF634B" w:rsidP="00CF634B">
      <w:pPr>
        <w:pStyle w:val="New0"/>
        <w:spacing w:line="260" w:lineRule="exact"/>
        <w:rPr>
          <w:rFonts w:eastAsia="黑体"/>
          <w:bCs/>
          <w:szCs w:val="21"/>
        </w:rPr>
      </w:pPr>
    </w:p>
    <w:p w:rsidR="00CF634B" w:rsidRDefault="00CF634B" w:rsidP="00CF634B">
      <w:pPr>
        <w:pStyle w:val="New0"/>
        <w:spacing w:line="260" w:lineRule="exact"/>
        <w:rPr>
          <w:rFonts w:eastAsia="黑体"/>
          <w:sz w:val="32"/>
          <w:szCs w:val="32"/>
        </w:rPr>
      </w:pPr>
    </w:p>
    <w:p w:rsidR="00CF634B" w:rsidRDefault="00CF634B" w:rsidP="00CF634B">
      <w:pPr>
        <w:pStyle w:val="New0"/>
        <w:spacing w:line="260" w:lineRule="exac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1</w:t>
      </w:r>
      <w:r>
        <w:rPr>
          <w:rFonts w:eastAsia="黑体" w:hint="eastAsia"/>
          <w:sz w:val="32"/>
          <w:szCs w:val="32"/>
        </w:rPr>
        <w:t>：办理流程图</w:t>
      </w:r>
    </w:p>
    <w:p w:rsidR="00CF634B" w:rsidRDefault="00CF634B" w:rsidP="00CF634B">
      <w:pPr>
        <w:pStyle w:val="New0"/>
        <w:spacing w:line="26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="仿宋" w:eastAsia="仿宋" w:hAnsi="仿宋" w:cs="仿宋" w:hint="eastAsia"/>
          <w:sz w:val="28"/>
          <w:szCs w:val="28"/>
        </w:rPr>
        <w:t>第三类易制毒化学品运输备案证明办理流程图</w:t>
      </w:r>
    </w:p>
    <w:p w:rsidR="00CF634B" w:rsidRDefault="00101E44" w:rsidP="00CF634B">
      <w:pPr>
        <w:tabs>
          <w:tab w:val="left" w:pos="1455"/>
        </w:tabs>
        <w:jc w:val="left"/>
      </w:pPr>
      <w:r>
        <w:pict>
          <v:rect id="_x0000_s1026" style="position:absolute;margin-left:2.4pt;margin-top:11.5pt;width:27.75pt;height:259.9pt;z-index:1">
            <v:textbox>
              <w:txbxContent>
                <w:p w:rsidR="00CF634B" w:rsidRDefault="00CF634B" w:rsidP="00CF634B"/>
                <w:p w:rsidR="00CF634B" w:rsidRDefault="00CF634B" w:rsidP="00CF634B">
                  <w:r>
                    <w:rPr>
                      <w:rFonts w:hint="eastAsia"/>
                    </w:rPr>
                    <w:t>申</w:t>
                  </w:r>
                </w:p>
                <w:p w:rsidR="00CF634B" w:rsidRDefault="00CF634B" w:rsidP="00CF634B">
                  <w:r>
                    <w:rPr>
                      <w:rFonts w:hint="eastAsia"/>
                    </w:rPr>
                    <w:t>请</w:t>
                  </w:r>
                </w:p>
                <w:p w:rsidR="00CF634B" w:rsidRDefault="00CF634B" w:rsidP="00CF634B">
                  <w:r>
                    <w:rPr>
                      <w:rFonts w:hint="eastAsia"/>
                    </w:rPr>
                    <w:t>运</w:t>
                  </w:r>
                </w:p>
                <w:p w:rsidR="00CF634B" w:rsidRDefault="00CF634B" w:rsidP="00CF634B">
                  <w:r>
                    <w:rPr>
                      <w:rFonts w:hint="eastAsia"/>
                    </w:rPr>
                    <w:t>输</w:t>
                  </w:r>
                </w:p>
                <w:p w:rsidR="00CF634B" w:rsidRDefault="00CF634B" w:rsidP="00CF634B">
                  <w:r>
                    <w:rPr>
                      <w:rFonts w:hint="eastAsia"/>
                    </w:rPr>
                    <w:t>单</w:t>
                  </w:r>
                </w:p>
                <w:p w:rsidR="00CF634B" w:rsidRDefault="00CF634B" w:rsidP="00CF634B">
                  <w:r>
                    <w:rPr>
                      <w:rFonts w:hint="eastAsia"/>
                    </w:rPr>
                    <w:t>位</w:t>
                  </w:r>
                </w:p>
              </w:txbxContent>
            </v:textbox>
          </v:rect>
        </w:pict>
      </w: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0.15pt;margin-top:54.25pt;width:233.25pt;height:.75pt;flip:y;z-index:2" o:connectortype="straight">
            <v:stroke endarrow="block"/>
          </v:shape>
        </w:pict>
      </w:r>
      <w:r w:rsidR="00CF634B">
        <w:tab/>
      </w:r>
    </w:p>
    <w:p w:rsidR="00CF634B" w:rsidRDefault="00101E44" w:rsidP="00CF634B">
      <w:pPr>
        <w:tabs>
          <w:tab w:val="left" w:pos="435"/>
          <w:tab w:val="left" w:pos="2295"/>
        </w:tabs>
        <w:jc w:val="left"/>
      </w:pPr>
      <w:r>
        <w:pict>
          <v:rect id="_x0000_s1028" style="position:absolute;margin-left:265.65pt;margin-top:7.55pt;width:125.25pt;height:34.5pt;z-index:3">
            <v:textbox>
              <w:txbxContent>
                <w:p w:rsidR="00CF634B" w:rsidRDefault="00CF634B" w:rsidP="00CF634B">
                  <w:pPr>
                    <w:ind w:firstLineChars="50" w:firstLine="105"/>
                  </w:pPr>
                  <w:r>
                    <w:rPr>
                      <w:rFonts w:hint="eastAsia"/>
                    </w:rPr>
                    <w:t>县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级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公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安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机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关</w:t>
                  </w:r>
                </w:p>
              </w:txbxContent>
            </v:textbox>
          </v:rect>
        </w:pict>
      </w:r>
      <w:r w:rsidR="00CF634B">
        <w:tab/>
      </w:r>
      <w:r w:rsidR="00CF634B">
        <w:tab/>
      </w:r>
      <w:r w:rsidR="00CF634B">
        <w:rPr>
          <w:rFonts w:hint="eastAsia"/>
        </w:rPr>
        <w:t>提交申请材料</w:t>
      </w:r>
    </w:p>
    <w:p w:rsidR="00CF634B" w:rsidRDefault="00101E44" w:rsidP="00CF634B">
      <w:r>
        <w:pict>
          <v:shape id="_x0000_s1029" type="#_x0000_t32" style="position:absolute;left:0;text-align:left;margin-left:324.9pt;margin-top:16.35pt;width:.4pt;height:28.5pt;z-index:4" o:connectortype="straight">
            <v:stroke endarrow="block"/>
          </v:shape>
        </w:pict>
      </w:r>
    </w:p>
    <w:p w:rsidR="00CF634B" w:rsidRDefault="00101E44" w:rsidP="00CF634B">
      <w:pPr>
        <w:tabs>
          <w:tab w:val="left" w:pos="5903"/>
        </w:tabs>
      </w:pPr>
      <w:r>
        <w:pict>
          <v:rect id="_x0000_s1030" style="position:absolute;left:0;text-align:left;margin-left:273.5pt;margin-top:16.95pt;width:104.65pt;height:30.75pt;z-index:5">
            <v:textbox>
              <w:txbxContent>
                <w:p w:rsidR="00CF634B" w:rsidRDefault="00CF634B" w:rsidP="00CF634B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收受</w:t>
                  </w:r>
                  <w:r>
                    <w:rPr>
                      <w:rFonts w:ascii="宋体" w:hAnsi="宋体" w:hint="eastAsia"/>
                    </w:rPr>
                    <w:t>、审核材料</w:t>
                  </w:r>
                </w:p>
              </w:txbxContent>
            </v:textbox>
          </v:rect>
        </w:pict>
      </w:r>
      <w:r w:rsidR="00CF634B">
        <w:tab/>
      </w:r>
    </w:p>
    <w:p w:rsidR="00CF634B" w:rsidRDefault="00101E44" w:rsidP="00CF634B">
      <w:r>
        <w:pict>
          <v:shapetype id="_x0000_t77" coordsize="21600,21600" o:spt="77" adj="7200,5400,3600,8100" path="m@0,l@0@3@2@3@2@1,,10800@2@4@2@5@0@5@0,21600,21600,21600,2160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</v:formulas>
            <v:path o:connecttype="custom" o:connectlocs="@7,0;0,10800;@7,21600;21600,10800" o:connectangles="270,180,90,0" textboxrect="@0,0,21600,21600"/>
            <v:handles>
              <v:h position="#0,topLeft" xrange="@2,21600"/>
              <v:h position="topLeft,#1" yrange="0,@3"/>
              <v:h position="#2,#3" xrange="0,@0" yrange="@1,10800"/>
            </v:handles>
          </v:shapetype>
          <v:shape id="_x0000_s1035" type="#_x0000_t77" style="position:absolute;left:0;text-align:left;margin-left:368.4pt;margin-top:25.4pt;width:79.5pt;height:22.5pt;z-index:6">
            <v:textbox>
              <w:txbxContent>
                <w:p w:rsidR="00CF634B" w:rsidRDefault="00CF634B" w:rsidP="00CF634B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当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日</w:t>
                  </w:r>
                </w:p>
              </w:txbxContent>
            </v:textbox>
          </v:shape>
        </w:pict>
      </w:r>
      <w:r>
        <w:pict>
          <v:shape id="_x0000_s1033" type="#_x0000_t32" style="position:absolute;left:0;text-align:left;margin-left:344.75pt;margin-top:19.75pt;width:.4pt;height:34.1pt;flip:x;z-index:7" o:connectortype="straight">
            <v:stroke endarrow="block"/>
          </v:shape>
        </w:pict>
      </w:r>
      <w:r>
        <w:pict>
          <v:shape id="_x0000_s1031" type="#_x0000_t32" style="position:absolute;left:0;text-align:left;margin-left:285.85pt;margin-top:19.75pt;width:16.9pt;height:34.1pt;flip:x;z-index:8" o:connectortype="straight">
            <v:stroke endarrow="block"/>
          </v:shape>
        </w:pict>
      </w:r>
    </w:p>
    <w:p w:rsidR="00CF634B" w:rsidRDefault="00101E44" w:rsidP="00CF634B">
      <w:pPr>
        <w:tabs>
          <w:tab w:val="left" w:pos="5205"/>
          <w:tab w:val="left" w:pos="6195"/>
          <w:tab w:val="left" w:pos="6915"/>
        </w:tabs>
      </w:pPr>
      <w:r>
        <w:pict>
          <v:rect id="_x0000_s1034" style="position:absolute;left:0;text-align:left;margin-left:327.5pt;margin-top:25.9pt;width:37.15pt;height:105.8pt;z-index:9">
            <v:textbox>
              <w:txbxContent>
                <w:p w:rsidR="00CF634B" w:rsidRDefault="00CF634B" w:rsidP="00CF634B">
                  <w:pPr>
                    <w:rPr>
                      <w:b/>
                      <w:sz w:val="15"/>
                      <w:szCs w:val="15"/>
                    </w:rPr>
                  </w:pPr>
                  <w:r>
                    <w:rPr>
                      <w:rFonts w:hint="eastAsia"/>
                      <w:b/>
                      <w:sz w:val="15"/>
                      <w:szCs w:val="15"/>
                    </w:rPr>
                    <w:t>发给</w:t>
                  </w:r>
                </w:p>
                <w:p w:rsidR="00CF634B" w:rsidRDefault="00CF634B" w:rsidP="00CF634B">
                  <w:pPr>
                    <w:rPr>
                      <w:b/>
                      <w:sz w:val="15"/>
                      <w:szCs w:val="15"/>
                    </w:rPr>
                  </w:pPr>
                  <w:r>
                    <w:rPr>
                      <w:rFonts w:hint="eastAsia"/>
                      <w:b/>
                      <w:sz w:val="15"/>
                      <w:szCs w:val="15"/>
                    </w:rPr>
                    <w:t>备案</w:t>
                  </w:r>
                </w:p>
                <w:p w:rsidR="00CF634B" w:rsidRDefault="00CF634B" w:rsidP="00CF634B">
                  <w:pPr>
                    <w:rPr>
                      <w:b/>
                      <w:sz w:val="15"/>
                      <w:szCs w:val="15"/>
                    </w:rPr>
                  </w:pPr>
                  <w:r>
                    <w:rPr>
                      <w:rFonts w:hint="eastAsia"/>
                      <w:b/>
                      <w:sz w:val="15"/>
                      <w:szCs w:val="15"/>
                    </w:rPr>
                    <w:t>证明</w:t>
                  </w:r>
                </w:p>
                <w:p w:rsidR="00CF634B" w:rsidRDefault="00CF634B" w:rsidP="00CF634B">
                  <w:pPr>
                    <w:rPr>
                      <w:sz w:val="15"/>
                      <w:szCs w:val="15"/>
                    </w:rPr>
                  </w:pPr>
                </w:p>
              </w:txbxContent>
            </v:textbox>
          </v:rect>
        </w:pict>
      </w:r>
      <w:r>
        <w:pict>
          <v:rect id="_x0000_s1032" style="position:absolute;left:0;text-align:left;margin-left:268.25pt;margin-top:25.9pt;width:34.5pt;height:105.8pt;z-index:10">
            <v:textbox>
              <w:txbxContent>
                <w:p w:rsidR="00CF634B" w:rsidRDefault="00CF634B" w:rsidP="00CF634B">
                  <w:pPr>
                    <w:ind w:firstLineChars="49" w:firstLine="74"/>
                    <w:rPr>
                      <w:b/>
                      <w:sz w:val="15"/>
                      <w:szCs w:val="13"/>
                    </w:rPr>
                  </w:pPr>
                  <w:r>
                    <w:rPr>
                      <w:rFonts w:hint="eastAsia"/>
                      <w:b/>
                      <w:sz w:val="15"/>
                      <w:szCs w:val="13"/>
                    </w:rPr>
                    <w:t>不</w:t>
                  </w:r>
                </w:p>
                <w:p w:rsidR="00CF634B" w:rsidRDefault="00CF634B" w:rsidP="00CF634B">
                  <w:pPr>
                    <w:ind w:firstLineChars="49" w:firstLine="74"/>
                    <w:rPr>
                      <w:b/>
                      <w:sz w:val="15"/>
                      <w:szCs w:val="13"/>
                    </w:rPr>
                  </w:pPr>
                  <w:r>
                    <w:rPr>
                      <w:rFonts w:hint="eastAsia"/>
                      <w:b/>
                      <w:sz w:val="15"/>
                      <w:szCs w:val="13"/>
                    </w:rPr>
                    <w:t>予</w:t>
                  </w:r>
                </w:p>
                <w:p w:rsidR="00CF634B" w:rsidRDefault="00CF634B" w:rsidP="00CF634B">
                  <w:pPr>
                    <w:ind w:firstLineChars="49" w:firstLine="74"/>
                    <w:rPr>
                      <w:b/>
                      <w:sz w:val="15"/>
                      <w:szCs w:val="13"/>
                    </w:rPr>
                  </w:pPr>
                  <w:r>
                    <w:rPr>
                      <w:rFonts w:hint="eastAsia"/>
                      <w:b/>
                      <w:sz w:val="15"/>
                      <w:szCs w:val="13"/>
                    </w:rPr>
                    <w:t>受</w:t>
                  </w:r>
                </w:p>
                <w:p w:rsidR="00CF634B" w:rsidRDefault="00CF634B" w:rsidP="00CF634B">
                  <w:pPr>
                    <w:ind w:firstLineChars="49" w:firstLine="74"/>
                    <w:rPr>
                      <w:b/>
                      <w:sz w:val="15"/>
                      <w:szCs w:val="13"/>
                    </w:rPr>
                  </w:pPr>
                  <w:r>
                    <w:rPr>
                      <w:rFonts w:hint="eastAsia"/>
                      <w:b/>
                      <w:sz w:val="15"/>
                      <w:szCs w:val="13"/>
                    </w:rPr>
                    <w:t>理</w:t>
                  </w:r>
                </w:p>
              </w:txbxContent>
            </v:textbox>
          </v:rect>
        </w:pict>
      </w:r>
      <w:r w:rsidR="00CF634B">
        <w:tab/>
      </w:r>
      <w:r w:rsidR="00CF634B">
        <w:rPr>
          <w:rFonts w:hint="eastAsia"/>
        </w:rPr>
        <w:t>不符合</w:t>
      </w:r>
      <w:r w:rsidR="00CF634B">
        <w:tab/>
      </w:r>
      <w:r w:rsidR="00CF634B">
        <w:tab/>
      </w:r>
      <w:r w:rsidR="00CF634B">
        <w:rPr>
          <w:rFonts w:hint="eastAsia"/>
        </w:rPr>
        <w:t>符合</w:t>
      </w:r>
    </w:p>
    <w:p w:rsidR="00CF634B" w:rsidRDefault="00101E44" w:rsidP="00CF634B">
      <w:pPr>
        <w:tabs>
          <w:tab w:val="left" w:pos="6810"/>
        </w:tabs>
      </w:pPr>
      <w:r>
        <w:pict>
          <v:shape id="_x0000_s1036" type="#_x0000_t32" style="position:absolute;left:0;text-align:left;margin-left:33.9pt;margin-top:55.35pt;width:231.75pt;height:1.5pt;z-index:11" o:connectortype="straight">
            <v:stroke endarrow="block"/>
          </v:shape>
        </w:pict>
      </w:r>
      <w:r w:rsidR="00CF634B">
        <w:tab/>
      </w:r>
    </w:p>
    <w:p w:rsidR="00CF634B" w:rsidRDefault="00CF634B" w:rsidP="00CF634B">
      <w:pPr>
        <w:tabs>
          <w:tab w:val="left" w:pos="6810"/>
        </w:tabs>
      </w:pPr>
    </w:p>
    <w:p w:rsidR="00CF634B" w:rsidRDefault="00CF634B" w:rsidP="00CF634B"/>
    <w:p w:rsidR="00587966" w:rsidRPr="00CF634B" w:rsidRDefault="00CF634B" w:rsidP="003054AC">
      <w:pPr>
        <w:tabs>
          <w:tab w:val="left" w:pos="7493"/>
        </w:tabs>
      </w:pPr>
      <w:r>
        <w:tab/>
      </w:r>
      <w:bookmarkStart w:id="0" w:name="_GoBack"/>
      <w:bookmarkEnd w:id="0"/>
    </w:p>
    <w:sectPr w:rsidR="00587966" w:rsidRPr="00CF634B" w:rsidSect="002344EE">
      <w:footerReference w:type="even" r:id="rId7"/>
      <w:footerReference w:type="default" r:id="rId8"/>
      <w:pgSz w:w="11906" w:h="16838"/>
      <w:pgMar w:top="1440" w:right="1361" w:bottom="1440" w:left="1610" w:header="851" w:footer="851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B8C" w:rsidRDefault="004C7B8C" w:rsidP="00F2795F">
      <w:pPr>
        <w:spacing w:after="0" w:line="240" w:lineRule="auto"/>
      </w:pPr>
      <w:r>
        <w:separator/>
      </w:r>
    </w:p>
  </w:endnote>
  <w:endnote w:type="continuationSeparator" w:id="1">
    <w:p w:rsidR="004C7B8C" w:rsidRDefault="004C7B8C" w:rsidP="00F27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4EE" w:rsidRDefault="00101E44">
    <w:pPr>
      <w:pStyle w:val="New2"/>
      <w:framePr w:wrap="around" w:vAnchor="text" w:hAnchor="margin" w:xAlign="outside" w:y="1"/>
      <w:rPr>
        <w:rStyle w:val="New3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CC473D">
      <w:rPr>
        <w:rStyle w:val="New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CC473D">
      <w:rPr>
        <w:rStyle w:val="New3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 w:rsidR="002344EE" w:rsidRDefault="004C7B8C">
    <w:pPr>
      <w:pStyle w:val="New2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4EE" w:rsidRDefault="00101E44">
    <w:pPr>
      <w:pStyle w:val="New2"/>
      <w:framePr w:wrap="around" w:vAnchor="text" w:hAnchor="margin" w:xAlign="outside" w:y="1"/>
      <w:rPr>
        <w:rStyle w:val="New3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CC473D">
      <w:rPr>
        <w:rStyle w:val="New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9F52D2">
      <w:rPr>
        <w:rStyle w:val="New3"/>
        <w:rFonts w:ascii="宋体" w:hAnsi="宋体"/>
        <w:noProof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:rsidR="002344EE" w:rsidRDefault="004C7B8C">
    <w:pPr>
      <w:pStyle w:val="New2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B8C" w:rsidRDefault="004C7B8C" w:rsidP="00F2795F">
      <w:pPr>
        <w:spacing w:after="0" w:line="240" w:lineRule="auto"/>
      </w:pPr>
      <w:r>
        <w:separator/>
      </w:r>
    </w:p>
  </w:footnote>
  <w:footnote w:type="continuationSeparator" w:id="1">
    <w:p w:rsidR="004C7B8C" w:rsidRDefault="004C7B8C" w:rsidP="00F279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lvl w:ilvl="0">
      <w:start w:val="1"/>
      <w:numFmt w:val="decimal"/>
      <w:pStyle w:val="New"/>
      <w:suff w:val="nothing"/>
      <w:lvlText w:val="示例%1："/>
      <w:lvlJc w:val="left"/>
      <w:pPr>
        <w:ind w:left="205" w:firstLine="363"/>
      </w:pPr>
      <w:rPr>
        <w:rFonts w:ascii="黑体" w:eastAsia="黑体" w:hAnsi="Times New Roman" w:hint="eastAsia"/>
        <w:b w:val="0"/>
        <w:i w:val="0"/>
        <w:sz w:val="18"/>
        <w:szCs w:val="18"/>
        <w:vertAlign w:val="baseline"/>
      </w:rPr>
    </w:lvl>
    <w:lvl w:ilvl="1">
      <w:start w:val="1"/>
      <w:numFmt w:val="none"/>
      <w:suff w:val="space"/>
      <w:lvlText w:val=""/>
      <w:lvlJc w:val="left"/>
      <w:pPr>
        <w:ind w:left="205" w:firstLine="0"/>
      </w:pPr>
      <w:rPr>
        <w:rFonts w:hint="eastAsia"/>
        <w:vertAlign w:val="baseline"/>
      </w:rPr>
    </w:lvl>
    <w:lvl w:ilvl="2">
      <w:start w:val="1"/>
      <w:numFmt w:val="decimal"/>
      <w:suff w:val="space"/>
      <w:lvlText w:val="2.2.%3"/>
      <w:lvlJc w:val="left"/>
      <w:pPr>
        <w:ind w:left="205" w:firstLine="0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205"/>
        </w:tabs>
        <w:ind w:left="1197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205"/>
        </w:tabs>
        <w:ind w:left="1197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left" w:pos="205"/>
        </w:tabs>
        <w:ind w:left="1197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205"/>
        </w:tabs>
        <w:ind w:left="1197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205"/>
        </w:tabs>
        <w:ind w:left="1197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left" w:pos="205"/>
        </w:tabs>
        <w:ind w:left="1197" w:hanging="629"/>
      </w:pPr>
      <w:rPr>
        <w:rFonts w:hint="eastAsia"/>
        <w:vertAlign w:val="baseline"/>
      </w:rPr>
    </w:lvl>
  </w:abstractNum>
  <w:abstractNum w:abstractNumId="1">
    <w:nsid w:val="5B741664"/>
    <w:multiLevelType w:val="singleLevel"/>
    <w:tmpl w:val="5B741664"/>
    <w:lvl w:ilvl="0">
      <w:start w:val="4"/>
      <w:numFmt w:val="chineseCounting"/>
      <w:suff w:val="nothing"/>
      <w:lvlText w:val="%1、"/>
      <w:lvlJc w:val="left"/>
    </w:lvl>
  </w:abstractNum>
  <w:abstractNum w:abstractNumId="2">
    <w:nsid w:val="5B7A2FD3"/>
    <w:multiLevelType w:val="singleLevel"/>
    <w:tmpl w:val="5B7A2FD3"/>
    <w:lvl w:ilvl="0">
      <w:start w:val="2"/>
      <w:numFmt w:val="chineseCounting"/>
      <w:suff w:val="nothing"/>
      <w:lvlText w:val="%1、"/>
      <w:lvlJc w:val="left"/>
    </w:lvl>
  </w:abstractNum>
  <w:abstractNum w:abstractNumId="3">
    <w:nsid w:val="5B7A43E1"/>
    <w:multiLevelType w:val="singleLevel"/>
    <w:tmpl w:val="5B7A43E1"/>
    <w:lvl w:ilvl="0">
      <w:start w:val="1"/>
      <w:numFmt w:val="chineseCounting"/>
      <w:suff w:val="nothing"/>
      <w:lvlText w:val="（%1）"/>
      <w:lvlJc w:val="left"/>
    </w:lvl>
  </w:abstractNum>
  <w:abstractNum w:abstractNumId="4">
    <w:nsid w:val="5B7A479E"/>
    <w:multiLevelType w:val="singleLevel"/>
    <w:tmpl w:val="5B7A479E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634B"/>
    <w:rsid w:val="000859B8"/>
    <w:rsid w:val="00101E44"/>
    <w:rsid w:val="0030043A"/>
    <w:rsid w:val="003054AC"/>
    <w:rsid w:val="00325A84"/>
    <w:rsid w:val="00443F87"/>
    <w:rsid w:val="00476116"/>
    <w:rsid w:val="004C7B8C"/>
    <w:rsid w:val="00587966"/>
    <w:rsid w:val="00632E4B"/>
    <w:rsid w:val="0065291B"/>
    <w:rsid w:val="00706F3E"/>
    <w:rsid w:val="0071595F"/>
    <w:rsid w:val="007C39FA"/>
    <w:rsid w:val="008307AA"/>
    <w:rsid w:val="00851965"/>
    <w:rsid w:val="009F52D2"/>
    <w:rsid w:val="00A0701A"/>
    <w:rsid w:val="00AE28A8"/>
    <w:rsid w:val="00CC473D"/>
    <w:rsid w:val="00CF634B"/>
    <w:rsid w:val="00E11DA2"/>
    <w:rsid w:val="00F27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6" type="connector" idref="#_x0000_s1029"/>
        <o:r id="V:Rule7" type="connector" idref="#_x0000_s1027"/>
        <o:r id="V:Rule8" type="connector" idref="#_x0000_s1036"/>
        <o:r id="V:Rule9" type="connector" idref="#_x0000_s1031"/>
        <o:r id="V:Rule10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34B"/>
    <w:pPr>
      <w:widowControl w:val="0"/>
      <w:spacing w:after="200" w:line="276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0">
    <w:name w:val="正文 New"/>
    <w:qFormat/>
    <w:rsid w:val="00CF634B"/>
    <w:pPr>
      <w:widowControl w:val="0"/>
      <w:spacing w:after="200" w:line="276" w:lineRule="auto"/>
      <w:jc w:val="both"/>
    </w:pPr>
    <w:rPr>
      <w:kern w:val="2"/>
      <w:sz w:val="21"/>
      <w:szCs w:val="24"/>
    </w:rPr>
  </w:style>
  <w:style w:type="paragraph" w:customStyle="1" w:styleId="NewNewNewNewNewNewNewNewNew">
    <w:name w:val="正文 New New New New New New New New New"/>
    <w:qFormat/>
    <w:rsid w:val="00CF634B"/>
    <w:pPr>
      <w:widowControl w:val="0"/>
      <w:spacing w:after="200" w:line="276" w:lineRule="auto"/>
      <w:jc w:val="both"/>
    </w:pPr>
    <w:rPr>
      <w:kern w:val="2"/>
      <w:sz w:val="21"/>
      <w:szCs w:val="24"/>
    </w:rPr>
  </w:style>
  <w:style w:type="paragraph" w:customStyle="1" w:styleId="New1">
    <w:name w:val="普通(网站) New"/>
    <w:basedOn w:val="New0"/>
    <w:qFormat/>
    <w:rsid w:val="00CF634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New">
    <w:name w:val="示例×： New"/>
    <w:basedOn w:val="New0"/>
    <w:qFormat/>
    <w:rsid w:val="00CF634B"/>
    <w:pPr>
      <w:widowControl/>
      <w:numPr>
        <w:numId w:val="1"/>
      </w:numPr>
    </w:pPr>
    <w:rPr>
      <w:rFonts w:ascii="宋体"/>
      <w:kern w:val="0"/>
      <w:sz w:val="18"/>
      <w:szCs w:val="18"/>
    </w:rPr>
  </w:style>
  <w:style w:type="paragraph" w:customStyle="1" w:styleId="New2">
    <w:name w:val="页脚 New"/>
    <w:basedOn w:val="New0"/>
    <w:qFormat/>
    <w:rsid w:val="00CF63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New3">
    <w:name w:val="页码 New"/>
    <w:basedOn w:val="a0"/>
    <w:qFormat/>
    <w:rsid w:val="00CF634B"/>
  </w:style>
  <w:style w:type="paragraph" w:styleId="a3">
    <w:name w:val="header"/>
    <w:basedOn w:val="a"/>
    <w:link w:val="Char"/>
    <w:uiPriority w:val="99"/>
    <w:semiHidden/>
    <w:unhideWhenUsed/>
    <w:rsid w:val="007C39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39F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39F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39FA"/>
    <w:rPr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6529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3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246</Words>
  <Characters>1408</Characters>
  <Application>Microsoft Office Word</Application>
  <DocSecurity>0</DocSecurity>
  <Lines>11</Lines>
  <Paragraphs>3</Paragraphs>
  <ScaleCrop>false</ScaleCrop>
  <Company>Microsoft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杨洪冰</dc:creator>
  <cp:lastModifiedBy>李洋</cp:lastModifiedBy>
  <cp:revision>3</cp:revision>
  <dcterms:created xsi:type="dcterms:W3CDTF">2018-10-31T07:03:00Z</dcterms:created>
  <dcterms:modified xsi:type="dcterms:W3CDTF">2018-11-02T06:53:00Z</dcterms:modified>
</cp:coreProperties>
</file>